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177"/>
        <w:rPr>
          <w:color w:val="000000" w:themeColor="text1"/>
          <w14:textFill>
            <w14:solidFill>
              <w14:schemeClr w14:val="tx1"/>
            </w14:solidFill>
          </w14:textFill>
        </w:rPr>
      </w:pPr>
      <w:bookmarkStart w:id="0" w:name="_Toc534544993"/>
      <w:bookmarkStart w:id="1" w:name="_Toc532974682"/>
    </w:p>
    <w:p>
      <w:pPr>
        <w:ind w:firstLine="177"/>
        <w:rPr>
          <w:color w:val="000000" w:themeColor="text1"/>
          <w14:textFill>
            <w14:solidFill>
              <w14:schemeClr w14:val="tx1"/>
            </w14:solidFill>
          </w14:textFill>
        </w:rPr>
      </w:pPr>
    </w:p>
    <w:p>
      <w:pPr>
        <w:pStyle w:val="58"/>
        <w:ind w:firstLine="218"/>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0" w:firstLineChars="0"/>
        <w:rPr>
          <w:rFonts w:ascii="Times New Roman" w:cs="Times New Roman" w:hAnsiTheme="minorEastAsia" w:eastAsiaTheme="minorEastAsia"/>
          <w:b/>
          <w:bCs/>
          <w:color w:val="000000" w:themeColor="text1"/>
          <w:sz w:val="48"/>
          <w:szCs w:val="24"/>
          <w:lang w:val="en-US" w:bidi="ar-SA"/>
          <w14:textFill>
            <w14:solidFill>
              <w14:schemeClr w14:val="tx1"/>
            </w14:solidFill>
          </w14:textFill>
        </w:rPr>
      </w:pPr>
      <w:bookmarkStart w:id="379" w:name="_GoBack"/>
      <w:bookmarkEnd w:id="379"/>
      <w:r>
        <w:rPr>
          <w:rFonts w:hint="eastAsia" w:ascii="Times New Roman" w:cs="Times New Roman" w:hAnsiTheme="minorEastAsia" w:eastAsiaTheme="minorEastAsia"/>
          <w:b/>
          <w:bCs/>
          <w:color w:val="000000" w:themeColor="text1"/>
          <w:sz w:val="48"/>
          <w:szCs w:val="24"/>
          <w:lang w:val="en-US" w:bidi="ar-SA"/>
          <w14:textFill>
            <w14:solidFill>
              <w14:schemeClr w14:val="tx1"/>
            </w14:solidFill>
          </w14:textFill>
        </w:rPr>
        <w:t>北大荒农垦集团红兴隆分公司农垦公用基础设施建设项目</w:t>
      </w:r>
    </w:p>
    <w:p>
      <w:pPr>
        <w:ind w:firstLine="0" w:firstLineChars="0"/>
        <w:rPr>
          <w:color w:val="000000" w:themeColor="text1"/>
          <w14:textFill>
            <w14:solidFill>
              <w14:schemeClr w14:val="tx1"/>
            </w14:solidFill>
          </w14:textFill>
        </w:rPr>
      </w:pPr>
    </w:p>
    <w:p>
      <w:pPr>
        <w:ind w:firstLine="0" w:firstLineChars="0"/>
        <w:rPr>
          <w:color w:val="000000" w:themeColor="text1"/>
          <w14:textFill>
            <w14:solidFill>
              <w14:schemeClr w14:val="tx1"/>
            </w14:solidFill>
          </w14:textFill>
        </w:rPr>
      </w:pPr>
    </w:p>
    <w:p>
      <w:pPr>
        <w:ind w:firstLine="0" w:firstLineChars="0"/>
        <w:rPr>
          <w:color w:val="000000" w:themeColor="text1"/>
          <w14:textFill>
            <w14:solidFill>
              <w14:schemeClr w14:val="tx1"/>
            </w14:solidFill>
          </w14:textFill>
        </w:rPr>
      </w:pPr>
    </w:p>
    <w:p>
      <w:pPr>
        <w:ind w:firstLine="0" w:firstLineChars="0"/>
        <w:rPr>
          <w:rFonts w:ascii="Times New Roman" w:cs="Times New Roman" w:hAnsiTheme="minorEastAsia" w:eastAsiaTheme="minorEastAsia"/>
          <w:b/>
          <w:bCs/>
          <w:color w:val="000000" w:themeColor="text1"/>
          <w:sz w:val="84"/>
          <w:szCs w:val="84"/>
          <w:lang w:val="en-US" w:bidi="ar-SA"/>
          <w14:textFill>
            <w14:solidFill>
              <w14:schemeClr w14:val="tx1"/>
            </w14:solidFill>
          </w14:textFill>
        </w:rPr>
      </w:pPr>
      <w:r>
        <w:rPr>
          <w:rFonts w:ascii="Times New Roman" w:cs="Times New Roman" w:hAnsiTheme="minorEastAsia" w:eastAsiaTheme="minorEastAsia"/>
          <w:b/>
          <w:bCs/>
          <w:color w:val="000000" w:themeColor="text1"/>
          <w:sz w:val="84"/>
          <w:szCs w:val="84"/>
          <w:lang w:val="en-US" w:bidi="ar-SA"/>
          <w14:textFill>
            <w14:solidFill>
              <w14:schemeClr w14:val="tx1"/>
            </w14:solidFill>
          </w14:textFill>
        </w:rPr>
        <w:t>环境影响报告书</w:t>
      </w:r>
    </w:p>
    <w:p>
      <w:pPr>
        <w:ind w:firstLine="0" w:firstLineChars="0"/>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58"/>
        <w:ind w:firstLine="218"/>
        <w:rPr>
          <w:color w:val="000000" w:themeColor="text1"/>
          <w14:textFill>
            <w14:solidFill>
              <w14:schemeClr w14:val="tx1"/>
            </w14:solidFill>
          </w14:textFill>
        </w:rPr>
      </w:pPr>
    </w:p>
    <w:p>
      <w:pPr>
        <w:pStyle w:val="58"/>
        <w:ind w:firstLine="218"/>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58"/>
        <w:ind w:firstLine="218"/>
        <w:rPr>
          <w:color w:val="000000" w:themeColor="text1"/>
          <w14:textFill>
            <w14:solidFill>
              <w14:schemeClr w14:val="tx1"/>
            </w14:solidFill>
          </w14:textFill>
        </w:rPr>
      </w:pPr>
    </w:p>
    <w:p>
      <w:pPr>
        <w:pStyle w:val="58"/>
        <w:ind w:firstLine="218"/>
        <w:rPr>
          <w:color w:val="000000" w:themeColor="text1"/>
          <w14:textFill>
            <w14:solidFill>
              <w14:schemeClr w14:val="tx1"/>
            </w14:solidFill>
          </w14:textFill>
        </w:rPr>
      </w:pPr>
    </w:p>
    <w:p>
      <w:pPr>
        <w:rPr>
          <w:rFonts w:ascii="Times New Roman" w:cs="Times New Roman" w:hAnsiTheme="minorEastAsia" w:eastAsiaTheme="minorEastAsia"/>
          <w:color w:val="000000" w:themeColor="text1"/>
          <w:sz w:val="32"/>
          <w:szCs w:val="24"/>
          <w:lang w:val="en-US" w:bidi="ar-SA"/>
          <w14:textFill>
            <w14:solidFill>
              <w14:schemeClr w14:val="tx1"/>
            </w14:solidFill>
          </w14:textFill>
        </w:rPr>
      </w:pPr>
      <w:r>
        <w:rPr>
          <w:rFonts w:ascii="Times New Roman" w:cs="Times New Roman" w:hAnsiTheme="minorEastAsia" w:eastAsiaTheme="minorEastAsia"/>
          <w:color w:val="000000" w:themeColor="text1"/>
          <w:sz w:val="32"/>
          <w:szCs w:val="24"/>
          <w:lang w:val="en-US" w:bidi="ar-SA"/>
          <w14:textFill>
            <w14:solidFill>
              <w14:schemeClr w14:val="tx1"/>
            </w14:solidFill>
          </w14:textFill>
        </w:rPr>
        <w:t>建设单位：</w:t>
      </w:r>
      <w:r>
        <w:rPr>
          <w:rFonts w:hint="eastAsia" w:ascii="Times New Roman" w:cs="Times New Roman" w:hAnsiTheme="minorEastAsia" w:eastAsiaTheme="minorEastAsia"/>
          <w:color w:val="000000" w:themeColor="text1"/>
          <w:sz w:val="32"/>
          <w:szCs w:val="24"/>
          <w:lang w:val="en-US" w:bidi="ar-SA"/>
          <w14:textFill>
            <w14:solidFill>
              <w14:schemeClr w14:val="tx1"/>
            </w14:solidFill>
          </w14:textFill>
        </w:rPr>
        <w:t>黑龙江农垦兴隆热力有限公司</w:t>
      </w:r>
    </w:p>
    <w:p>
      <w:pPr>
        <w:rPr>
          <w:rFonts w:ascii="Times New Roman" w:cs="Times New Roman" w:hAnsiTheme="minorEastAsia" w:eastAsiaTheme="minorEastAsia"/>
          <w:color w:val="000000" w:themeColor="text1"/>
          <w:sz w:val="32"/>
          <w:szCs w:val="24"/>
          <w:lang w:val="en-US" w:bidi="ar-SA"/>
          <w14:textFill>
            <w14:solidFill>
              <w14:schemeClr w14:val="tx1"/>
            </w14:solidFill>
          </w14:textFill>
        </w:rPr>
      </w:pPr>
      <w:r>
        <w:rPr>
          <w:rFonts w:ascii="Times New Roman" w:cs="Times New Roman" w:hAnsiTheme="minorEastAsia" w:eastAsiaTheme="minorEastAsia"/>
          <w:color w:val="000000" w:themeColor="text1"/>
          <w:sz w:val="32"/>
          <w:szCs w:val="24"/>
          <w:lang w:val="en-US" w:bidi="ar-SA"/>
          <w14:textFill>
            <w14:solidFill>
              <w14:schemeClr w14:val="tx1"/>
            </w14:solidFill>
          </w14:textFill>
        </w:rPr>
        <w:t>环评单位：</w:t>
      </w:r>
      <w:r>
        <w:rPr>
          <w:rFonts w:hint="eastAsia" w:ascii="Times New Roman" w:cs="Times New Roman" w:hAnsiTheme="minorEastAsia" w:eastAsiaTheme="minorEastAsia"/>
          <w:color w:val="000000" w:themeColor="text1"/>
          <w:sz w:val="32"/>
          <w:szCs w:val="24"/>
          <w:lang w:val="en-US" w:bidi="ar-SA"/>
          <w14:textFill>
            <w14:solidFill>
              <w14:schemeClr w14:val="tx1"/>
            </w14:solidFill>
          </w14:textFill>
        </w:rPr>
        <w:t>哈尔滨玖时工程咨询有限公司</w:t>
      </w:r>
    </w:p>
    <w:p>
      <w:pPr>
        <w:jc w:val="both"/>
        <w:rPr>
          <w:rFonts w:ascii="Times New Roman" w:cs="Times New Roman" w:hAnsiTheme="minorEastAsia" w:eastAsiaTheme="minorEastAsia"/>
          <w:color w:val="000000" w:themeColor="text1"/>
          <w:sz w:val="32"/>
          <w:szCs w:val="24"/>
          <w:lang w:val="en-US" w:bidi="ar-SA"/>
          <w14:textFill>
            <w14:solidFill>
              <w14:schemeClr w14:val="tx1"/>
            </w14:solidFill>
          </w14:textFill>
        </w:rPr>
      </w:pPr>
    </w:p>
    <w:p>
      <w:pPr>
        <w:jc w:val="both"/>
        <w:rPr>
          <w:rFonts w:ascii="Times New Roman" w:cs="Times New Roman" w:hAnsiTheme="minorEastAsia" w:eastAsiaTheme="minorEastAsia"/>
          <w:color w:val="000000" w:themeColor="text1"/>
          <w:sz w:val="32"/>
          <w:szCs w:val="24"/>
          <w:lang w:val="en-US" w:bidi="ar-SA"/>
          <w14:textFill>
            <w14:solidFill>
              <w14:schemeClr w14:val="tx1"/>
            </w14:solidFill>
          </w14:textFill>
        </w:rPr>
      </w:pPr>
    </w:p>
    <w:p>
      <w:pPr>
        <w:rPr>
          <w:rFonts w:ascii="Times New Roman" w:cs="Times New Roman" w:hAnsiTheme="minorEastAsia" w:eastAsiaTheme="minorEastAsia"/>
          <w:color w:val="000000" w:themeColor="text1"/>
          <w:sz w:val="32"/>
          <w:szCs w:val="24"/>
          <w:lang w:val="en-US" w:bidi="ar-SA"/>
          <w14:textFill>
            <w14:solidFill>
              <w14:schemeClr w14:val="tx1"/>
            </w14:solidFill>
          </w14:textFill>
        </w:rPr>
        <w:sectPr>
          <w:headerReference r:id="rId5" w:type="default"/>
          <w:footerReference r:id="rId7" w:type="default"/>
          <w:headerReference r:id="rId6" w:type="even"/>
          <w:footerReference r:id="rId8" w:type="even"/>
          <w:pgSz w:w="11906" w:h="16838"/>
          <w:pgMar w:top="1440" w:right="1800" w:bottom="1440" w:left="1800" w:header="851" w:footer="992" w:gutter="0"/>
          <w:pgBorders>
            <w:top w:val="none" w:sz="0" w:space="0"/>
            <w:left w:val="none" w:sz="0" w:space="0"/>
            <w:bottom w:val="none" w:sz="0" w:space="0"/>
            <w:right w:val="none" w:sz="0" w:space="0"/>
          </w:pgBorders>
          <w:pgNumType w:fmt="upperLetter" w:start="1"/>
          <w:cols w:space="0" w:num="1"/>
          <w:titlePg/>
          <w:docGrid w:type="linesAndChars" w:linePitch="326" w:charSpace="-551"/>
        </w:sectPr>
      </w:pPr>
      <w:r>
        <w:rPr>
          <w:rFonts w:ascii="Times New Roman" w:cs="Times New Roman" w:hAnsiTheme="minorEastAsia" w:eastAsiaTheme="minorEastAsia"/>
          <w:color w:val="000000" w:themeColor="text1"/>
          <w:sz w:val="32"/>
          <w:szCs w:val="24"/>
          <w:lang w:val="en-US" w:bidi="ar-SA"/>
          <w14:textFill>
            <w14:solidFill>
              <w14:schemeClr w14:val="tx1"/>
            </w14:solidFill>
          </w14:textFill>
        </w:rPr>
        <w:t>202</w:t>
      </w:r>
      <w:r>
        <w:rPr>
          <w:rFonts w:hint="eastAsia" w:ascii="Times New Roman" w:cs="Times New Roman" w:hAnsiTheme="minorEastAsia" w:eastAsiaTheme="minorEastAsia"/>
          <w:color w:val="000000" w:themeColor="text1"/>
          <w:sz w:val="32"/>
          <w:szCs w:val="24"/>
          <w:lang w:val="en-US" w:bidi="ar-SA"/>
          <w14:textFill>
            <w14:solidFill>
              <w14:schemeClr w14:val="tx1"/>
            </w14:solidFill>
          </w14:textFill>
        </w:rPr>
        <w:t>4</w:t>
      </w:r>
      <w:r>
        <w:rPr>
          <w:rFonts w:ascii="Times New Roman" w:cs="Times New Roman" w:hAnsiTheme="minorEastAsia" w:eastAsiaTheme="minorEastAsia"/>
          <w:color w:val="000000" w:themeColor="text1"/>
          <w:sz w:val="32"/>
          <w:szCs w:val="24"/>
          <w:lang w:val="en-US" w:bidi="ar-SA"/>
          <w14:textFill>
            <w14:solidFill>
              <w14:schemeClr w14:val="tx1"/>
            </w14:solidFill>
          </w14:textFill>
        </w:rPr>
        <w:t>年</w:t>
      </w:r>
      <w:r>
        <w:rPr>
          <w:rFonts w:hint="eastAsia" w:ascii="Times New Roman" w:cs="Times New Roman" w:hAnsiTheme="minorEastAsia" w:eastAsiaTheme="minorEastAsia"/>
          <w:color w:val="000000" w:themeColor="text1"/>
          <w:sz w:val="32"/>
          <w:szCs w:val="24"/>
          <w:lang w:val="en-US" w:eastAsia="zh-CN" w:bidi="ar-SA"/>
          <w14:textFill>
            <w14:solidFill>
              <w14:schemeClr w14:val="tx1"/>
            </w14:solidFill>
          </w14:textFill>
        </w:rPr>
        <w:t>4</w:t>
      </w:r>
      <w:r>
        <w:rPr>
          <w:rFonts w:ascii="Times New Roman" w:cs="Times New Roman" w:hAnsiTheme="minorEastAsia" w:eastAsiaTheme="minorEastAsia"/>
          <w:color w:val="000000" w:themeColor="text1"/>
          <w:sz w:val="32"/>
          <w:szCs w:val="24"/>
          <w:lang w:val="en-US" w:bidi="ar-SA"/>
          <w14:textFill>
            <w14:solidFill>
              <w14:schemeClr w14:val="tx1"/>
            </w14:solidFill>
          </w14:textFill>
        </w:rPr>
        <w:t>月</w:t>
      </w:r>
    </w:p>
    <w:p>
      <w:pPr>
        <w:pStyle w:val="47"/>
        <w:ind w:firstLine="178"/>
        <w:rPr>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upperLetter"/>
          <w:cols w:space="0" w:num="1"/>
          <w:docGrid w:type="linesAndChars" w:linePitch="312" w:charSpace="-551"/>
        </w:sectPr>
      </w:pPr>
      <w:r>
        <w:rPr>
          <w:color w:val="000000" w:themeColor="text1"/>
          <w:lang w:val="en-US" w:bidi="ar-SA"/>
          <w14:textFill>
            <w14:solidFill>
              <w14:schemeClr w14:val="tx1"/>
            </w14:solidFill>
          </w14:textFill>
        </w:rPr>
        <w:drawing>
          <wp:inline distT="0" distB="0" distL="0" distR="0">
            <wp:extent cx="5274310" cy="7526020"/>
            <wp:effectExtent l="0" t="0" r="2540" b="0"/>
            <wp:docPr id="24" name="图片 24" descr="F:\微信下载文件\WeChat Files\wxid_tin24ov6vode22\FileStorage\Temp\346c01710d5e8df389779cf726366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F:\微信下载文件\WeChat Files\wxid_tin24ov6vode22\FileStorage\Temp\346c01710d5e8df389779cf726366ff.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5274310" cy="7526263"/>
                    </a:xfrm>
                    <a:prstGeom prst="rect">
                      <a:avLst/>
                    </a:prstGeom>
                    <a:noFill/>
                    <a:ln>
                      <a:noFill/>
                    </a:ln>
                  </pic:spPr>
                </pic:pic>
              </a:graphicData>
            </a:graphic>
          </wp:inline>
        </w:drawing>
      </w:r>
      <w:r>
        <w:rPr>
          <w:rFonts w:ascii="Times New Roman" w:hAnsi="Times New Roman" w:eastAsia="Times New Roman" w:cs="Times New Roman"/>
          <w:snapToGrid w:val="0"/>
          <w:color w:val="000000" w:themeColor="text1"/>
          <w:w w:val="0"/>
          <w:kern w:val="0"/>
          <w:sz w:val="0"/>
          <w:szCs w:val="0"/>
          <w:u w:color="000000"/>
          <w:shd w:val="clear" w:color="000000" w:fill="000000"/>
          <w:lang w:val="zh-CN" w:eastAsia="zh-CN" w:bidi="zh-CN"/>
          <w14:textFill>
            <w14:solidFill>
              <w14:schemeClr w14:val="tx1"/>
            </w14:solidFill>
          </w14:textFill>
        </w:rPr>
        <w:t xml:space="preserve"> </w:t>
      </w:r>
      <w:r>
        <w:rPr>
          <w:color w:val="000000" w:themeColor="text1"/>
          <w:lang w:val="en-US" w:bidi="ar-SA"/>
          <w14:textFill>
            <w14:solidFill>
              <w14:schemeClr w14:val="tx1"/>
            </w14:solidFill>
          </w14:textFill>
        </w:rPr>
        <w:drawing>
          <wp:inline distT="0" distB="0" distL="0" distR="0">
            <wp:extent cx="5274310" cy="7763510"/>
            <wp:effectExtent l="0" t="0" r="2540" b="8890"/>
            <wp:docPr id="106634752" name="图片 106634752" descr="F:\微信下载文件\WeChat Files\wxid_tin24ov6vode22\FileStorage\Temp\5d955c375d46144b009b3e144099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34752" name="图片 106634752" descr="F:\微信下载文件\WeChat Files\wxid_tin24ov6vode22\FileStorage\Temp\5d955c375d46144b009b3e144099ed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5274310" cy="7763729"/>
                    </a:xfrm>
                    <a:prstGeom prst="rect">
                      <a:avLst/>
                    </a:prstGeom>
                    <a:noFill/>
                    <a:ln>
                      <a:noFill/>
                    </a:ln>
                  </pic:spPr>
                </pic:pic>
              </a:graphicData>
            </a:graphic>
          </wp:inline>
        </w:drawing>
      </w:r>
    </w:p>
    <w:p>
      <w:pPr>
        <w:pStyle w:val="47"/>
        <w:ind w:firstLine="178"/>
        <w:rPr>
          <w:rFonts w:hAnsi="Times New Roman"/>
          <w:color w:val="000000" w:themeColor="text1"/>
          <w14:textFill>
            <w14:solidFill>
              <w14:schemeClr w14:val="tx1"/>
            </w14:solidFill>
          </w14:textFill>
        </w:rPr>
      </w:pPr>
      <w:r>
        <w:rPr>
          <w:color w:val="000000" w:themeColor="text1"/>
          <w14:textFill>
            <w14:solidFill>
              <w14:schemeClr w14:val="tx1"/>
            </w14:solidFill>
          </w14:textFill>
        </w:rPr>
        <w:t>目录</w:t>
      </w:r>
    </w:p>
    <w:p>
      <w:pPr>
        <w:pStyle w:val="47"/>
        <w:tabs>
          <w:tab w:val="right" w:leader="dot" w:pos="8296"/>
        </w:tabs>
        <w:ind w:firstLine="178"/>
        <w:rPr>
          <w:rFonts w:eastAsiaTheme="minorEastAsia" w:cstheme="minorBidi"/>
          <w:b w:val="0"/>
          <w:bCs w:val="0"/>
          <w:i w:val="0"/>
          <w:iCs w:val="0"/>
          <w:color w:val="000000" w:themeColor="text1"/>
          <w:sz w:val="21"/>
          <w:szCs w:val="22"/>
          <w:lang w:val="en-US" w:bidi="ar-SA"/>
          <w14:textFill>
            <w14:solidFill>
              <w14:schemeClr w14:val="tx1"/>
            </w14:solidFill>
          </w14:textFill>
          <w14:ligatures w14:val="standardContextual"/>
        </w:rPr>
      </w:pPr>
      <w:r>
        <w:rPr>
          <w:rFonts w:ascii="Times New Roman" w:hAnsi="Times New Roman" w:cs="Times New Roman" w:eastAsiaTheme="minorEastAsia"/>
          <w:color w:val="000000" w:themeColor="text1"/>
          <w14:textFill>
            <w14:solidFill>
              <w14:schemeClr w14:val="tx1"/>
            </w14:solidFill>
          </w14:textFill>
        </w:rPr>
        <w:fldChar w:fldCharType="begin"/>
      </w:r>
      <w:r>
        <w:rPr>
          <w:rFonts w:ascii="Times New Roman" w:hAnsi="Times New Roman" w:cs="Times New Roman" w:eastAsiaTheme="minorEastAsia"/>
          <w:color w:val="000000" w:themeColor="text1"/>
          <w14:textFill>
            <w14:solidFill>
              <w14:schemeClr w14:val="tx1"/>
            </w14:solidFill>
          </w14:textFill>
        </w:rPr>
        <w:instrText xml:space="preserve">TOC \o "1-2" \h \z \u</w:instrText>
      </w:r>
      <w:r>
        <w:rPr>
          <w:rFonts w:ascii="Times New Roman" w:hAnsi="Times New Roman" w:cs="Times New Roman" w:eastAsiaTheme="minorEastAsia"/>
          <w:color w:val="000000" w:themeColor="text1"/>
          <w14:textFill>
            <w14:solidFill>
              <w14:schemeClr w14:val="tx1"/>
            </w14:solidFill>
          </w14:textFill>
        </w:rPr>
        <w:fldChar w:fldCharType="separate"/>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"_Toc162605155" </w:instrText>
      </w:r>
      <w:r>
        <w:rPr>
          <w:color w:val="000000" w:themeColor="text1"/>
          <w14:textFill>
            <w14:solidFill>
              <w14:schemeClr w14:val="tx1"/>
            </w14:solidFill>
          </w14:textFill>
        </w:rPr>
        <w:fldChar w:fldCharType="separate"/>
      </w:r>
      <w:r>
        <w:rPr>
          <w:rStyle w:val="83"/>
          <w:rFonts w:ascii="Times New Roman" w:hAnsi="Times New Roman" w:eastAsia="新宋体"/>
          <w:color w:val="000000" w:themeColor="text1"/>
          <w:lang w:val="en-US"/>
          <w14:textFill>
            <w14:solidFill>
              <w14:schemeClr w14:val="tx1"/>
            </w14:solidFill>
          </w14:textFill>
        </w:rPr>
        <w:t>1概述</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_Toc162605155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"_Toc162605156"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1.1建设项目由来及概况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_Toc162605156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"_Toc162605157"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1.2环境影响评价的工作过程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_Toc162605157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"_Toc162605158"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1.3分析判定相关情况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_Toc162605158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"_Toc162605159"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1.4本项目关注的主要环境问题及环境影响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34</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"_Toc162605160"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1.5评价工作主要结论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_Toc162605160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47"/>
        <w:tabs>
          <w:tab w:val="right" w:leader="dot" w:pos="8296"/>
        </w:tabs>
        <w:ind w:firstLine="178"/>
        <w:rPr>
          <w:rFonts w:eastAsiaTheme="minorEastAsia" w:cstheme="minorBidi"/>
          <w:b w:val="0"/>
          <w:bCs w:val="0"/>
          <w:i w:val="0"/>
          <w:iCs w:val="0"/>
          <w:color w:val="000000" w:themeColor="text1"/>
          <w:sz w:val="21"/>
          <w:szCs w:val="22"/>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"_Toc162605161" </w:instrText>
      </w:r>
      <w:r>
        <w:rPr>
          <w:color w:val="000000" w:themeColor="text1"/>
          <w14:textFill>
            <w14:solidFill>
              <w14:schemeClr w14:val="tx1"/>
            </w14:solidFill>
          </w14:textFill>
        </w:rPr>
        <w:fldChar w:fldCharType="separate"/>
      </w:r>
      <w:r>
        <w:rPr>
          <w:rStyle w:val="83"/>
          <w:rFonts w:ascii="Times New Roman" w:hAnsi="Times New Roman" w:eastAsia="新宋体"/>
          <w:color w:val="000000" w:themeColor="text1"/>
          <w:lang w:val="en-US"/>
          <w14:textFill>
            <w14:solidFill>
              <w14:schemeClr w14:val="tx1"/>
            </w14:solidFill>
          </w14:textFill>
        </w:rPr>
        <w:t>2总则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_Toc162605161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"_Toc162605162"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2.1编制依据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_Toc162605162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"_Toc162605163"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2.2评价因子与评价标准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_Toc162605163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"_Toc162605164"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2.3评价工作等级、评价范围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_Toc162605164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"_Toc162605165"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2.4主要环境保护目标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_Toc162605165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47"/>
        <w:tabs>
          <w:tab w:val="right" w:leader="dot" w:pos="8296"/>
        </w:tabs>
        <w:ind w:firstLine="178"/>
        <w:rPr>
          <w:rFonts w:eastAsiaTheme="minorEastAsia" w:cstheme="minorBidi"/>
          <w:b w:val="0"/>
          <w:bCs w:val="0"/>
          <w:i w:val="0"/>
          <w:iCs w:val="0"/>
          <w:color w:val="000000" w:themeColor="text1"/>
          <w:sz w:val="21"/>
          <w:szCs w:val="22"/>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"_Toc162605166" </w:instrText>
      </w:r>
      <w:r>
        <w:rPr>
          <w:color w:val="000000" w:themeColor="text1"/>
          <w14:textFill>
            <w14:solidFill>
              <w14:schemeClr w14:val="tx1"/>
            </w14:solidFill>
          </w14:textFill>
        </w:rPr>
        <w:fldChar w:fldCharType="separate"/>
      </w:r>
      <w:r>
        <w:rPr>
          <w:rStyle w:val="83"/>
          <w:rFonts w:ascii="Times New Roman" w:hAnsi="Times New Roman" w:eastAsia="新宋体"/>
          <w:color w:val="000000" w:themeColor="text1"/>
          <w:lang w:val="en-US"/>
          <w14:textFill>
            <w14:solidFill>
              <w14:schemeClr w14:val="tx1"/>
            </w14:solidFill>
          </w14:textFill>
        </w:rPr>
        <w:t>3建设项目工程分析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_Toc162605166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"_Toc162605167"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3.1原有工程概况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_Toc162605167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"_Toc162605168"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3.2建设项目概况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_Toc162605168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74</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"_Toc162605169"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3.3施工期工程分析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_Toc162605169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"_Toc162605170"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3.4营运期工程分析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_Toc162605170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94</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"_Toc162605171"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3.5污染物排放汇总</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_Toc162605171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"_Toc162605172"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3.6非正常工况排污分析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_Toc162605172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"_Toc162605173"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3.7项目“三本帐”分析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_Toc162605173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"_Toc162605174"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3.8清洁生产水平分析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_Toc162605174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47"/>
        <w:tabs>
          <w:tab w:val="right" w:leader="dot" w:pos="8296"/>
        </w:tabs>
        <w:ind w:firstLine="178"/>
        <w:rPr>
          <w:rFonts w:eastAsiaTheme="minorEastAsia" w:cstheme="minorBidi"/>
          <w:b w:val="0"/>
          <w:bCs w:val="0"/>
          <w:i w:val="0"/>
          <w:iCs w:val="0"/>
          <w:color w:val="000000" w:themeColor="text1"/>
          <w:sz w:val="21"/>
          <w:szCs w:val="22"/>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"_Toc162605175" </w:instrText>
      </w:r>
      <w:r>
        <w:rPr>
          <w:color w:val="000000" w:themeColor="text1"/>
          <w14:textFill>
            <w14:solidFill>
              <w14:schemeClr w14:val="tx1"/>
            </w14:solidFill>
          </w14:textFill>
        </w:rPr>
        <w:fldChar w:fldCharType="separate"/>
      </w:r>
      <w:r>
        <w:rPr>
          <w:rStyle w:val="83"/>
          <w:rFonts w:ascii="Times New Roman" w:hAnsi="Times New Roman" w:eastAsia="新宋体"/>
          <w:color w:val="000000" w:themeColor="text1"/>
          <w:lang w:val="en-US"/>
          <w14:textFill>
            <w14:solidFill>
              <w14:schemeClr w14:val="tx1"/>
            </w14:solidFill>
          </w14:textFill>
        </w:rPr>
        <w:t>4环境现状调查与评价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_Toc162605175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"_Toc162605176"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4.1自然环境</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_Toc162605176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"_Toc162605177"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4.2环境质量现状评价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_Toc162605177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"_Toc162605178"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4.3区域污染源调查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_Toc162605178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134</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"_Toc162605179"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4.4环境保护目标调查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_Toc162605179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47"/>
        <w:tabs>
          <w:tab w:val="right" w:leader="dot" w:pos="8296"/>
        </w:tabs>
        <w:ind w:firstLine="178"/>
        <w:rPr>
          <w:rFonts w:eastAsiaTheme="minorEastAsia" w:cstheme="minorBidi"/>
          <w:b w:val="0"/>
          <w:bCs w:val="0"/>
          <w:i w:val="0"/>
          <w:iCs w:val="0"/>
          <w:color w:val="000000" w:themeColor="text1"/>
          <w:sz w:val="21"/>
          <w:szCs w:val="22"/>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"_Toc162605180" </w:instrText>
      </w:r>
      <w:r>
        <w:rPr>
          <w:color w:val="000000" w:themeColor="text1"/>
          <w14:textFill>
            <w14:solidFill>
              <w14:schemeClr w14:val="tx1"/>
            </w14:solidFill>
          </w14:textFill>
        </w:rPr>
        <w:fldChar w:fldCharType="separate"/>
      </w:r>
      <w:r>
        <w:rPr>
          <w:rStyle w:val="83"/>
          <w:rFonts w:ascii="Times New Roman" w:hAnsi="Times New Roman" w:eastAsia="新宋体"/>
          <w:color w:val="000000" w:themeColor="text1"/>
          <w:lang w:val="en-US"/>
          <w14:textFill>
            <w14:solidFill>
              <w14:schemeClr w14:val="tx1"/>
            </w14:solidFill>
          </w14:textFill>
        </w:rPr>
        <w:t>5环境影响预测及评价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_Toc162605180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"_Toc162605181"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5.1施工期环境影响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_Toc162605181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"_Toc162605182"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5.2大气环境影响预测及评价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_Toc162605182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139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"_Toc162605183"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5.3地表水环境影响评价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_Toc162605183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163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"_Toc162605184"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5.4噪声影响评价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_Toc162605184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165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"_Toc162605185"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5.5环境风险评价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173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"_Toc162605186"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5.6固废环境影响分析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_Toc162605186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"_Toc162605187"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5.7 燃料及灰渣运输过程环境影响分析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_Toc162605187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"_Toc162605188"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5.8 土壤环境影响分析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_Toc162605188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47"/>
        <w:tabs>
          <w:tab w:val="right" w:leader="dot" w:pos="8296"/>
        </w:tabs>
        <w:ind w:firstLine="178"/>
        <w:rPr>
          <w:rFonts w:eastAsiaTheme="minorEastAsia" w:cstheme="minorBidi"/>
          <w:b w:val="0"/>
          <w:bCs w:val="0"/>
          <w:i w:val="0"/>
          <w:iCs w:val="0"/>
          <w:color w:val="000000" w:themeColor="text1"/>
          <w:sz w:val="21"/>
          <w:szCs w:val="22"/>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"_Toc162605189" </w:instrText>
      </w:r>
      <w:r>
        <w:rPr>
          <w:color w:val="000000" w:themeColor="text1"/>
          <w14:textFill>
            <w14:solidFill>
              <w14:schemeClr w14:val="tx1"/>
            </w14:solidFill>
          </w14:textFill>
        </w:rPr>
        <w:fldChar w:fldCharType="separate"/>
      </w:r>
      <w:r>
        <w:rPr>
          <w:rStyle w:val="83"/>
          <w:rFonts w:ascii="Times New Roman" w:hAnsi="Times New Roman" w:eastAsia="新宋体"/>
          <w:color w:val="000000" w:themeColor="text1"/>
          <w:lang w:val="en-US"/>
          <w14:textFill>
            <w14:solidFill>
              <w14:schemeClr w14:val="tx1"/>
            </w14:solidFill>
          </w14:textFill>
        </w:rPr>
        <w:t>6环境保护措施及其可行性论证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_Toc162605189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"_Toc162605190"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6.1 施工期环境保护措施及其可行性论证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_Toc162605190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"_Toc162605191"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6.2 运营期环境保护措施及其可行性论证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_Toc162605191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"_Toc162605192"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6.3 风险防范措施</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_Toc162605192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"_Toc162605193"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6.4 风险应急预案</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_Toc162605193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"_Toc162605194"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6.5 环保投资估算</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_Toc162605194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47"/>
        <w:tabs>
          <w:tab w:val="right" w:leader="dot" w:pos="8296"/>
        </w:tabs>
        <w:ind w:firstLine="178"/>
        <w:rPr>
          <w:rFonts w:eastAsiaTheme="minorEastAsia" w:cstheme="minorBidi"/>
          <w:b w:val="0"/>
          <w:bCs w:val="0"/>
          <w:i w:val="0"/>
          <w:iCs w:val="0"/>
          <w:color w:val="000000" w:themeColor="text1"/>
          <w:sz w:val="21"/>
          <w:szCs w:val="22"/>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"_Toc162605195" </w:instrText>
      </w:r>
      <w:r>
        <w:rPr>
          <w:color w:val="000000" w:themeColor="text1"/>
          <w14:textFill>
            <w14:solidFill>
              <w14:schemeClr w14:val="tx1"/>
            </w14:solidFill>
          </w14:textFill>
        </w:rPr>
        <w:fldChar w:fldCharType="separate"/>
      </w:r>
      <w:r>
        <w:rPr>
          <w:rStyle w:val="83"/>
          <w:rFonts w:ascii="Times New Roman" w:hAnsi="Times New Roman" w:eastAsia="新宋体"/>
          <w:color w:val="000000" w:themeColor="text1"/>
          <w:lang w:val="en-US"/>
          <w14:textFill>
            <w14:solidFill>
              <w14:schemeClr w14:val="tx1"/>
            </w14:solidFill>
          </w14:textFill>
        </w:rPr>
        <w:t>7环境影响经济损益分析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_Toc162605195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204</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"_Toc162605196"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7.1 效益分析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_Toc162605196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204</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"_Toc162605197"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7.2 环境经济损益分析结论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_Toc162605197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47"/>
        <w:tabs>
          <w:tab w:val="right" w:leader="dot" w:pos="8296"/>
        </w:tabs>
        <w:ind w:firstLine="178"/>
        <w:rPr>
          <w:rFonts w:eastAsiaTheme="minorEastAsia" w:cstheme="minorBidi"/>
          <w:b w:val="0"/>
          <w:bCs w:val="0"/>
          <w:i w:val="0"/>
          <w:iCs w:val="0"/>
          <w:color w:val="000000" w:themeColor="text1"/>
          <w:sz w:val="21"/>
          <w:szCs w:val="22"/>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"_Toc162605198" </w:instrText>
      </w:r>
      <w:r>
        <w:rPr>
          <w:color w:val="000000" w:themeColor="text1"/>
          <w14:textFill>
            <w14:solidFill>
              <w14:schemeClr w14:val="tx1"/>
            </w14:solidFill>
          </w14:textFill>
        </w:rPr>
        <w:fldChar w:fldCharType="separate"/>
      </w:r>
      <w:r>
        <w:rPr>
          <w:rStyle w:val="83"/>
          <w:rFonts w:ascii="Times New Roman" w:hAnsi="Times New Roman" w:eastAsia="新宋体"/>
          <w:color w:val="000000" w:themeColor="text1"/>
          <w:lang w:val="en-US"/>
          <w14:textFill>
            <w14:solidFill>
              <w14:schemeClr w14:val="tx1"/>
            </w14:solidFill>
          </w14:textFill>
        </w:rPr>
        <w:t>8环境管理与监测计划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_Toc162605198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"_Toc162605199"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8.1 环境管理概述</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_Toc162605199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"_Toc162605200"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8.2 环境监测计划</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_Toc162605200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"_Toc162605201"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8.3 污染物排放管理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_Toc162605201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"_Toc162605202"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8.4 与排污许可证制度衔接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_Toc162605202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"_Toc162605203"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8.5 “三同时”竣工验收一览表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_Toc162605203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47"/>
        <w:tabs>
          <w:tab w:val="right" w:leader="dot" w:pos="8296"/>
        </w:tabs>
        <w:ind w:firstLine="178"/>
        <w:rPr>
          <w:rFonts w:eastAsiaTheme="minorEastAsia" w:cstheme="minorBidi"/>
          <w:b w:val="0"/>
          <w:bCs w:val="0"/>
          <w:i w:val="0"/>
          <w:iCs w:val="0"/>
          <w:color w:val="000000" w:themeColor="text1"/>
          <w:sz w:val="21"/>
          <w:szCs w:val="22"/>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"_Toc162605204" </w:instrText>
      </w:r>
      <w:r>
        <w:rPr>
          <w:color w:val="000000" w:themeColor="text1"/>
          <w14:textFill>
            <w14:solidFill>
              <w14:schemeClr w14:val="tx1"/>
            </w14:solidFill>
          </w14:textFill>
        </w:rPr>
        <w:fldChar w:fldCharType="separate"/>
      </w:r>
      <w:r>
        <w:rPr>
          <w:rStyle w:val="83"/>
          <w:rFonts w:ascii="Times New Roman" w:hAnsi="Times New Roman" w:eastAsia="新宋体"/>
          <w:color w:val="000000" w:themeColor="text1"/>
          <w:lang w:val="en-US"/>
          <w14:textFill>
            <w14:solidFill>
              <w14:schemeClr w14:val="tx1"/>
            </w14:solidFill>
          </w14:textFill>
        </w:rPr>
        <w:t>9结论与建议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_Toc162605204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"_Toc162605205"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9.1结论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_Toc162605205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58"/>
        <w:tabs>
          <w:tab w:val="right" w:leader="dot" w:pos="8296"/>
        </w:tabs>
        <w:ind w:firstLine="218"/>
        <w:rPr>
          <w:rFonts w:eastAsiaTheme="minorEastAsia" w:cstheme="minorBidi"/>
          <w:b w:val="0"/>
          <w:bCs w:val="0"/>
          <w:color w:val="000000" w:themeColor="text1"/>
          <w:sz w:val="21"/>
          <w:lang w:val="en-US" w:bidi="ar-SA"/>
          <w14:textFill>
            <w14:solidFill>
              <w14:schemeClr w14:val="tx1"/>
            </w14:solidFill>
          </w14:textFill>
          <w14:ligatures w14:val="standardContextual"/>
        </w:rPr>
      </w:pP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\l "_Toc162605206" </w:instrText>
      </w:r>
      <w:r>
        <w:rPr>
          <w:color w:val="000000" w:themeColor="text1"/>
          <w14:textFill>
            <w14:solidFill>
              <w14:schemeClr w14:val="tx1"/>
            </w14:solidFill>
          </w14:textFill>
        </w:rPr>
        <w:fldChar w:fldCharType="separate"/>
      </w:r>
      <w:r>
        <w:rPr>
          <w:rStyle w:val="83"/>
          <w:rFonts w:ascii="Times New Roman" w:hAnsi="Times New Roman" w:cs="Times New Roman"/>
          <w:color w:val="000000" w:themeColor="text1"/>
          <w:lang w:val="en-US"/>
          <w14:textFill>
            <w14:solidFill>
              <w14:schemeClr w14:val="tx1"/>
            </w14:solidFill>
          </w14:textFill>
        </w:rPr>
        <w:t>9.2要求与建议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_Toc162605206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91"/>
        <w:ind w:firstLine="355"/>
        <w:rPr>
          <w:color w:val="000000" w:themeColor="text1"/>
          <w14:textFill>
            <w14:solidFill>
              <w14:schemeClr w14:val="tx1"/>
            </w14:solidFill>
          </w14:textFill>
        </w:rPr>
      </w:pPr>
      <w:r>
        <w:rPr>
          <w:color w:val="000000" w:themeColor="text1"/>
          <w14:textFill>
            <w14:solidFill>
              <w14:schemeClr w14:val="tx1"/>
            </w14:solidFill>
          </w14:textFill>
        </w:rPr>
        <w:fldChar w:fldCharType="end"/>
      </w:r>
    </w:p>
    <w:p>
      <w:pPr>
        <w:pStyle w:val="91"/>
        <w:ind w:firstLine="355"/>
        <w:jc w:val="left"/>
        <w:rPr>
          <w:color w:val="000000" w:themeColor="text1"/>
          <w14:textFill>
            <w14:solidFill>
              <w14:schemeClr w14:val="tx1"/>
            </w14:solidFill>
          </w14:textFill>
        </w:rPr>
      </w:pPr>
      <w:r>
        <w:rPr>
          <w:color w:val="000000" w:themeColor="text1"/>
          <w14:textFill>
            <w14:solidFill>
              <w14:schemeClr w14:val="tx1"/>
            </w14:solidFill>
          </w14:textFill>
        </w:rPr>
        <w:t>附表：</w:t>
      </w:r>
    </w:p>
    <w:p>
      <w:pPr>
        <w:pStyle w:val="91"/>
        <w:ind w:firstLine="355"/>
        <w:jc w:val="left"/>
        <w:rPr>
          <w:color w:val="000000" w:themeColor="text1"/>
          <w14:textFill>
            <w14:solidFill>
              <w14:schemeClr w14:val="tx1"/>
            </w14:solidFill>
          </w14:textFill>
        </w:rPr>
      </w:pPr>
      <w:r>
        <w:rPr>
          <w:color w:val="000000" w:themeColor="text1"/>
          <w14:textFill>
            <w14:solidFill>
              <w14:schemeClr w14:val="tx1"/>
            </w14:solidFill>
          </w14:textFill>
        </w:rPr>
        <w:t>附表1</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大气环境影响评价自查表</w:t>
      </w:r>
    </w:p>
    <w:p>
      <w:pPr>
        <w:pStyle w:val="91"/>
        <w:ind w:firstLine="355"/>
        <w:jc w:val="left"/>
        <w:rPr>
          <w:color w:val="000000" w:themeColor="text1"/>
          <w14:textFill>
            <w14:solidFill>
              <w14:schemeClr w14:val="tx1"/>
            </w14:solidFill>
          </w14:textFill>
        </w:rPr>
      </w:pPr>
      <w:r>
        <w:rPr>
          <w:color w:val="000000" w:themeColor="text1"/>
          <w14:textFill>
            <w14:solidFill>
              <w14:schemeClr w14:val="tx1"/>
            </w14:solidFill>
          </w14:textFill>
        </w:rPr>
        <w:t>附表2</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地表水环境影响评价自查表</w:t>
      </w:r>
    </w:p>
    <w:p>
      <w:pPr>
        <w:pStyle w:val="91"/>
        <w:ind w:firstLine="355"/>
        <w:jc w:val="left"/>
        <w:rPr>
          <w:color w:val="000000" w:themeColor="text1"/>
          <w14:textFill>
            <w14:solidFill>
              <w14:schemeClr w14:val="tx1"/>
            </w14:solidFill>
          </w14:textFill>
        </w:rPr>
      </w:pPr>
      <w:r>
        <w:rPr>
          <w:color w:val="000000" w:themeColor="text1"/>
          <w14:textFill>
            <w14:solidFill>
              <w14:schemeClr w14:val="tx1"/>
            </w14:solidFill>
          </w14:textFill>
        </w:rPr>
        <w:t>附表3</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环境风险评价自查表</w:t>
      </w:r>
    </w:p>
    <w:p>
      <w:pPr>
        <w:pStyle w:val="91"/>
        <w:ind w:firstLine="355"/>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附表4 建设项目声环境影响评价自查表</w:t>
      </w:r>
    </w:p>
    <w:p>
      <w:pPr>
        <w:pStyle w:val="91"/>
        <w:ind w:firstLine="355"/>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附表5 生态影响评价自查表</w:t>
      </w:r>
    </w:p>
    <w:p>
      <w:pPr>
        <w:pStyle w:val="91"/>
        <w:ind w:firstLine="355"/>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附表6 土壤</w:t>
      </w:r>
      <w:r>
        <w:rPr>
          <w:color w:val="000000" w:themeColor="text1"/>
          <w14:textFill>
            <w14:solidFill>
              <w14:schemeClr w14:val="tx1"/>
            </w14:solidFill>
          </w14:textFill>
        </w:rPr>
        <w:t>环境影响评价自查表</w:t>
      </w:r>
    </w:p>
    <w:p>
      <w:pPr>
        <w:pStyle w:val="91"/>
        <w:ind w:firstLine="355"/>
        <w:jc w:val="left"/>
        <w:rPr>
          <w:color w:val="000000" w:themeColor="text1"/>
          <w14:textFill>
            <w14:solidFill>
              <w14:schemeClr w14:val="tx1"/>
            </w14:solidFill>
          </w14:textFill>
        </w:rPr>
      </w:pPr>
    </w:p>
    <w:p>
      <w:pPr>
        <w:pStyle w:val="91"/>
        <w:ind w:firstLine="355"/>
        <w:jc w:val="left"/>
        <w:rPr>
          <w:color w:val="000000" w:themeColor="text1"/>
          <w14:textFill>
            <w14:solidFill>
              <w14:schemeClr w14:val="tx1"/>
            </w14:solidFill>
          </w14:textFill>
        </w:rPr>
      </w:pPr>
      <w:r>
        <w:rPr>
          <w:color w:val="000000" w:themeColor="text1"/>
          <w14:textFill>
            <w14:solidFill>
              <w14:schemeClr w14:val="tx1"/>
            </w14:solidFill>
          </w14:textFill>
        </w:rPr>
        <w:t>附件：</w:t>
      </w:r>
    </w:p>
    <w:p>
      <w:pPr>
        <w:pStyle w:val="91"/>
        <w:ind w:firstLine="355"/>
        <w:jc w:val="left"/>
        <w:rPr>
          <w:color w:val="000000" w:themeColor="text1"/>
          <w14:textFill>
            <w14:solidFill>
              <w14:schemeClr w14:val="tx1"/>
            </w14:solidFill>
          </w14:textFill>
        </w:rPr>
      </w:pPr>
      <w:r>
        <w:rPr>
          <w:color w:val="000000" w:themeColor="text1"/>
          <w14:textFill>
            <w14:solidFill>
              <w14:schemeClr w14:val="tx1"/>
            </w14:solidFill>
          </w14:textFill>
        </w:rPr>
        <w:t>附件1 营业执照</w:t>
      </w:r>
    </w:p>
    <w:p>
      <w:pPr>
        <w:pStyle w:val="91"/>
        <w:ind w:firstLine="355"/>
        <w:jc w:val="left"/>
        <w:rPr>
          <w:color w:val="000000" w:themeColor="text1"/>
          <w14:textFill>
            <w14:solidFill>
              <w14:schemeClr w14:val="tx1"/>
            </w14:solidFill>
          </w14:textFill>
        </w:rPr>
      </w:pP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排污许可证</w:t>
      </w:r>
      <w:r>
        <w:rPr>
          <w:rFonts w:hint="eastAsia"/>
          <w:color w:val="000000" w:themeColor="text1"/>
          <w14:textFill>
            <w14:solidFill>
              <w14:schemeClr w14:val="tx1"/>
            </w14:solidFill>
          </w14:textFill>
        </w:rPr>
        <w:t>及执行报告</w:t>
      </w:r>
    </w:p>
    <w:p>
      <w:pPr>
        <w:pStyle w:val="91"/>
        <w:ind w:firstLine="355"/>
        <w:jc w:val="left"/>
        <w:rPr>
          <w:color w:val="000000" w:themeColor="text1"/>
          <w14:textFill>
            <w14:solidFill>
              <w14:schemeClr w14:val="tx1"/>
            </w14:solidFill>
          </w14:textFill>
        </w:rPr>
      </w:pP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3</w:t>
      </w:r>
      <w:r>
        <w:rPr>
          <w:color w:val="000000" w:themeColor="text1"/>
          <w14:textFill>
            <w14:solidFill>
              <w14:schemeClr w14:val="tx1"/>
            </w14:solidFill>
          </w14:textFill>
        </w:rPr>
        <w:t xml:space="preserve"> 煤质分析报告</w:t>
      </w:r>
    </w:p>
    <w:p>
      <w:pPr>
        <w:pStyle w:val="91"/>
        <w:ind w:firstLine="355"/>
        <w:jc w:val="left"/>
        <w:rPr>
          <w:color w:val="000000" w:themeColor="text1"/>
          <w14:textFill>
            <w14:solidFill>
              <w14:schemeClr w14:val="tx1"/>
            </w14:solidFill>
          </w14:textFill>
        </w:rPr>
      </w:pPr>
      <w:r>
        <w:rPr>
          <w:color w:val="000000" w:themeColor="text1"/>
          <w14:textFill>
            <w14:solidFill>
              <w14:schemeClr w14:val="tx1"/>
            </w14:solidFill>
          </w14:textFill>
        </w:rPr>
        <w:t>附件</w:t>
      </w:r>
      <w:r>
        <w:rPr>
          <w:rFonts w:hint="eastAsia"/>
          <w:color w:val="000000" w:themeColor="text1"/>
          <w14:textFill>
            <w14:solidFill>
              <w14:schemeClr w14:val="tx1"/>
            </w14:solidFill>
          </w14:textFill>
        </w:rPr>
        <w:t>4</w:t>
      </w:r>
      <w:r>
        <w:rPr>
          <w:color w:val="000000" w:themeColor="text1"/>
          <w14:textFill>
            <w14:solidFill>
              <w14:schemeClr w14:val="tx1"/>
            </w14:solidFill>
          </w14:textFill>
        </w:rPr>
        <w:t xml:space="preserve"> 环境质量现状监测报告</w:t>
      </w:r>
    </w:p>
    <w:p>
      <w:pPr>
        <w:pStyle w:val="91"/>
        <w:ind w:firstLine="35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附件5</w:t>
      </w:r>
      <w:r>
        <w:rPr>
          <w:rFonts w:hint="eastAsia"/>
          <w:color w:val="000000" w:themeColor="text1"/>
          <w14:textFill>
            <w14:solidFill>
              <w14:schemeClr w14:val="tx1"/>
            </w14:solidFill>
          </w14:textFill>
        </w:rPr>
        <w:t>突发环境事件应急预案</w:t>
      </w:r>
      <w:r>
        <w:rPr>
          <w:rFonts w:hint="eastAsia"/>
          <w:snapToGrid w:val="0"/>
          <w:color w:val="000000" w:themeColor="text1"/>
          <w14:textFill>
            <w14:solidFill>
              <w14:schemeClr w14:val="tx1"/>
            </w14:solidFill>
          </w14:textFill>
        </w:rPr>
        <w:t>及其备案文件</w:t>
      </w:r>
    </w:p>
    <w:p>
      <w:pPr>
        <w:pStyle w:val="91"/>
        <w:ind w:firstLine="35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附件6原环评批复文件</w:t>
      </w:r>
    </w:p>
    <w:p>
      <w:pPr>
        <w:pStyle w:val="91"/>
        <w:ind w:firstLine="35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附件7土地文件</w:t>
      </w:r>
    </w:p>
    <w:p>
      <w:pPr>
        <w:pStyle w:val="91"/>
        <w:ind w:firstLine="355"/>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附件8 中央环保督查文件</w:t>
      </w:r>
    </w:p>
    <w:p>
      <w:pPr>
        <w:pStyle w:val="91"/>
        <w:ind w:firstLine="355"/>
        <w:jc w:val="left"/>
        <w:rPr>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附件9供热范围情况说明</w:t>
      </w:r>
    </w:p>
    <w:p>
      <w:pPr>
        <w:pStyle w:val="91"/>
        <w:ind w:firstLine="355"/>
        <w:jc w:val="left"/>
        <w:rPr>
          <w:rFonts w:hint="eastAsia"/>
          <w:snapToGrid w:val="0"/>
          <w:color w:val="000000" w:themeColor="text1"/>
          <w14:textFill>
            <w14:solidFill>
              <w14:schemeClr w14:val="tx1"/>
            </w14:solidFill>
          </w14:textFill>
        </w:rPr>
      </w:pPr>
      <w:r>
        <w:rPr>
          <w:rFonts w:hint="eastAsia"/>
          <w:snapToGrid w:val="0"/>
          <w:color w:val="000000" w:themeColor="text1"/>
          <w14:textFill>
            <w14:solidFill>
              <w14:schemeClr w14:val="tx1"/>
            </w14:solidFill>
          </w14:textFill>
        </w:rPr>
        <w:t>附件10灰渣买卖协议</w:t>
      </w:r>
    </w:p>
    <w:p>
      <w:pPr>
        <w:pStyle w:val="91"/>
        <w:ind w:firstLine="355"/>
        <w:jc w:val="left"/>
        <w:rPr>
          <w:rFonts w:hint="eastAsia"/>
          <w:snapToGrid w:val="0"/>
          <w:color w:val="000000" w:themeColor="text1"/>
          <w:lang w:val="en-US" w:eastAsia="zh-CN"/>
          <w14:textFill>
            <w14:solidFill>
              <w14:schemeClr w14:val="tx1"/>
            </w14:solidFill>
          </w14:textFill>
        </w:rPr>
      </w:pPr>
      <w:r>
        <w:rPr>
          <w:rFonts w:hint="eastAsia"/>
          <w:snapToGrid w:val="0"/>
          <w:color w:val="000000" w:themeColor="text1"/>
          <w:lang w:val="en-US" w:eastAsia="zh-CN"/>
          <w14:textFill>
            <w14:solidFill>
              <w14:schemeClr w14:val="tx1"/>
            </w14:solidFill>
          </w14:textFill>
        </w:rPr>
        <w:t>附件11 总量批复文件</w:t>
      </w:r>
    </w:p>
    <w:p>
      <w:pPr>
        <w:pStyle w:val="91"/>
        <w:ind w:firstLine="355"/>
        <w:jc w:val="left"/>
        <w:rPr>
          <w:rFonts w:hint="default"/>
          <w:snapToGrid w:val="0"/>
          <w:color w:val="000000" w:themeColor="text1"/>
          <w:lang w:val="en-US" w:eastAsia="zh-CN"/>
          <w14:textFill>
            <w14:solidFill>
              <w14:schemeClr w14:val="tx1"/>
            </w14:solidFill>
          </w14:textFill>
        </w:rPr>
      </w:pPr>
      <w:r>
        <w:rPr>
          <w:rFonts w:hint="eastAsia"/>
          <w:snapToGrid w:val="0"/>
          <w:color w:val="000000" w:themeColor="text1"/>
          <w:lang w:val="en-US" w:eastAsia="zh-CN"/>
          <w14:textFill>
            <w14:solidFill>
              <w14:schemeClr w14:val="tx1"/>
            </w14:solidFill>
          </w14:textFill>
        </w:rPr>
        <w:t>附件12三线一单分析成果</w:t>
      </w:r>
    </w:p>
    <w:p>
      <w:pPr>
        <w:pStyle w:val="91"/>
        <w:ind w:firstLine="355"/>
        <w:rPr>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upperLetter"/>
          <w:cols w:space="0" w:num="1"/>
          <w:docGrid w:type="linesAndChars" w:linePitch="312" w:charSpace="-551"/>
        </w:sectPr>
      </w:pPr>
    </w:p>
    <w:p>
      <w:pPr>
        <w:pStyle w:val="3"/>
        <w:ind w:firstLine="878"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2" w:name="_Toc162605155"/>
      <w:r>
        <w:rPr>
          <w:rFonts w:ascii="Times New Roman" w:hAnsi="Times New Roman" w:eastAsia="新宋体" w:cstheme="minorBidi"/>
          <w:color w:val="000000" w:themeColor="text1"/>
          <w:szCs w:val="24"/>
          <w:lang w:val="en-US" w:bidi="ar-SA"/>
          <w14:textFill>
            <w14:solidFill>
              <w14:schemeClr w14:val="tx1"/>
            </w14:solidFill>
          </w14:textFill>
        </w:rPr>
        <w:t>1概述</w:t>
      </w:r>
      <w:bookmarkEnd w:id="0"/>
      <w:bookmarkEnd w:id="1"/>
      <w:bookmarkEnd w:id="2"/>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3" w:name="_Toc532974683"/>
      <w:bookmarkStart w:id="4" w:name="_Toc534544994"/>
      <w:bookmarkStart w:id="5" w:name="_Toc162605156"/>
      <w:r>
        <w:rPr>
          <w:rFonts w:ascii="Times New Roman" w:hAnsi="Times New Roman" w:cs="Times New Roman" w:eastAsiaTheme="minorEastAsia"/>
          <w:color w:val="000000" w:themeColor="text1"/>
          <w:szCs w:val="24"/>
          <w:lang w:val="en-US" w:bidi="ar-SA"/>
          <w14:textFill>
            <w14:solidFill>
              <w14:schemeClr w14:val="tx1"/>
            </w14:solidFill>
          </w14:textFill>
        </w:rPr>
        <w:t>1.1</w:t>
      </w:r>
      <w:bookmarkEnd w:id="3"/>
      <w:r>
        <w:rPr>
          <w:rFonts w:ascii="Times New Roman" w:hAnsi="Times New Roman" w:cs="Times New Roman" w:eastAsiaTheme="minorEastAsia"/>
          <w:color w:val="000000" w:themeColor="text1"/>
          <w:szCs w:val="24"/>
          <w:lang w:val="en-US" w:bidi="ar-SA"/>
          <w14:textFill>
            <w14:solidFill>
              <w14:schemeClr w14:val="tx1"/>
            </w14:solidFill>
          </w14:textFill>
        </w:rPr>
        <w:t>建设项目</w:t>
      </w:r>
      <w:bookmarkEnd w:id="4"/>
      <w:r>
        <w:rPr>
          <w:rFonts w:ascii="Times New Roman" w:hAnsi="Times New Roman" w:cs="Times New Roman" w:eastAsiaTheme="minorEastAsia"/>
          <w:color w:val="000000" w:themeColor="text1"/>
          <w:szCs w:val="24"/>
          <w:lang w:val="en-US" w:bidi="ar-SA"/>
          <w14:textFill>
            <w14:solidFill>
              <w14:schemeClr w14:val="tx1"/>
            </w14:solidFill>
          </w14:textFill>
        </w:rPr>
        <w:t>由来及概况</w:t>
      </w:r>
      <w:bookmarkEnd w:id="5"/>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1.</w:t>
      </w:r>
      <w:r>
        <w:rPr>
          <w:rFonts w:hint="eastAsia" w:ascii="Times New Roman" w:hAnsi="Times New Roman" w:eastAsia="新宋体" w:cstheme="minorBidi"/>
          <w:color w:val="000000" w:themeColor="text1"/>
          <w:szCs w:val="24"/>
          <w:lang w:val="en-US" w:bidi="ar-SA"/>
          <w14:textFill>
            <w14:solidFill>
              <w14:schemeClr w14:val="tx1"/>
            </w14:solidFill>
          </w14:textFill>
        </w:rPr>
        <w:t>1</w:t>
      </w:r>
      <w:r>
        <w:rPr>
          <w:rFonts w:ascii="Times New Roman" w:hAnsi="Times New Roman" w:eastAsia="新宋体" w:cstheme="minorBidi"/>
          <w:color w:val="000000" w:themeColor="text1"/>
          <w:szCs w:val="24"/>
          <w:lang w:val="en-US" w:bidi="ar-SA"/>
          <w14:textFill>
            <w14:solidFill>
              <w14:schemeClr w14:val="tx1"/>
            </w14:solidFill>
          </w14:textFill>
        </w:rPr>
        <w:t>.1</w:t>
      </w:r>
      <w:r>
        <w:rPr>
          <w:rFonts w:hint="eastAsia" w:ascii="Times New Roman" w:hAnsi="Times New Roman" w:eastAsia="新宋体" w:cstheme="minorBidi"/>
          <w:color w:val="000000" w:themeColor="text1"/>
          <w:szCs w:val="24"/>
          <w:lang w:val="en-US" w:bidi="ar-SA"/>
          <w14:textFill>
            <w14:solidFill>
              <w14:schemeClr w14:val="tx1"/>
            </w14:solidFill>
          </w14:textFill>
        </w:rPr>
        <w:t>建设项目由来</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2011年黑龙江省农垦总局红兴隆管理局在管理局局直南侧建设局直集中供热站项目，建设2台70MW燃煤热水锅炉，包含热力站14座。锅炉烟气采用湿式氧化镁法脱硫、干式+湿式除尘器、低氮燃烧于2011年10月26日取得原黑龙江省环境保护厅垦区环境保护局批复文件《关于黑龙江省农垦总局红兴隆管理局供暖工程环境影响报告书审批意见的复函》（黑垦环函[2011]40号）。于2013年3月编制《黑龙江省农垦红兴隆管理局局直集中供热站项目建设项目竣工环境保护验收检测报告》，并通过原黑龙江省环境保护厅垦区环境保护局验收。已取得排污许可证，排污许可证编号为：91233002592739887W001R。建设单位已完成突发环境事件应急预案备案，于2020年4月26日由双鸭山市生态环境局红兴隆分局予以备案，备案编号为：230507-2020-001-L。</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2022年，中央环保督查要求对现有锅炉实行超低排放改造。黑龙江农泉兴隆热力有限公司对现有2台70MW热水锅炉脱硫设备进行改造，同时将现有除尘设备更换为两台布袋式除尘。①脱硫设备改造，脱硫塔主体改造；扩建脱硫设备用房，扩建面积100.27平方米。改造后脱硫设备仍采用湿式氧化镁法脱硫。②拆除原有除尘设备，新安装2台布袋式除尘器及配套设施，包括除尘系统管道及附属设施。于2022年11月4日，进行红兴隆分公司局直地区供热改造工程环境影响备案登记，备案号为20222399000300000004。目前，除尘及脱硫设施改造已经完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但是，由于工程技术原因，现有2台70MW热水锅炉无法完成脱硝技术改造。为了完成中央环保督查的整改要求，黑龙江农泉兴隆热力有限公司决定将现有2台70MW热水锅炉淘汰，并新建1台70MW热水锅炉，锅炉配备布袋除尘器，除尘效率不低于99.95%；配备湿式镁法脱硫塔除尘脱硫系统，脱硫效率不低于95%；配备低氮燃烧和SNCR-SCR联合脱硝工艺，脱硝剂为尿素，脱硝效率不低于80%；新建锅炉执行《关于印发&lt;全面实施燃煤电厂超低排放和节能改造工作方案&gt;的通知》（环发 [2015]164号）要求，达到超低排放限值（在基准氧含量6%条件下，烟尘、SO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x</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排放浓度分别不高于10mg/m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、35mg/m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现有2台70MW热水锅炉计划于2024年3月末（2023年供热期结束后）彻底淘汰，本次新建1台70MW热水锅炉计划于2024年10月（2024年供热期）投产使用。未来计划再新建1台70MW热水锅炉，全部建成后全厂建设有2台70MW热水锅炉均执行超低排放限值。本次仅针对新建1台70MW热水锅炉进行分析评价。</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中华人民共和国环境保护法》《中华人民共和国环境影响评价法》和《建设项目环境保护管理条例》等文件的规定，黑龙江农泉兴隆热力有限公司委托我单位开展“2022年北大荒农垦集团红兴隆分公司农垦公用基础设施建设项目”的环境影响评价工作。我单位接受委托后立刻组织环评编写人员收集项目资料、开展现场踏查，按照建设项目环境影响评价技术导则分析环境特征，识别和筛选本项目的环境影响因子和评价因子等，确定评价等级、评价标准和评价范围等工作，开展了现状评价和环境影响预测，在此基础上编制完成了《2022年北大荒农垦集团红兴隆分公司农垦公用基础设施建设项目环境影响报告书》。</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1.</w:t>
      </w:r>
      <w:r>
        <w:rPr>
          <w:rFonts w:hint="eastAsia" w:ascii="Times New Roman" w:hAnsi="Times New Roman" w:eastAsia="新宋体" w:cstheme="minorBidi"/>
          <w:color w:val="000000" w:themeColor="text1"/>
          <w:szCs w:val="24"/>
          <w:lang w:val="en-US" w:bidi="ar-SA"/>
          <w14:textFill>
            <w14:solidFill>
              <w14:schemeClr w14:val="tx1"/>
            </w14:solidFill>
          </w14:textFill>
        </w:rPr>
        <w:t>1</w:t>
      </w:r>
      <w:r>
        <w:rPr>
          <w:rFonts w:ascii="Times New Roman" w:hAnsi="Times New Roman" w:eastAsia="新宋体" w:cstheme="minorBidi"/>
          <w:color w:val="000000" w:themeColor="text1"/>
          <w:szCs w:val="24"/>
          <w:lang w:val="en-US" w:bidi="ar-SA"/>
          <w14:textFill>
            <w14:solidFill>
              <w14:schemeClr w14:val="tx1"/>
            </w14:solidFill>
          </w14:textFill>
        </w:rPr>
        <w:t>.</w:t>
      </w:r>
      <w:r>
        <w:rPr>
          <w:rFonts w:hint="eastAsia" w:ascii="Times New Roman" w:hAnsi="Times New Roman" w:eastAsia="新宋体" w:cstheme="minorBidi"/>
          <w:color w:val="000000" w:themeColor="text1"/>
          <w:szCs w:val="24"/>
          <w:lang w:val="en-US" w:bidi="ar-SA"/>
          <w14:textFill>
            <w14:solidFill>
              <w14:schemeClr w14:val="tx1"/>
            </w14:solidFill>
          </w14:textFill>
        </w:rPr>
        <w:t>2建设项目特点</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本项目拟在现有锅炉房东侧扩建2150m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锅炉房及附属工程，新建70MW（100t/h）热水锅炉一台，配套建设输煤系统、热力系统、风烟系统等，安装脱硫脱硝和除尘设施。对现有2台70MW热水锅炉淘汰，需要核算现有锅炉“以新带老”削减量。</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本项目依托原有工程煤场、灰渣</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场</w:t>
      </w:r>
      <w:r>
        <w:rPr>
          <w:rFonts w:ascii="Times New Roman" w:hAnsi="Times New Roman" w:cs="Times New Roman" w:eastAsiaTheme="minorEastAsia"/>
          <w:color w:val="000000" w:themeColor="text1"/>
          <w:sz w:val="24"/>
          <w:szCs w:val="24"/>
          <w:lang w:val="en-US"/>
          <w14:textFill>
            <w14:solidFill>
              <w14:schemeClr w14:val="tx1"/>
            </w14:solidFill>
          </w14:textFill>
        </w:rPr>
        <w:t>、制水系统、危废贮存库等。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本项目不新增劳动定员。本次改扩建后燃</w:t>
      </w:r>
      <w:r>
        <w:rPr>
          <w:rFonts w:ascii="Times New Roman" w:hAnsi="Times New Roman" w:cs="Times New Roman" w:eastAsiaTheme="minorEastAsia"/>
          <w:color w:val="000000" w:themeColor="text1"/>
          <w:sz w:val="24"/>
          <w:szCs w:val="24"/>
          <w:lang w:val="en-US"/>
          <w14:textFill>
            <w14:solidFill>
              <w14:schemeClr w14:val="tx1"/>
            </w14:solidFill>
          </w14:textFill>
        </w:rPr>
        <w:t>煤使用量减少4.2万t/a。</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3、本项目新建锅炉</w:t>
      </w:r>
      <w:r>
        <w:rPr>
          <w:rFonts w:ascii="Times New Roman" w:hAnsi="Times New Roman" w:cs="Times New Roman" w:eastAsiaTheme="minorEastAsia"/>
          <w:color w:val="000000" w:themeColor="text1"/>
          <w:sz w:val="24"/>
          <w:szCs w:val="24"/>
          <w:lang w:val="en-US"/>
          <w14:textFill>
            <w14:solidFill>
              <w14:schemeClr w14:val="tx1"/>
            </w14:solidFill>
          </w14:textFill>
        </w:rPr>
        <w:t>配备布袋除尘器，除尘效率不低于99.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配备湿式镁法脱硫塔除尘脱硫系统，脱硫效率不低于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95</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配备</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低氮燃烧和SNCR-SCR联合脱硝工艺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脱硝剂为尿素，</w:t>
      </w:r>
      <w:r>
        <w:rPr>
          <w:rFonts w:ascii="Times New Roman" w:hAnsi="Times New Roman" w:cs="Times New Roman" w:eastAsiaTheme="minorEastAsia"/>
          <w:color w:val="000000" w:themeColor="text1"/>
          <w:sz w:val="24"/>
          <w:szCs w:val="24"/>
          <w:lang w:val="en-US"/>
          <w14:textFill>
            <w14:solidFill>
              <w14:schemeClr w14:val="tx1"/>
            </w14:solidFill>
          </w14:textFill>
        </w:rPr>
        <w:t>脱硝效率不低于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80</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处理后的烟气通过高100m、出口内径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m的烟囱排放</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。锅炉执行</w:t>
      </w:r>
      <w:r>
        <w:rPr>
          <w:rFonts w:ascii="Times New Roman" w:hAnsi="Times New Roman" w:cs="Times New Roman" w:eastAsiaTheme="minorEastAsia"/>
          <w:color w:val="000000" w:themeColor="text1"/>
          <w:sz w:val="24"/>
          <w:szCs w:val="24"/>
          <w:lang w:val="en-US"/>
          <w14:textFill>
            <w14:solidFill>
              <w14:schemeClr w14:val="tx1"/>
            </w14:solidFill>
          </w14:textFill>
        </w:rPr>
        <w:t>《关于印发&lt;全面实施燃煤电厂超低排放和节能改造工作方案&gt;的通知》（环发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、35mg/m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烟气黑度及汞及其化合物执行</w:t>
      </w:r>
      <w:r>
        <w:rPr>
          <w:rFonts w:ascii="Times New Roman" w:hAnsi="Times New Roman" w:cs="Times New Roman" w:eastAsiaTheme="minorEastAsia"/>
          <w:color w:val="000000" w:themeColor="text1"/>
          <w:sz w:val="24"/>
          <w:szCs w:val="24"/>
          <w:lang w:val="en-US"/>
          <w14:textFill>
            <w14:solidFill>
              <w14:schemeClr w14:val="tx1"/>
            </w14:solidFill>
          </w14:textFill>
        </w:rPr>
        <w:t>《锅炉大气污染物排放标准》（GB13271-2014）表2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标准。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本次工程不新增换热站和供热管网，供热管网已经预留完毕，且原有换热站尚有大部分余量，不需新建换热站。</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5、黑龙江农垦兴隆热力有限公司现有2台70MW热水锅炉，最大供热能力260万平方米，现有供热面积190万平方米。2023年，供热范围内，有65万平方米的供热面积报停，不在供热范围内。</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本次新建1台70MW热水锅炉，满负荷供热能力130万平方米，能够满足剩余125万平方米的供热需求。</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6" w:name="_Toc162605157"/>
      <w:bookmarkStart w:id="7" w:name="_Toc534544995"/>
      <w:r>
        <w:rPr>
          <w:rFonts w:ascii="Times New Roman" w:hAnsi="Times New Roman" w:cs="Times New Roman" w:eastAsiaTheme="minorEastAsia"/>
          <w:color w:val="000000" w:themeColor="text1"/>
          <w:szCs w:val="24"/>
          <w:lang w:val="en-US" w:bidi="ar-SA"/>
          <w14:textFill>
            <w14:solidFill>
              <w14:schemeClr w14:val="tx1"/>
            </w14:solidFill>
          </w14:textFill>
        </w:rPr>
        <w:t>1.2环境影响评价的工作过程</w:t>
      </w:r>
      <w:bookmarkEnd w:id="6"/>
      <w:bookmarkEnd w:id="7"/>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分析判定建设项目选址、规模、性质和工艺路线等与国家和地方有关环境保护法律法规、标准、政策、规范、相关规划的符合性，作为开展环境影响评价工作的前提和基础。</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依据《建设项目环境影响评价技术导则 总纲》（</w:t>
      </w:r>
      <w:r>
        <w:rPr>
          <w:rFonts w:ascii="Times New Roman" w:hAnsi="Times New Roman" w:cs="Times New Roman" w:eastAsiaTheme="minorEastAsia"/>
          <w:color w:val="000000" w:themeColor="text1"/>
          <w:sz w:val="24"/>
          <w:szCs w:val="24"/>
          <w:lang w:val="en-US"/>
          <w14:textFill>
            <w14:solidFill>
              <w14:schemeClr w14:val="tx1"/>
            </w14:solidFill>
          </w14:textFill>
        </w:rPr>
        <w:t>HJ2.1-2016</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）要求，环境影响评价工作一般分为三个阶段，即调查分析和工作方案制定阶段，分析论证和预测评价阶段，环境影响报告书编制阶段。</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评价单位在研究相关技术及其他有关文件基础上进行初步工程分析，开展了初步环境现状调查，进行了环境影响识别和评价因子筛选，确定了环境保护目标，进一步确定评价工作等级、范围及评价标准，制定出相应工作方案；根据第一阶段工作成果，对环境现状进行了监测与评价，详细进行工程分析，对各环境要素影响进行了预测与分析；最终，提出环境保护措施，进行经济技术可行性论证，给出污染物排放清单并给出评价结论，</w:t>
      </w:r>
      <w:r>
        <w:rPr>
          <w:rFonts w:ascii="Times New Roman" w:hAnsi="Times New Roman" w:cs="Times New Roman" w:eastAsiaTheme="minorEastAsia"/>
          <w:color w:val="000000" w:themeColor="text1"/>
          <w:sz w:val="24"/>
          <w:szCs w:val="24"/>
          <w:lang w:val="en-US"/>
          <w14:textFill>
            <w14:solidFill>
              <w14:schemeClr w14:val="tx1"/>
            </w14:solidFill>
          </w14:textFill>
        </w:rPr>
        <w:t>环境影响评价的工作过程见图1-2-1。</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根据《建设项目环境影响评价分类管理名录》（</w:t>
      </w:r>
      <w:r>
        <w:rPr>
          <w:rFonts w:ascii="Times New Roman" w:hAnsi="Times New Roman" w:cs="Times New Roman" w:eastAsiaTheme="minorEastAsia"/>
          <w:color w:val="000000" w:themeColor="text1"/>
          <w:sz w:val="24"/>
          <w:szCs w:val="24"/>
          <w:lang w:val="en-US"/>
          <w14:textFill>
            <w14:solidFill>
              <w14:schemeClr w14:val="tx1"/>
            </w14:solidFill>
          </w14:textFill>
        </w:rPr>
        <w:t>2021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年版）中</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四十一、电力、热力生产和供应业91热力生产和供应工程（包括建设单位自建自用的供热工程）中“燃煤、燃油锅炉总容量65吨/小时（45.5兆瓦）以上的”应做报告书</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。本项目新扩建1台70MW燃煤热水锅炉，因此，本项目应做环境影响报告书。</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评价单位接受委托后随即组织人员在研究相关技术及其他有关文件基础上进行初步工程分析，开展了初步环境现状调查，进行了环境影响识别和评价因子筛选。明确了评价重点为水环境影响及大气环境影响，确定了保护目标，进一步确定评价工作等级、范围及评价标准，制定出相应工作方案。</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根据第一阶段工作成果，对环境现状进行了监测与评价，详细进行工程分析。对各环境要素影响进行了预测与分析。提出环境保护措施，进行经济技术可行性论证，给出污染物排放清单并给出评价结论。</w:t>
      </w:r>
    </w:p>
    <w:p>
      <w:pPr>
        <w:pStyle w:val="91"/>
        <w:ind w:firstLine="0" w:firstLineChars="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114300" distR="114300">
            <wp:extent cx="5379720" cy="5063490"/>
            <wp:effectExtent l="0" t="0" r="0" b="3810"/>
            <wp:docPr id="226"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52"/>
                    <pic:cNvPicPr>
                      <a:picLocks noChangeAspect="1"/>
                    </pic:cNvPicPr>
                  </pic:nvPicPr>
                  <pic:blipFill>
                    <a:blip r:embed="rId18" cstate="print"/>
                    <a:srcRect t="1334" b="1524"/>
                    <a:stretch>
                      <a:fillRect/>
                    </a:stretch>
                  </pic:blipFill>
                  <pic:spPr>
                    <a:xfrm>
                      <a:off x="0" y="0"/>
                      <a:ext cx="5396113" cy="5079073"/>
                    </a:xfrm>
                    <a:prstGeom prst="rect">
                      <a:avLst/>
                    </a:prstGeom>
                    <a:noFill/>
                    <a:ln w="9525">
                      <a:noFill/>
                    </a:ln>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图1-2-1 环境影响评价的工作过程示意图</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8" w:name="_Toc534544996"/>
      <w:bookmarkStart w:id="9" w:name="_Toc162605158"/>
      <w:bookmarkStart w:id="10" w:name="_Toc15146"/>
      <w:bookmarkStart w:id="11" w:name="_Toc511500943"/>
      <w:bookmarkStart w:id="12" w:name="_Toc532974685"/>
      <w:bookmarkStart w:id="13" w:name="_Toc24785"/>
      <w:r>
        <w:rPr>
          <w:rFonts w:ascii="Times New Roman" w:hAnsi="Times New Roman" w:cs="Times New Roman" w:eastAsiaTheme="minorEastAsia"/>
          <w:color w:val="000000" w:themeColor="text1"/>
          <w:szCs w:val="24"/>
          <w:lang w:val="en-US" w:bidi="ar-SA"/>
          <w14:textFill>
            <w14:solidFill>
              <w14:schemeClr w14:val="tx1"/>
            </w14:solidFill>
          </w14:textFill>
        </w:rPr>
        <w:t>1.3</w:t>
      </w:r>
      <w:bookmarkEnd w:id="8"/>
      <w:r>
        <w:rPr>
          <w:rFonts w:ascii="Times New Roman" w:hAnsi="Times New Roman" w:cs="Times New Roman" w:eastAsiaTheme="minorEastAsia"/>
          <w:color w:val="000000" w:themeColor="text1"/>
          <w:szCs w:val="24"/>
          <w:lang w:val="en-US" w:bidi="ar-SA"/>
          <w14:textFill>
            <w14:solidFill>
              <w14:schemeClr w14:val="tx1"/>
            </w14:solidFill>
          </w14:textFill>
        </w:rPr>
        <w:t>分析判定相关情况</w:t>
      </w:r>
      <w:bookmarkEnd w:id="9"/>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1.3.1产业政策符合性分析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本项目属于《产业结构和调整指导目录（20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24</w:t>
      </w:r>
      <w:r>
        <w:rPr>
          <w:rFonts w:ascii="Times New Roman" w:hAnsi="Times New Roman" w:cs="Times New Roman" w:eastAsiaTheme="minorEastAsia"/>
          <w:color w:val="000000" w:themeColor="text1"/>
          <w:sz w:val="24"/>
          <w:szCs w:val="24"/>
          <w:lang w:val="en-US"/>
          <w14:textFill>
            <w14:solidFill>
              <w14:schemeClr w14:val="tx1"/>
            </w14:solidFill>
          </w14:textFill>
        </w:rPr>
        <w:t>年本）》中鼓励类“第二十二类、</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城镇</w:t>
      </w:r>
      <w:r>
        <w:rPr>
          <w:rFonts w:ascii="Times New Roman" w:hAnsi="Times New Roman" w:cs="Times New Roman" w:eastAsiaTheme="minorEastAsia"/>
          <w:color w:val="000000" w:themeColor="text1"/>
          <w:sz w:val="24"/>
          <w:szCs w:val="24"/>
          <w:lang w:val="en-US"/>
          <w14:textFill>
            <w14:solidFill>
              <w14:schemeClr w14:val="tx1"/>
            </w14:solidFill>
          </w14:textFill>
        </w:rPr>
        <w:t>基础设施：</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市政基础设施：城镇供排水工程及相关设备生产，地级及以上城市地下综合管廊建设，地下管网地理信息系统，城市燃气工程，城镇集中供热建设和改造工程(包括长距离集中供热管网应用工程)，城市节水技术开发与应用，城市燃气塑料管道应用工程，海绵城市、排水防涝工程技术产品开发生产</w:t>
      </w:r>
      <w:r>
        <w:rPr>
          <w:rFonts w:ascii="Times New Roman" w:hAnsi="Times New Roman" w:cs="Times New Roman" w:eastAsiaTheme="minorEastAsia"/>
          <w:color w:val="000000" w:themeColor="text1"/>
          <w:sz w:val="24"/>
          <w:szCs w:val="24"/>
          <w:lang w:val="en-US"/>
          <w14:textFill>
            <w14:solidFill>
              <w14:schemeClr w14:val="tx1"/>
            </w14:solidFill>
          </w14:textFill>
        </w:rPr>
        <w:t>”，是鼓励类建设项目，符合国家产业政策要求，从产业政策符合性角度分析，项目建设可行。</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1.3.2相关规划符合性</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1.3.2.1</w:t>
      </w:r>
      <w:r>
        <w:rPr>
          <w:rFonts w:ascii="Times New Roman" w:hAnsi="Times New Roman" w:cs="Times New Roman" w:eastAsiaTheme="minorEastAsia"/>
          <w:color w:val="000000" w:themeColor="text1"/>
          <w:sz w:val="24"/>
          <w:szCs w:val="24"/>
          <w:lang w:val="en-US" w:bidi="ar-SA"/>
          <w14:textFill>
            <w14:solidFill>
              <w14:schemeClr w14:val="tx1"/>
            </w14:solidFill>
          </w14:textFill>
        </w:rPr>
        <w:t>与《商品煤质量管理暂行办法》的符合性</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项目锅炉所用燃煤来源于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双鸭山市，</w:t>
      </w:r>
      <w:r>
        <w:rPr>
          <w:rFonts w:ascii="Times New Roman" w:hAnsi="Times New Roman" w:cs="Times New Roman" w:eastAsiaTheme="minorEastAsia"/>
          <w:color w:val="000000" w:themeColor="text1"/>
          <w:sz w:val="24"/>
          <w:szCs w:val="24"/>
          <w:lang w:val="en-US"/>
          <w14:textFill>
            <w14:solidFill>
              <w14:schemeClr w14:val="tx1"/>
            </w14:solidFill>
          </w14:textFill>
        </w:rPr>
        <w:t>燃料煤运输距离小于600公里，《商品煤质量管理暂行办法》指出，商品煤应当满足下列基本要求：</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（一）灰分（Ad）：褐煤 30%，其它煤种 40%。</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（二）硫分（St,d）：褐煤 1.5%，其它煤种 3%。</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（三）其它指标：汞(Hgd)≤0.6μg/g，砷(Asd)≤ 80μg/g，磷(Pd)≤ 0.15%，氯(Cld)≤0.3%，氟(Fd)≤200μg/g。</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根据本项目燃料成分化验报告，本项目所使用煤炭硫份0.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16</w:t>
      </w:r>
      <w:r>
        <w:rPr>
          <w:rFonts w:ascii="Times New Roman" w:hAnsi="Times New Roman" w:cs="Times New Roman" w:eastAsiaTheme="minorEastAsia"/>
          <w:color w:val="000000" w:themeColor="text1"/>
          <w:sz w:val="24"/>
          <w:szCs w:val="24"/>
          <w:lang w:val="en-US"/>
          <w14:textFill>
            <w14:solidFill>
              <w14:schemeClr w14:val="tx1"/>
            </w14:solidFill>
          </w14:textFill>
        </w:rPr>
        <w:t>%，灰分</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20.81</w:t>
      </w:r>
      <w:r>
        <w:rPr>
          <w:rFonts w:ascii="Times New Roman" w:hAnsi="Times New Roman" w:cs="Times New Roman" w:eastAsiaTheme="minorEastAsia"/>
          <w:color w:val="000000" w:themeColor="text1"/>
          <w:sz w:val="24"/>
          <w:szCs w:val="24"/>
          <w:lang w:val="en-US"/>
          <w14:textFill>
            <w14:solidFill>
              <w14:schemeClr w14:val="tx1"/>
            </w14:solidFill>
          </w14:textFill>
        </w:rPr>
        <w:t>%，汞含量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为0.29</w:t>
      </w:r>
      <w:r>
        <w:rPr>
          <w:rFonts w:ascii="Times New Roman" w:hAnsi="Times New Roman" w:cs="Times New Roman" w:eastAsiaTheme="minorEastAsia"/>
          <w:color w:val="000000" w:themeColor="text1"/>
          <w:sz w:val="24"/>
          <w:szCs w:val="24"/>
          <w:lang w:val="en-US"/>
          <w14:textFill>
            <w14:solidFill>
              <w14:schemeClr w14:val="tx1"/>
            </w14:solidFill>
          </w14:textFill>
        </w:rPr>
        <w:t>μg/g。</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另根据王明仕，郑宝山，刘晓静，王燕，胡军等，中国煤砷含量评价环境科学，2006.3.东北地区煤炭砷含量12.28mg/kg（12.28μg/g）；王金刚.鸡西盆地城子河组煤层煤质特征及变化规律，2004,6.该地区煤层中磷含量在0.0014%-0.0155%之间，一般为0.01%；金丽云.黑龙江省绥滨县福兴区煤岩煤质特征，2009,11该地区原煤铝含量为0.002%-024%，平均为0.015%；齐庆杰，郝宇，刘建忠，吴宪，周俊虎，岑可法等.关于我国煤中氟燃烧排放限值与标准，2008,2我国大部分煤的氟含量在50-200μg/g，其中以100-150μg/g范围最多。</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综上分析，本项目所用煤质满足《商品煤质量管理暂行办法》要求。</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1.3.2.2</w:t>
      </w:r>
      <w:r>
        <w:rPr>
          <w:rFonts w:ascii="Times New Roman" w:hAnsi="Times New Roman" w:cs="Times New Roman" w:eastAsiaTheme="minorEastAsia"/>
          <w:color w:val="000000" w:themeColor="text1"/>
          <w:sz w:val="24"/>
          <w:szCs w:val="24"/>
          <w:lang w:val="en-US" w:bidi="ar-SA"/>
          <w14:textFill>
            <w14:solidFill>
              <w14:schemeClr w14:val="tx1"/>
            </w14:solidFill>
          </w14:textFill>
        </w:rPr>
        <w:t>与《</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黑龙江省“十四五”生态环境保护规划</w:t>
      </w:r>
      <w:r>
        <w:rPr>
          <w:rFonts w:ascii="Times New Roman" w:hAnsi="Times New Roman" w:cs="Times New Roman" w:eastAsiaTheme="minorEastAsia"/>
          <w:color w:val="000000" w:themeColor="text1"/>
          <w:sz w:val="24"/>
          <w:szCs w:val="24"/>
          <w:lang w:val="en-US" w:bidi="ar-SA"/>
          <w14:textFill>
            <w14:solidFill>
              <w14:schemeClr w14:val="tx1"/>
            </w14:solidFill>
          </w14:textFill>
        </w:rPr>
        <w:t>》符合性分析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黑龙江省“十四五”生态环境保护规划</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总体目标：</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绿色转型成效显著。国土空间开发保护格局得到优化，绿色低碳发展加快推进，结构调整深入推进，能源资源配置更加合理、利用效率大幅提高，碳排放强度持续降低，绿色生态产业体系基本形成，简约适度、绿色低碳的生活方式加快形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生态环境持续改善。主要污染物排放总量持续减少，温室气体排放得到有效控制；空气质量全面改善，基本消除重污染天气；水生态环境质量稳步提升，基本消除天然河湖国控劣V类断面和城市建成区黑臭水体，水生态功能初步得到恢复；土壤和地下水环境质量总体保持稳定，城乡人居环境明显改善。</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——生态系统质量和稳定性稳步提升。北方生态屏障功能进一步提升，生物多样性得到有效保护，生物安全得到保障，生态系统服务功能不断增强，建成生态强省。</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——生态环境安全有效保障。土壤安全利用水平巩固提升；农业面源污染监管体系初步建成；固体废物与化学物质环境风险防控能力明显增强，核与辐射安全监管持续加强，环境风险得到有效管控。</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现代环境治理体系建立健全。生态文明制度改革深入落实，生态环境治理能力突出短板加快补齐，生态环境治理效能得到新提升，形成治理主体合理、治理手段多样、治理能力先进的环境治理体系，为美丽龙江提供有力保障。</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展望2035年，广泛形成绿色生产生活方式，碳排放达峰后稳中有降，生态环境根本好转，美丽龙江建设目标基本实现。节约资源和保护环境的空间格局、产业结构、生产方式、生活方式总体形成，绿色低碳发展和应对气候变化能力显著增强，空气质量根本改善，水环境质量全面提升，水生态恢复取得明显成效，土壤环境风险得到全面管控，山水林田湖草沙冰生态系统服务功能总体恢复，蓝天白云、绿水青山成为常态，基本满足人民对优美生态环境的需要。生态环境保护管理制度健全高效，生态环境治理体系和治理能力现代化基本实现。</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其中主要任务：深入实施减污降碳、精准治污、亮剑护绿、科技赋能“四大行动”，聚焦生态环境保护的短板弱项，大力实施绿色低碳发展战略，深入打好蓝天、碧水、净土保卫战，坚持山水林田湖草沙冰一体化保护和系统治理，深入实施“十个全覆盖”，加强环境风险防范，推进生态环境治理体系与治理能力现代化。</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重点削减小型燃煤锅炉、民用散煤与农业用煤消费量，降低煤炭在终端分散利用比例，对以煤、石焦油、渣油、重油等为燃料的锅炉和工业炉窑，加快使用清洁低碳能源以及工厂余热、电力热力等进行替代。</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（三）深化协同防治，全面改善空气质量。</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1.加强细颗粒物污染防治。</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开展PM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（细颗粒物）与臭氧污染协同防治。制定加强PM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和臭氧协同控制的空气质量改善规划，明确控制目标、路线图和时间表。针对秋冬季PM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污染和夏季臭氧浓度偏高问题，统筹考虑污染区域传输规律和季节性特征，加强重点区域、重点时段、重点领域治理，强化分区分时分类的差异化和精细化协同管控。开展PM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和臭氧成因的关联性研究，提高污染控制精准性。</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实施大气环境质量目标管理。对照2035年远景目标，开展形势分析，研究提出大气环境质量近期目标。哈尔滨市、绥化市编制实施大气环境质量限期达标规划，明确空气质量达标路线图和污染防治重点任务，并向社会公开。坚持前紧后松、持续改善的原则，加强达标进程管理。到2025年，绥化市环境空气质量实现达标，哈尔滨市力争达标，已达标城市持续改善大气环境质量。</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加大燃煤污染治理力度。深入实施散煤污染治理“三重一改”攻坚行动，统筹城市棚户区、城中村、城乡结合部、商户和农村地区散煤污染治理，到2022年，“两市两县两景区”等重点地区散煤用量大幅下降。各地持续推进散煤污染治理，到2025年，哈尔滨市、齐齐哈尔市、大庆市、绥化市散煤用量分别减少50%，哈尔滨市主城区建成区基本实现散煤清零。加快淘汰地级城市建成区10—35蒸吨/小时燃煤锅炉，推进65蒸吨/小时及以上燃煤锅炉（含电力）超低排放改造。实现20蒸吨/小时及以上锅炉稳定达标排放全覆盖。</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强化秸秆综合利用和禁烧。各地编制秸秆综合利用实施方案，合理安排“五化”利用，完善秸秆收储运体系，研发推广综合利用先进技术和设备。加强试点示范，拓宽利用路径，完善扶持政策，探索建立政府、企业与农民三方共赢的秸秆综合利用利益链接机制，实现秸秆综合利用水平全面提升。到2025年，全省秸秆综合利用率达到95%。强化各级网格责任单位秸秆禁烧主体责任，健全市县乡村“四级”网格化监管体系，强化秸秆禁烧督查巡查，综合运用卫星遥感、高清视频监控等手段，不断提高禁烧监管水平，严格落实奖惩制度。</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推进扬尘精细化管控。全面推行绿色施工，严格落实施工工地扬尘管控责任，加强施工扬尘监管执法。推进低尘机械化湿式清扫作业，加大城市出入口、城乡结合部等重要路段冲洗保洁力度，渣土车实施全密闭运输，强化绿化用地扬尘治理。城市裸露地面、粉粒类物料堆放以及大型煤炭和矿石码头、干散货码头物料堆场，全面完成抑尘设施建设和物料输送系统封闭改造，鼓励有条件的码头堆场实施全封闭改造。</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2.推进多污染物协同减排。</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实施重点行业NOx（氮氧化物）等污染物深度治理。推进钢铁、焦化行业超低排放改造，新建钢铁项目要达到超低排放水平，到2025年，现有钢铁、焦化企业基本完成超低排放改造，实现钢铁、焦化企业脱硫脱硝全覆盖。推进水泥、玻璃、铸造、石灰、矿棉等行业污染深度治理。推动平板玻璃、建筑陶瓷等行业企业逐步取消烟气旁路，因安全生产无法取消的，按规定安装在线监管系统。加强生物质锅炉燃料品质及排放管控，禁止掺烧煤炭、垃圾和工业固废，对不能稳定达标排放的生物质锅炉进行整改。</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开展VOCs（挥发性有机物）全过程综合整治。持续开展石化、化工、包装印刷、工业涂装等重点行业VOCs全过程综合整治。提高VOCs含量低（无）的绿色原辅材料替代比例，开展原油、成品油、有机化学品等涉VOCs物质储罐排查，按规定逐步取消炼油、石化、煤化工、制药、农药、化工、工业涂装、包装印刷等企业非必要VOCs废气排放系统旁路。鼓励涂装类工业园区和企业集群统筹规划建设集中涂装中心、活性碳集中处理中心、溶剂回收中心。加强汽修、餐饮等行业VOCs综合治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强化车油联合管控。进一步规范成品油市场，提高清洁油品供应保障能力、油品质量监管水平，严厉打击生产、销售、储存和使用非标油品行为。加强新生产车辆达标排放监管，严格实施国家机动车油耗和排放标准，强化新生产货车监督抽查。通过部门联合执法、提高路检路查和入户监督抽测频次以及加强重污染天气柴油车管理等方式，加大在用车监督执法力度。强化非道路移动机械生产企业监管和排放控制区管控，基本消除未登记和冒黑烟工程机械。</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推动其他涉气污染物治理。推进大气氨排放控制，注重源头防控，优化饲料结构，强化畜禽养殖业氨排放综合管控；加强氮肥、纯碱等行业氨排放治理，强化工业源烟气脱硫脱硝氨逃逸防控。推动开展消耗臭氧层物质和氢氟碳化物环境管理。开展重点行业恶臭综合治理，推动恶臭投诉集中的重点企业和园区安装运行在线监测预警系统。</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3.提升区域联防联控能力。</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深化区域大气污染联防联控机制。全面深化哈尔滨市、大庆市、绥化市大气污染联防联控，构建重点区域常态化协作机制，实施区域统一规划、统一标准、统一监测、统一污染防治措施，完善重大项目环境影响评价区域会商机制。开展区域大气污染交叉互查。积极探索建立与吉林、辽宁和内蒙古开展跨省级行政区联防联控模式。</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加强重污染天气应对。加强省、市级环境空气质量预测预报和气象卫星遥感应用及人工影响天气能力建设，进一步提升PM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和臭氧预报准确率。完善省、市、县三级重污染天气应急预案体系，探索轻、中度污染天气应急响应的应对机制。哈大绥地区开展重污染天气重点行业企业绩效分级，推进绩效分级管理规范化、标准化，完善差异化管控机制。拓展应急减排信息公开和公众监督渠道。积极开展应急预案实施情况的评估，适时修订应急预案。</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符合性分析：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本项目为集中供热项目，燃煤</w:t>
      </w:r>
      <w:r>
        <w:rPr>
          <w:rFonts w:ascii="Times New Roman" w:hAnsi="Times New Roman" w:cs="Times New Roman" w:eastAsiaTheme="minorEastAsia"/>
          <w:color w:val="000000" w:themeColor="text1"/>
          <w:sz w:val="24"/>
          <w:szCs w:val="24"/>
          <w:lang w:val="en-US"/>
          <w14:textFill>
            <w14:solidFill>
              <w14:schemeClr w14:val="tx1"/>
            </w14:solidFill>
          </w14:textFill>
        </w:rPr>
        <w:t>锅炉选用高效布袋除尘器，布袋除尘器是一种干式滤尘装置，除尘效率较高，可满足工程需求。</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w:t>
      </w:r>
      <w:r>
        <w:rPr>
          <w:rFonts w:ascii="Times New Roman" w:hAnsi="Times New Roman" w:cs="Times New Roman" w:eastAsiaTheme="minorEastAsia"/>
          <w:color w:val="000000" w:themeColor="text1"/>
          <w:sz w:val="24"/>
          <w:szCs w:val="24"/>
          <w:lang w:val="en-US"/>
          <w14:textFill>
            <w14:solidFill>
              <w14:schemeClr w14:val="tx1"/>
            </w14:solidFill>
          </w14:textFill>
        </w:rPr>
        <w:t>建锅炉配套新建一套布袋除尘设施，除尘器除尘效率不低于99.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5%。锅炉烟气脱硫采用湿式镁法脱硫工艺。设计脱硫吸收塔采用超强湍流发生器+喷淋装置的双模装置脱硫。采用塔式脱硫器，本项目采用氧化镁作为吸收剂，其特点是技术成熟，煤种适应性强，脱硫效率达</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，副产品能回收利用。本次环评在报告中对项目安装的湿式镁法脱硫效率按保守效率</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95</w:t>
      </w:r>
      <w:r>
        <w:rPr>
          <w:rFonts w:ascii="Times New Roman" w:hAnsi="Times New Roman" w:cs="Times New Roman" w:eastAsiaTheme="minorEastAsia"/>
          <w:color w:val="000000" w:themeColor="text1"/>
          <w:sz w:val="24"/>
          <w:szCs w:val="24"/>
          <w:lang w:val="en-US"/>
          <w14:textFill>
            <w14:solidFill>
              <w14:schemeClr w14:val="tx1"/>
            </w14:solidFill>
          </w14:textFill>
        </w:rPr>
        <w:t>%计算。本项目扩建锅炉烟气脱硝采用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低氮燃烧和SNCR-SCR联合脱硝工艺</w:t>
      </w:r>
      <w:r>
        <w:rPr>
          <w:rFonts w:ascii="Times New Roman" w:hAnsi="Times New Roman" w:cs="Times New Roman" w:eastAsiaTheme="minorEastAsia"/>
          <w:color w:val="000000" w:themeColor="text1"/>
          <w:sz w:val="24"/>
          <w:szCs w:val="24"/>
          <w:lang w:val="en-US"/>
          <w14:textFill>
            <w14:solidFill>
              <w14:schemeClr w14:val="tx1"/>
            </w14:solidFill>
          </w14:textFill>
        </w:rPr>
        <w:t>，还原剂采用尿素。锅炉处理后的烟气</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共同</w:t>
      </w:r>
      <w:r>
        <w:rPr>
          <w:rFonts w:ascii="Times New Roman" w:hAnsi="Times New Roman" w:cs="Times New Roman" w:eastAsiaTheme="minorEastAsia"/>
          <w:color w:val="000000" w:themeColor="text1"/>
          <w:sz w:val="24"/>
          <w:szCs w:val="24"/>
          <w:lang w:val="en-US"/>
          <w14:textFill>
            <w14:solidFill>
              <w14:schemeClr w14:val="tx1"/>
            </w14:solidFill>
          </w14:textFill>
        </w:rPr>
        <w:t>通过高100m、出口内径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m的烟囱排放，确保锅炉大气污染物排放满足《关于印发&lt;全面实施燃煤电厂超低排放和节能改造工作方案&gt;的通知》（环发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、35mg/m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）要求。</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本项目遵守重点大气污染物排放总量控制要求，配套建设大气污染防治设施及在线监测装置，取得排污许可证。项目的实施可以使颗粒物实现减排，有利于区域环境空气质量的改善。综上，本项目的建设符合《</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黑龙江省“十四五”生态环境保护规划</w:t>
      </w:r>
      <w:r>
        <w:rPr>
          <w:rFonts w:ascii="Times New Roman" w:hAnsi="Times New Roman" w:cs="Times New Roman" w:eastAsiaTheme="minorEastAsia"/>
          <w:color w:val="000000" w:themeColor="text1"/>
          <w:sz w:val="24"/>
          <w:szCs w:val="24"/>
          <w:lang w:val="en-US"/>
          <w14:textFill>
            <w14:solidFill>
              <w14:schemeClr w14:val="tx1"/>
            </w14:solidFill>
          </w14:textFill>
        </w:rPr>
        <w:t>》的环境管理要求。</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14" w:name="_Toc27385831"/>
      <w:bookmarkStart w:id="15" w:name="_Toc40709344"/>
      <w:bookmarkStart w:id="16" w:name="_Toc24732985"/>
      <w:bookmarkStart w:id="17" w:name="_Toc24028196"/>
      <w:bookmarkStart w:id="18" w:name="_Toc29253"/>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1.3.2.3</w:t>
      </w:r>
      <w:r>
        <w:rPr>
          <w:rFonts w:ascii="Times New Roman" w:hAnsi="Times New Roman" w:cs="Times New Roman" w:eastAsiaTheme="minorEastAsia"/>
          <w:color w:val="000000" w:themeColor="text1"/>
          <w:sz w:val="24"/>
          <w:szCs w:val="24"/>
          <w:lang w:val="en-US" w:bidi="ar-SA"/>
          <w14:textFill>
            <w14:solidFill>
              <w14:schemeClr w14:val="tx1"/>
            </w14:solidFill>
          </w14:textFill>
        </w:rPr>
        <w:t>与《黑龙江大气污染防治条例》协调性分析</w:t>
      </w:r>
      <w:bookmarkEnd w:id="14"/>
      <w:bookmarkEnd w:id="15"/>
      <w:bookmarkEnd w:id="16"/>
      <w:bookmarkEnd w:id="17"/>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项目</w:t>
      </w:r>
      <w:r>
        <w:rPr>
          <w:rFonts w:ascii="Times New Roman" w:hAnsi="Times New Roman" w:cs="Times New Roman" w:eastAsiaTheme="minorEastAsia"/>
          <w:color w:val="000000" w:themeColor="text1"/>
          <w:sz w:val="24"/>
          <w:szCs w:val="24"/>
          <w:lang w:val="en-US"/>
          <w14:textFill>
            <w14:solidFill>
              <w14:schemeClr w14:val="tx1"/>
            </w14:solidFill>
          </w14:textFill>
        </w:rPr>
        <w:t>与《黑龙江省大气污染防治条例》协调性分析见表1-3-1。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表1-3-1  本</w:t>
      </w:r>
      <w:r>
        <w:rPr>
          <w:rFonts w:hint="eastAsia" w:ascii="Times New Roman" w:hAnsiTheme="minorEastAsia" w:eastAsiaTheme="minorEastAsia"/>
          <w:b/>
          <w:bCs/>
          <w:color w:val="000000" w:themeColor="text1"/>
          <w:szCs w:val="24"/>
          <w14:textFill>
            <w14:solidFill>
              <w14:schemeClr w14:val="tx1"/>
            </w14:solidFill>
          </w14:textFill>
        </w:rPr>
        <w:t>项目</w:t>
      </w:r>
      <w:r>
        <w:rPr>
          <w:rFonts w:ascii="Times New Roman" w:hAnsiTheme="minorEastAsia" w:eastAsiaTheme="minorEastAsia"/>
          <w:b/>
          <w:bCs/>
          <w:color w:val="000000" w:themeColor="text1"/>
          <w:szCs w:val="24"/>
          <w14:textFill>
            <w14:solidFill>
              <w14:schemeClr w14:val="tx1"/>
            </w14:solidFill>
          </w14:textFill>
        </w:rPr>
        <w:t>与《黑龙江省大气污染防治条例》协调性分析</w:t>
      </w:r>
    </w:p>
    <w:tbl>
      <w:tblPr>
        <w:tblStyle w:val="70"/>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424"/>
        <w:gridCol w:w="4153"/>
        <w:gridCol w:w="3117"/>
        <w:gridCol w:w="82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42" w:type="pct"/>
            <w:tcBorders>
              <w:top w:val="single" w:color="000000" w:sz="12" w:space="0"/>
              <w:left w:val="nil"/>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序号</w:t>
            </w:r>
          </w:p>
        </w:tc>
        <w:tc>
          <w:tcPr>
            <w:tcW w:w="2439" w:type="pct"/>
            <w:tcBorders>
              <w:top w:val="single" w:color="000000" w:sz="12"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《黑龙江省大气污染防治条例》</w:t>
            </w:r>
          </w:p>
        </w:tc>
        <w:tc>
          <w:tcPr>
            <w:tcW w:w="1831" w:type="pct"/>
            <w:tcBorders>
              <w:top w:val="single" w:color="000000" w:sz="12" w:space="0"/>
              <w:left w:val="single" w:color="000000" w:sz="4" w:space="0"/>
              <w:bottom w:val="single" w:color="000000" w:sz="4" w:space="0"/>
              <w:right w:val="nil"/>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协调性分析</w:t>
            </w:r>
          </w:p>
        </w:tc>
        <w:tc>
          <w:tcPr>
            <w:tcW w:w="488" w:type="pct"/>
            <w:tcBorders>
              <w:top w:val="single" w:color="000000" w:sz="12" w:space="0"/>
              <w:left w:val="single" w:color="000000" w:sz="4" w:space="0"/>
              <w:bottom w:val="single" w:color="000000" w:sz="4" w:space="0"/>
              <w:right w:val="nil"/>
            </w:tcBorders>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42" w:type="pct"/>
            <w:tcBorders>
              <w:top w:val="single" w:color="000000" w:sz="4" w:space="0"/>
              <w:left w:val="nil"/>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2439"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b/>
                <w:bCs/>
                <w:color w:val="000000" w:themeColor="text1"/>
                <w:sz w:val="21"/>
                <w:szCs w:val="21"/>
                <w14:textFill>
                  <w14:solidFill>
                    <w14:schemeClr w14:val="tx1"/>
                  </w14:solidFill>
                </w14:textFill>
              </w:rPr>
              <w:t>第十条</w:t>
            </w:r>
            <w:r>
              <w:rPr>
                <w:color w:val="000000" w:themeColor="text1"/>
                <w:sz w:val="21"/>
                <w:szCs w:val="21"/>
                <w14:textFill>
                  <w14:solidFill>
                    <w14:schemeClr w14:val="tx1"/>
                  </w14:solidFill>
                </w14:textFill>
              </w:rPr>
              <w:t>企业事业单位和其他生产经营者建设对大气环境有影响的项目，应当依法进行环境影响评价、公开环境影响评价文件；向大气排放污染物的，应当符合大气污染物排放标准，遵守重点大气污染物排放总量控制要求。</w:t>
            </w:r>
          </w:p>
        </w:tc>
        <w:tc>
          <w:tcPr>
            <w:tcW w:w="1831" w:type="pct"/>
            <w:tcBorders>
              <w:top w:val="single" w:color="000000" w:sz="4" w:space="0"/>
              <w:left w:val="single" w:color="000000" w:sz="4" w:space="0"/>
              <w:bottom w:val="single" w:color="000000" w:sz="4" w:space="0"/>
              <w:right w:val="nil"/>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本项目依法进行环境影响评价、公开环境影响评价文件；锅炉烟气符合相应排放标准要求，遵守SO</w:t>
            </w:r>
            <w:r>
              <w:rPr>
                <w:color w:val="000000" w:themeColor="text1"/>
                <w:sz w:val="21"/>
                <w:szCs w:val="21"/>
                <w:vertAlign w:val="subscript"/>
                <w14:textFill>
                  <w14:solidFill>
                    <w14:schemeClr w14:val="tx1"/>
                  </w14:solidFill>
                </w14:textFill>
              </w:rPr>
              <w:t>2</w:t>
            </w:r>
            <w:r>
              <w:rPr>
                <w:color w:val="000000" w:themeColor="text1"/>
                <w:sz w:val="21"/>
                <w:szCs w:val="21"/>
                <w14:textFill>
                  <w14:solidFill>
                    <w14:schemeClr w14:val="tx1"/>
                  </w14:solidFill>
                </w14:textFill>
              </w:rPr>
              <w:t>、NOx和颗粒物排放总量控制要求。</w:t>
            </w:r>
          </w:p>
        </w:tc>
        <w:tc>
          <w:tcPr>
            <w:tcW w:w="488" w:type="pct"/>
            <w:tcBorders>
              <w:top w:val="single" w:color="000000" w:sz="4" w:space="0"/>
              <w:left w:val="single" w:color="000000" w:sz="4" w:space="0"/>
              <w:bottom w:val="single" w:color="000000" w:sz="4" w:space="0"/>
              <w:right w:val="nil"/>
            </w:tcBorders>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42" w:type="pct"/>
            <w:tcBorders>
              <w:top w:val="single" w:color="000000" w:sz="4" w:space="0"/>
              <w:left w:val="nil"/>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2439"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第十一条</w:t>
            </w:r>
            <w:r>
              <w:rPr>
                <w:color w:val="000000" w:themeColor="text1"/>
                <w:sz w:val="21"/>
                <w:szCs w:val="21"/>
                <w14:textFill>
                  <w14:solidFill>
                    <w14:schemeClr w14:val="tx1"/>
                  </w14:solidFill>
                </w14:textFill>
              </w:rPr>
              <w:t>向大气排放污染物的企业事业单位和其他生产经营者，应当配套建设大气污染防治设施。</w:t>
            </w:r>
          </w:p>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配套建设的大气污染防治设施，应当与主体工程同时设计、同时施工、同时投产使用，不得擅自拆除或者闲置。</w:t>
            </w:r>
          </w:p>
        </w:tc>
        <w:tc>
          <w:tcPr>
            <w:tcW w:w="1831" w:type="pct"/>
            <w:tcBorders>
              <w:top w:val="single" w:color="000000" w:sz="4" w:space="0"/>
              <w:left w:val="single" w:color="000000" w:sz="4" w:space="0"/>
              <w:bottom w:val="single" w:color="000000" w:sz="4" w:space="0"/>
              <w:right w:val="nil"/>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本项目扩建锅炉配套建设脱硫、脱硝和除尘等大气污染防治设施，并与主体工程同时设计、同时施工、同时投产使用，不得擅自拆除或者闲置。</w:t>
            </w:r>
          </w:p>
        </w:tc>
        <w:tc>
          <w:tcPr>
            <w:tcW w:w="488" w:type="pct"/>
            <w:tcBorders>
              <w:top w:val="single" w:color="000000" w:sz="4" w:space="0"/>
              <w:left w:val="single" w:color="000000" w:sz="4" w:space="0"/>
              <w:bottom w:val="single" w:color="000000" w:sz="4" w:space="0"/>
              <w:right w:val="nil"/>
            </w:tcBorders>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42" w:type="pct"/>
            <w:tcBorders>
              <w:top w:val="single" w:color="000000" w:sz="4" w:space="0"/>
              <w:left w:val="nil"/>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c>
          <w:tcPr>
            <w:tcW w:w="2439"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第十二条</w:t>
            </w:r>
            <w:r>
              <w:rPr>
                <w:color w:val="000000" w:themeColor="text1"/>
                <w:sz w:val="21"/>
                <w:szCs w:val="21"/>
                <w14:textFill>
                  <w14:solidFill>
                    <w14:schemeClr w14:val="tx1"/>
                  </w14:solidFill>
                </w14:textFill>
              </w:rPr>
              <w:t>本省按照国家规定实行大气污染物排污许可管理制度。</w:t>
            </w:r>
          </w:p>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实行排污许可管理的企业事业单位和其他生产经营者，应当按照排污许可证的要求排放大气污染物；未取得排污许可证的，不得排放大气污染物。</w:t>
            </w:r>
          </w:p>
        </w:tc>
        <w:tc>
          <w:tcPr>
            <w:tcW w:w="1831" w:type="pct"/>
            <w:tcBorders>
              <w:top w:val="single" w:color="000000" w:sz="4" w:space="0"/>
              <w:left w:val="single" w:color="000000" w:sz="4" w:space="0"/>
              <w:bottom w:val="single" w:color="000000" w:sz="4" w:space="0"/>
              <w:right w:val="nil"/>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本项目按照要求取得排污许可证并按要求进行大气污染物排放。</w:t>
            </w:r>
          </w:p>
        </w:tc>
        <w:tc>
          <w:tcPr>
            <w:tcW w:w="488" w:type="pct"/>
            <w:tcBorders>
              <w:top w:val="single" w:color="000000" w:sz="4" w:space="0"/>
              <w:left w:val="single" w:color="000000" w:sz="4" w:space="0"/>
              <w:bottom w:val="single" w:color="000000" w:sz="4" w:space="0"/>
              <w:right w:val="nil"/>
            </w:tcBorders>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42" w:type="pct"/>
            <w:tcBorders>
              <w:top w:val="single" w:color="000000" w:sz="4" w:space="0"/>
              <w:left w:val="nil"/>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w:t>
            </w:r>
          </w:p>
        </w:tc>
        <w:tc>
          <w:tcPr>
            <w:tcW w:w="2439"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第二十二条</w:t>
            </w:r>
            <w:r>
              <w:rPr>
                <w:color w:val="000000" w:themeColor="text1"/>
                <w:sz w:val="21"/>
                <w:szCs w:val="21"/>
                <w14:textFill>
                  <w14:solidFill>
                    <w14:schemeClr w14:val="tx1"/>
                  </w14:solidFill>
                </w14:textFill>
              </w:rPr>
              <w:t>重点排污单位应当按照法律、法规和监测规范的要求，确定监测点位和设置采样监测平台，并对其排放的大气污染物进行自行监测或者委托有环境监测资质的单位监测。原始监测记录至少保存三年。</w:t>
            </w:r>
          </w:p>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重点排污单位应当安装、使用大气污染物排放自动监测设备，与环境保护主管部门的监控设备联网，保证监测设备正常运行并依法公开排放信息。</w:t>
            </w:r>
          </w:p>
        </w:tc>
        <w:tc>
          <w:tcPr>
            <w:tcW w:w="1831" w:type="pct"/>
            <w:tcBorders>
              <w:top w:val="single" w:color="000000" w:sz="4" w:space="0"/>
              <w:left w:val="single" w:color="000000" w:sz="4" w:space="0"/>
              <w:bottom w:val="single" w:color="000000" w:sz="4" w:space="0"/>
              <w:right w:val="nil"/>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本项目扩建锅炉安装、使用大气污染物排放自动监测设备，与环境保护主管部门的监控设备联网，保证监测设备正常运行并依法公开排放信息。</w:t>
            </w:r>
          </w:p>
        </w:tc>
        <w:tc>
          <w:tcPr>
            <w:tcW w:w="488" w:type="pct"/>
            <w:tcBorders>
              <w:top w:val="single" w:color="000000" w:sz="4" w:space="0"/>
              <w:left w:val="single" w:color="000000" w:sz="4" w:space="0"/>
              <w:bottom w:val="single" w:color="000000" w:sz="4" w:space="0"/>
              <w:right w:val="nil"/>
            </w:tcBorders>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42" w:type="pct"/>
            <w:tcBorders>
              <w:top w:val="single" w:color="000000" w:sz="4" w:space="0"/>
              <w:left w:val="nil"/>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w:t>
            </w:r>
          </w:p>
        </w:tc>
        <w:tc>
          <w:tcPr>
            <w:tcW w:w="2439"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第三十一条</w:t>
            </w:r>
            <w:r>
              <w:rPr>
                <w:color w:val="000000" w:themeColor="text1"/>
                <w:sz w:val="21"/>
                <w:szCs w:val="21"/>
                <w14:textFill>
                  <w14:solidFill>
                    <w14:schemeClr w14:val="tx1"/>
                  </w14:solidFill>
                </w14:textFill>
              </w:rPr>
              <w:t>禁止生产、加工、储运、销售、进口和燃用不符合国家规定质量标准的商品煤，煤炭管理部门负责组织、会同有关部门实施监督管理，具体分工按照省人民政府有关规定执行。</w:t>
            </w:r>
          </w:p>
        </w:tc>
        <w:tc>
          <w:tcPr>
            <w:tcW w:w="1831" w:type="pct"/>
            <w:tcBorders>
              <w:top w:val="single" w:color="000000" w:sz="4" w:space="0"/>
              <w:left w:val="single" w:color="000000" w:sz="4" w:space="0"/>
              <w:bottom w:val="single" w:color="000000" w:sz="4" w:space="0"/>
              <w:right w:val="nil"/>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本项目扩建锅炉禁止燃用不符合国家规定质量标准的商品煤。</w:t>
            </w:r>
          </w:p>
        </w:tc>
        <w:tc>
          <w:tcPr>
            <w:tcW w:w="488" w:type="pct"/>
            <w:tcBorders>
              <w:top w:val="single" w:color="000000" w:sz="4" w:space="0"/>
              <w:left w:val="single" w:color="000000" w:sz="4" w:space="0"/>
              <w:bottom w:val="single" w:color="000000" w:sz="4" w:space="0"/>
              <w:right w:val="nil"/>
            </w:tcBorders>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42" w:type="pct"/>
            <w:tcBorders>
              <w:top w:val="single" w:color="000000" w:sz="4" w:space="0"/>
              <w:left w:val="nil"/>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w:t>
            </w:r>
          </w:p>
        </w:tc>
        <w:tc>
          <w:tcPr>
            <w:tcW w:w="2439"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第三十二条</w:t>
            </w:r>
            <w:r>
              <w:rPr>
                <w:color w:val="000000" w:themeColor="text1"/>
                <w:sz w:val="21"/>
                <w:szCs w:val="21"/>
                <w14:textFill>
                  <w14:solidFill>
                    <w14:schemeClr w14:val="tx1"/>
                  </w14:solidFill>
                </w14:textFill>
              </w:rPr>
              <w:t>燃煤电厂、燃煤供热锅炉以及其他燃煤单位，应当采用清洁生产工艺，配套建设除尘、脱硫、脱硝等装置或者采用技术改造等措施，减少大气污染物的产生和排放，排放的大气污染物应当达到规定标准。</w:t>
            </w:r>
          </w:p>
        </w:tc>
        <w:tc>
          <w:tcPr>
            <w:tcW w:w="1831" w:type="pct"/>
            <w:tcBorders>
              <w:top w:val="single" w:color="000000" w:sz="4" w:space="0"/>
              <w:left w:val="single" w:color="000000" w:sz="4" w:space="0"/>
              <w:bottom w:val="single" w:color="000000" w:sz="4" w:space="0"/>
              <w:right w:val="nil"/>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本项目扩建锅炉采用清洁生产工艺，配套建设除尘、脱硫、脱硝等装置，减少大气污染物的产生和排放，排放的大气污染物应当达到规定标准。</w:t>
            </w:r>
          </w:p>
        </w:tc>
        <w:tc>
          <w:tcPr>
            <w:tcW w:w="488" w:type="pct"/>
            <w:tcBorders>
              <w:top w:val="single" w:color="000000" w:sz="4" w:space="0"/>
              <w:left w:val="single" w:color="000000" w:sz="4" w:space="0"/>
              <w:bottom w:val="single" w:color="000000" w:sz="4" w:space="0"/>
              <w:right w:val="nil"/>
            </w:tcBorders>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42" w:type="pct"/>
            <w:tcBorders>
              <w:top w:val="single" w:color="000000" w:sz="4" w:space="0"/>
              <w:left w:val="nil"/>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w:t>
            </w:r>
          </w:p>
        </w:tc>
        <w:tc>
          <w:tcPr>
            <w:tcW w:w="2439"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三十三条</w:t>
            </w:r>
            <w:r>
              <w:rPr>
                <w:color w:val="000000" w:themeColor="text1"/>
                <w:sz w:val="21"/>
                <w:szCs w:val="21"/>
                <w14:textFill>
                  <w14:solidFill>
                    <w14:schemeClr w14:val="tx1"/>
                  </w14:solidFill>
                </w14:textFill>
              </w:rPr>
              <w:t>县级以上人民政府应当向社会公布燃煤锅炉计划淘汰名单和时限，并合理控制城市建成区外规划区内额定蒸发量每小时十吨以下或者额定功率七兆瓦以下燃煤锅炉的建设和使用。工业和信息化、供热行政主管、环境保护主管部门分别负责工业锅炉、供热锅炉、商业经营锅炉淘汰的具体工作</w:t>
            </w:r>
          </w:p>
        </w:tc>
        <w:tc>
          <w:tcPr>
            <w:tcW w:w="1831" w:type="pct"/>
            <w:tcBorders>
              <w:top w:val="single" w:color="000000" w:sz="4" w:space="0"/>
              <w:left w:val="single" w:color="000000" w:sz="4" w:space="0"/>
              <w:bottom w:val="single" w:color="000000" w:sz="4" w:space="0"/>
              <w:right w:val="nil"/>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项目所在区域</w:t>
            </w:r>
            <w:r>
              <w:rPr>
                <w:color w:val="000000" w:themeColor="text1"/>
                <w:sz w:val="21"/>
                <w:szCs w:val="21"/>
                <w14:textFill>
                  <w14:solidFill>
                    <w14:schemeClr w14:val="tx1"/>
                  </w14:solidFill>
                </w14:textFill>
              </w:rPr>
              <w:t>已完成小锅炉淘汰工作，评价范围内无分散小锅炉。</w:t>
            </w:r>
          </w:p>
        </w:tc>
        <w:tc>
          <w:tcPr>
            <w:tcW w:w="488" w:type="pct"/>
            <w:tcBorders>
              <w:top w:val="single" w:color="000000" w:sz="4" w:space="0"/>
              <w:left w:val="single" w:color="000000" w:sz="4" w:space="0"/>
              <w:bottom w:val="single" w:color="000000" w:sz="4" w:space="0"/>
              <w:right w:val="nil"/>
            </w:tcBorders>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42" w:type="pct"/>
            <w:tcBorders>
              <w:top w:val="single" w:color="000000" w:sz="4" w:space="0"/>
              <w:left w:val="nil"/>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w:t>
            </w:r>
          </w:p>
        </w:tc>
        <w:tc>
          <w:tcPr>
            <w:tcW w:w="2439" w:type="pct"/>
            <w:tcBorders>
              <w:top w:val="single" w:color="000000" w:sz="4" w:space="0"/>
              <w:left w:val="single" w:color="000000" w:sz="4" w:space="0"/>
              <w:bottom w:val="single" w:color="000000" w:sz="4"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第三十四条</w:t>
            </w:r>
            <w:r>
              <w:rPr>
                <w:color w:val="000000" w:themeColor="text1"/>
                <w:sz w:val="21"/>
                <w:szCs w:val="21"/>
                <w14:textFill>
                  <w14:solidFill>
                    <w14:schemeClr w14:val="tx1"/>
                  </w14:solidFill>
                </w14:textFill>
              </w:rPr>
              <w:t>禁止新建设计用煤不符合国家规定商品煤质量标准的锅炉；已经建成的，应当按照国家和省有关规定进行技术改造。</w:t>
            </w:r>
          </w:p>
        </w:tc>
        <w:tc>
          <w:tcPr>
            <w:tcW w:w="1831" w:type="pct"/>
            <w:tcBorders>
              <w:top w:val="single" w:color="000000" w:sz="4" w:space="0"/>
              <w:left w:val="single" w:color="000000" w:sz="4" w:space="0"/>
              <w:bottom w:val="single" w:color="000000" w:sz="4" w:space="0"/>
              <w:right w:val="nil"/>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本项目扩建锅炉采用设计用煤符合国家规定商品煤质量标准的锅炉，锅炉用煤符合国家规定商品煤质量标准。</w:t>
            </w:r>
          </w:p>
        </w:tc>
        <w:tc>
          <w:tcPr>
            <w:tcW w:w="488" w:type="pct"/>
            <w:tcBorders>
              <w:top w:val="single" w:color="000000" w:sz="4" w:space="0"/>
              <w:left w:val="single" w:color="000000" w:sz="4" w:space="0"/>
              <w:bottom w:val="single" w:color="000000" w:sz="4" w:space="0"/>
              <w:right w:val="nil"/>
            </w:tcBorders>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42" w:type="pct"/>
            <w:tcBorders>
              <w:top w:val="single" w:color="000000" w:sz="4" w:space="0"/>
              <w:left w:val="nil"/>
              <w:bottom w:val="single" w:color="000000" w:sz="12"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9</w:t>
            </w:r>
          </w:p>
        </w:tc>
        <w:tc>
          <w:tcPr>
            <w:tcW w:w="2439" w:type="pct"/>
            <w:tcBorders>
              <w:top w:val="single" w:color="000000" w:sz="4" w:space="0"/>
              <w:left w:val="single" w:color="000000" w:sz="4" w:space="0"/>
              <w:bottom w:val="single" w:color="000000" w:sz="12" w:space="0"/>
              <w:right w:val="single" w:color="000000" w:sz="4" w:space="0"/>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b/>
                <w:color w:val="000000" w:themeColor="text1"/>
                <w:sz w:val="21"/>
                <w:szCs w:val="21"/>
                <w14:textFill>
                  <w14:solidFill>
                    <w14:schemeClr w14:val="tx1"/>
                  </w14:solidFill>
                </w14:textFill>
              </w:rPr>
              <w:t>第三十五条</w:t>
            </w:r>
            <w:r>
              <w:rPr>
                <w:color w:val="000000" w:themeColor="text1"/>
                <w:sz w:val="21"/>
                <w:szCs w:val="21"/>
                <w14:textFill>
                  <w14:solidFill>
                    <w14:schemeClr w14:val="tx1"/>
                  </w14:solidFill>
                </w14:textFill>
              </w:rPr>
              <w:t>设区的市级人民政府和县级人民政府应当积极推进棚户区改造，推行热电联产和区域锅炉等集中供热方式，逐步提高集中供热比例，制定计划将应当淘汰的分散燃煤锅炉供热区域纳入集中供热管网覆盖范围，并负责组织实施。在集中供热管网未覆盖的区域，推广使用高效节能环保型锅炉或者进行锅炉高效除尘改造，或者使用新能源、清洁能源供热。</w:t>
            </w:r>
          </w:p>
        </w:tc>
        <w:tc>
          <w:tcPr>
            <w:tcW w:w="1831" w:type="pct"/>
            <w:tcBorders>
              <w:top w:val="single" w:color="000000" w:sz="4" w:space="0"/>
              <w:left w:val="single" w:color="000000" w:sz="4" w:space="0"/>
              <w:bottom w:val="single" w:color="000000" w:sz="12" w:space="0"/>
              <w:right w:val="nil"/>
            </w:tcBorders>
            <w:shd w:val="clear" w:color="auto" w:fill="auto"/>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本项目扩建锅炉的建设进一步提高</w:t>
            </w:r>
            <w:r>
              <w:rPr>
                <w:rFonts w:hint="eastAsia"/>
                <w:color w:val="000000" w:themeColor="text1"/>
                <w:sz w:val="21"/>
                <w:szCs w:val="21"/>
                <w14:textFill>
                  <w14:solidFill>
                    <w14:schemeClr w14:val="tx1"/>
                  </w14:solidFill>
                </w14:textFill>
              </w:rPr>
              <w:t>红兴隆地区</w:t>
            </w:r>
            <w:r>
              <w:rPr>
                <w:color w:val="000000" w:themeColor="text1"/>
                <w:sz w:val="21"/>
                <w:szCs w:val="21"/>
                <w14:textFill>
                  <w14:solidFill>
                    <w14:schemeClr w14:val="tx1"/>
                  </w14:solidFill>
                </w14:textFill>
              </w:rPr>
              <w:t>的集中供热普及率。有利于提高区域供热质量，改善居民生活。</w:t>
            </w:r>
          </w:p>
        </w:tc>
        <w:tc>
          <w:tcPr>
            <w:tcW w:w="488" w:type="pct"/>
            <w:tcBorders>
              <w:top w:val="single" w:color="000000" w:sz="4" w:space="0"/>
              <w:left w:val="single" w:color="000000" w:sz="4" w:space="0"/>
              <w:bottom w:val="single" w:color="000000" w:sz="12" w:space="0"/>
              <w:right w:val="nil"/>
            </w:tcBorders>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符合</w:t>
            </w: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1.3.2.4</w:t>
      </w:r>
      <w:r>
        <w:rPr>
          <w:rFonts w:ascii="Times New Roman" w:hAnsi="Times New Roman" w:cs="Times New Roman" w:eastAsiaTheme="minorEastAsia"/>
          <w:color w:val="000000" w:themeColor="text1"/>
          <w:sz w:val="24"/>
          <w:szCs w:val="24"/>
          <w:lang w:val="en-US" w:bidi="ar-SA"/>
          <w14:textFill>
            <w14:solidFill>
              <w14:schemeClr w14:val="tx1"/>
            </w14:solidFill>
          </w14:textFill>
        </w:rPr>
        <w:t>与</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《黑龙江省空气质量持续改善行动计划实施方案》（黑政发〔2023〕19号）</w:t>
      </w:r>
      <w:r>
        <w:rPr>
          <w:rFonts w:ascii="Times New Roman" w:hAnsi="Times New Roman" w:cs="Times New Roman" w:eastAsiaTheme="minorEastAsia"/>
          <w:color w:val="000000" w:themeColor="text1"/>
          <w:sz w:val="24"/>
          <w:szCs w:val="24"/>
          <w:lang w:val="en-US" w:bidi="ar-SA"/>
          <w14:textFill>
            <w14:solidFill>
              <w14:schemeClr w14:val="tx1"/>
            </w14:solidFill>
          </w14:textFill>
        </w:rPr>
        <w:t>协调性分析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黑龙江省人民政府于</w:t>
      </w:r>
      <w:r>
        <w:rPr>
          <w:rFonts w:ascii="Times New Roman" w:hAnsi="Times New Roman" w:cs="Times New Roman" w:eastAsiaTheme="minorEastAsia"/>
          <w:color w:val="000000" w:themeColor="text1"/>
          <w:sz w:val="24"/>
          <w:szCs w:val="24"/>
          <w:lang w:val="en-US"/>
          <w14:textFill>
            <w14:solidFill>
              <w14:schemeClr w14:val="tx1"/>
            </w14:solidFill>
          </w14:textFill>
        </w:rPr>
        <w:t>2023年1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月30日公开发布</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省空气质量持续改善行动计划实施方案》（黑政发〔2023〕19号），实施方案中指出：积极推进含VOCs原辅材料和产品源头替代。严格控制生产和使用高VOCs含量溶剂型涂料、油墨、胶粘剂、清洗剂等建设项目。提高水性、高固体分、无溶剂、粉末等低（无）VOCs含量产品的比重。工业涂装、包装印刷、电子等行业企业要加大低（无）VOCs含量原辅材料的源头替代力度。在房屋建筑和市政工程中，全面推广使用低（无）VOCs含量涂料和胶粘剂；推动除特殊功能要求外的室内地坪施工、室外构筑物防护和道路交通标志喷涂使用低（无）VOCs含量涂料。在生产、销售、进口、使用等环节严格执行VOCs含量限值标准。推动绿色环保产业健康发展。加大政策支持力度，在低（无）VOCs含量原辅材料生产和使用、VOCs污染治理、超低排放改造、环境和大气成分监测等领域支持培育一批具有竞争力的龙头企业。多措并举治理环保领域低价低质中标乱象，营造公平竞争环境，推动产业健康有序发展。加快推进能源结构优化。到2025年，非化石能源消费比重力争超过15%。持续增加天然气生产供应，进一步优化天然气使用方式，新增天然气优先保障居民生活和清洁取暖需求，在落实气源的前提下加大工业用煤替代力度。严格控制煤炭消费总量。全省原则上不再新增自备燃煤机组，按要求支持自备燃煤机组实施清洁能源替代。对支撑电力稳定供应、电网安全运行、清洁能源大规模并网消纳的煤电项目及其用煤量应予以合理保障。到2025年，全省煤炭消费比重下降到60%左右。积极推进燃煤锅炉淘汰改造。各地要将燃煤供热锅炉替代项目纳入城镇供热规划。县级及以上城市建成区原则上不再新建35蒸吨/小时及以下燃煤锅炉，其他地区原则上不再新建10蒸吨/小时及以下燃煤锅炉。加快热力管网建设，依托电厂、大型工业企业开展远距离供热示范，充分释放热电联产、工业余热等供热能力，淘汰管网覆盖范围内的供热燃煤锅炉和散煤。到2025年，哈尔滨市、佳木斯市、七台河市、绥化市基本完成城市建成区35蒸吨/小时及以下燃煤锅炉淘汰；哈尔滨市、绥化市基本淘汰行政区域内10蒸吨/小时及以下的燃煤锅炉。加快工业炉窑燃料清洁替代。有序推进以电代煤，积极稳妥推进以气代煤。稳步推进在用高污染燃料的工业炉窑改用工业余热、电能、天然气等。</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符合性分析：本项目为集中供热项目，</w:t>
      </w:r>
      <w:r>
        <w:rPr>
          <w:rFonts w:ascii="Times New Roman" w:hAnsi="Times New Roman" w:cs="Times New Roman" w:eastAsiaTheme="minorEastAsia"/>
          <w:color w:val="000000" w:themeColor="text1"/>
          <w:sz w:val="24"/>
          <w:szCs w:val="24"/>
          <w:lang w:val="en-US"/>
          <w14:textFill>
            <w14:solidFill>
              <w14:schemeClr w14:val="tx1"/>
            </w14:solidFill>
          </w14:textFill>
        </w:rPr>
        <w:t>锅炉烟气治理措施采用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低氮燃烧和</w:t>
      </w:r>
      <w:r>
        <w:rPr>
          <w:rFonts w:ascii="Times New Roman" w:hAnsi="Times New Roman" w:cs="Times New Roman" w:eastAsiaTheme="minorEastAsia"/>
          <w:color w:val="000000" w:themeColor="text1"/>
          <w:sz w:val="24"/>
          <w:szCs w:val="24"/>
          <w:lang w:val="en-US"/>
          <w14:textFill>
            <w14:solidFill>
              <w14:schemeClr w14:val="tx1"/>
            </w14:solidFill>
          </w14:textFill>
        </w:rPr>
        <w:t>SNCR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-SCR联合</w:t>
      </w:r>
      <w:r>
        <w:rPr>
          <w:rFonts w:ascii="Times New Roman" w:hAnsi="Times New Roman" w:cs="Times New Roman" w:eastAsiaTheme="minorEastAsia"/>
          <w:color w:val="000000" w:themeColor="text1"/>
          <w:sz w:val="24"/>
          <w:szCs w:val="24"/>
          <w:lang w:val="en-US"/>
          <w14:textFill>
            <w14:solidFill>
              <w14:schemeClr w14:val="tx1"/>
            </w14:solidFill>
          </w14:textFill>
        </w:rPr>
        <w:t>脱硝、布袋除尘器、湿式镁法脱硫。</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项目所在区域</w:t>
      </w:r>
      <w:r>
        <w:rPr>
          <w:rFonts w:ascii="Times New Roman" w:hAnsi="Times New Roman" w:cs="Times New Roman" w:eastAsiaTheme="minorEastAsia"/>
          <w:color w:val="000000" w:themeColor="text1"/>
          <w:sz w:val="24"/>
          <w:szCs w:val="24"/>
          <w:lang w:val="en-US"/>
          <w14:textFill>
            <w14:solidFill>
              <w14:schemeClr w14:val="tx1"/>
            </w14:solidFill>
          </w14:textFill>
        </w:rPr>
        <w:t>已完成小锅炉淘汰工作，评价范围内无分散小锅炉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，本次改扩建工程对现有2台70MW热水锅炉淘汰，改扩建后燃</w:t>
      </w:r>
      <w:r>
        <w:rPr>
          <w:rFonts w:ascii="Times New Roman" w:hAnsi="Times New Roman" w:cs="Times New Roman" w:eastAsiaTheme="minorEastAsia"/>
          <w:color w:val="000000" w:themeColor="text1"/>
          <w:sz w:val="24"/>
          <w:szCs w:val="24"/>
          <w:lang w:val="en-US"/>
          <w14:textFill>
            <w14:solidFill>
              <w14:schemeClr w14:val="tx1"/>
            </w14:solidFill>
          </w14:textFill>
        </w:rPr>
        <w:t>煤使用量减少4.2万t/a。本项目锅炉采用设计用煤符合国家规定商品煤质量标准的锅炉，本项目的建设进一步提高</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红兴隆地区</w:t>
      </w:r>
      <w:r>
        <w:rPr>
          <w:rFonts w:ascii="Times New Roman" w:hAnsi="Times New Roman" w:cs="Times New Roman" w:eastAsiaTheme="minorEastAsia"/>
          <w:color w:val="000000" w:themeColor="text1"/>
          <w:sz w:val="24"/>
          <w:szCs w:val="24"/>
          <w:lang w:val="en-US"/>
          <w14:textFill>
            <w14:solidFill>
              <w14:schemeClr w14:val="tx1"/>
            </w14:solidFill>
          </w14:textFill>
        </w:rPr>
        <w:t>的集中供热普及率。有利于提高区域供热质量，改善居民生活。</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建成后锅炉烟气执行</w:t>
      </w:r>
      <w:r>
        <w:rPr>
          <w:rFonts w:ascii="Times New Roman" w:hAnsi="Times New Roman" w:cs="Times New Roman" w:eastAsiaTheme="minorEastAsia"/>
          <w:color w:val="000000" w:themeColor="text1"/>
          <w:sz w:val="24"/>
          <w:szCs w:val="24"/>
          <w:lang w:val="en-US"/>
          <w14:textFill>
            <w14:solidFill>
              <w14:schemeClr w14:val="tx1"/>
            </w14:solidFill>
          </w14:textFill>
        </w:rPr>
        <w:t>《关于印发&lt;全面实施燃煤电厂超低排放和节能改造工作方案&gt;的通知》（环发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、35mg/m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）要求</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。因此，本项目建设符合《黑龙江省空气质量持续改善行动计划实施方案》（黑政发〔2023〕19号）。</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1.3.2.5</w:t>
      </w:r>
      <w:r>
        <w:rPr>
          <w:rFonts w:ascii="Times New Roman" w:hAnsi="Times New Roman" w:cs="Times New Roman" w:eastAsiaTheme="minorEastAsia"/>
          <w:color w:val="000000" w:themeColor="text1"/>
          <w:sz w:val="24"/>
          <w:szCs w:val="24"/>
          <w:lang w:val="en-US" w:bidi="ar-SA"/>
          <w14:textFill>
            <w14:solidFill>
              <w14:schemeClr w14:val="tx1"/>
            </w14:solidFill>
          </w14:textFill>
        </w:rPr>
        <w:t>与《黑龙江省大气污染防治行动计划实施细则》符合性分析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实施细则要求</w:t>
      </w:r>
      <w:r>
        <w:rPr>
          <w:rFonts w:ascii="Times New Roman" w:hAnsi="Times New Roman" w:cs="Times New Roman" w:eastAsiaTheme="minorEastAsia"/>
          <w:color w:val="000000" w:themeColor="text1"/>
          <w:sz w:val="24"/>
          <w:szCs w:val="24"/>
          <w:lang w:val="en-US"/>
          <w14:textFill>
            <w14:solidFill>
              <w14:schemeClr w14:val="tx1"/>
            </w14:solidFill>
          </w14:textFill>
        </w:rPr>
        <w:t>加大城市综合治理力度，全面推进大气污染物减排”有如下描述：“加大集中供热工程建设，淘汰分散燃煤小锅炉。积极推进“三供两治”工程项目建设，加大城市及周边现有燃煤发电机组的供热改造力度，推进大型集中供热企业接收分散供热小锅炉，拔除小烟筒。到2017年年底，全省城市建成区集中供热普及率达到73%以上，牡丹江市达到93%以上。从2014年起，禁止新建20蒸吨以下燃煤锅炉。到2017年年底，除必要保留外，全省地级以上城市建成区基本淘汰10蒸吨及以下燃煤锅炉。加快推进工业企业集中供热工作，到2017年年底，现有各类工业园区与工业集中区应基本完成热电联产或集中供热改造。供热供气管网覆盖不到的城乡结合部，要改用电、新能源、洁净煤或再生能源，推广应用高效节能环保型锅炉。</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符合性分析</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本项目为集中供热项目，</w:t>
      </w:r>
      <w:r>
        <w:rPr>
          <w:rFonts w:ascii="Times New Roman" w:hAnsi="Times New Roman" w:cs="Times New Roman" w:eastAsiaTheme="minorEastAsia"/>
          <w:color w:val="000000" w:themeColor="text1"/>
          <w:sz w:val="24"/>
          <w:szCs w:val="24"/>
          <w:lang w:val="en-US"/>
          <w14:textFill>
            <w14:solidFill>
              <w14:schemeClr w14:val="tx1"/>
            </w14:solidFill>
          </w14:textFill>
        </w:rPr>
        <w:t>锅炉烟气治理措施采用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低氮燃烧和</w:t>
      </w:r>
      <w:r>
        <w:rPr>
          <w:rFonts w:ascii="Times New Roman" w:hAnsi="Times New Roman" w:cs="Times New Roman" w:eastAsiaTheme="minorEastAsia"/>
          <w:color w:val="000000" w:themeColor="text1"/>
          <w:sz w:val="24"/>
          <w:szCs w:val="24"/>
          <w:lang w:val="en-US"/>
          <w14:textFill>
            <w14:solidFill>
              <w14:schemeClr w14:val="tx1"/>
            </w14:solidFill>
          </w14:textFill>
        </w:rPr>
        <w:t>SNCR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-SCR联合</w:t>
      </w:r>
      <w:r>
        <w:rPr>
          <w:rFonts w:ascii="Times New Roman" w:hAnsi="Times New Roman" w:cs="Times New Roman" w:eastAsiaTheme="minorEastAsia"/>
          <w:color w:val="000000" w:themeColor="text1"/>
          <w:sz w:val="24"/>
          <w:szCs w:val="24"/>
          <w:lang w:val="en-US"/>
          <w14:textFill>
            <w14:solidFill>
              <w14:schemeClr w14:val="tx1"/>
            </w14:solidFill>
          </w14:textFill>
        </w:rPr>
        <w:t>脱硝、布袋除尘器、湿式镁法脱硫。</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项目所在区域</w:t>
      </w:r>
      <w:r>
        <w:rPr>
          <w:rFonts w:ascii="Times New Roman" w:hAnsi="Times New Roman" w:cs="Times New Roman" w:eastAsiaTheme="minorEastAsia"/>
          <w:color w:val="000000" w:themeColor="text1"/>
          <w:sz w:val="24"/>
          <w:szCs w:val="24"/>
          <w:lang w:val="en-US"/>
          <w14:textFill>
            <w14:solidFill>
              <w14:schemeClr w14:val="tx1"/>
            </w14:solidFill>
          </w14:textFill>
        </w:rPr>
        <w:t>已完成小锅炉淘汰工作，评价范围内无分散小锅炉。本项目的建设进一步提高</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红兴隆地区</w:t>
      </w:r>
      <w:r>
        <w:rPr>
          <w:rFonts w:ascii="Times New Roman" w:hAnsi="Times New Roman" w:cs="Times New Roman" w:eastAsiaTheme="minorEastAsia"/>
          <w:color w:val="000000" w:themeColor="text1"/>
          <w:sz w:val="24"/>
          <w:szCs w:val="24"/>
          <w:lang w:val="en-US"/>
          <w14:textFill>
            <w14:solidFill>
              <w14:schemeClr w14:val="tx1"/>
            </w14:solidFill>
          </w14:textFill>
        </w:rPr>
        <w:t>的集中供热普及率。有利于提高区域供热质量，改善居民生活。</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本项目建设符合</w:t>
      </w:r>
      <w:r>
        <w:rPr>
          <w:rFonts w:ascii="Times New Roman" w:hAnsi="Times New Roman" w:cs="Times New Roman" w:eastAsiaTheme="minorEastAsia"/>
          <w:color w:val="000000" w:themeColor="text1"/>
          <w:sz w:val="24"/>
          <w:szCs w:val="24"/>
          <w:lang w:val="en-US"/>
          <w14:textFill>
            <w14:solidFill>
              <w14:schemeClr w14:val="tx1"/>
            </w14:solidFill>
          </w14:textFill>
        </w:rPr>
        <w:t>《黑龙江省大气污染防治行动计划实施细则》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要求。</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1.3.2.6与《双鸭山市“十四五”生态环境保护规划》符合性分析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加强“两高”行业耗煤管控。加强钢铁、煤炭、电力、建材等行业化解过剩产能和淘汰落后产能，促进现存“两高”行业的提质增效，推进工业结构优化升级，减少煤炭消费需求；对拟建“两高”项目在开工和履行审批手续前，必须深入论证建设的必要性、可行性，认真分析评估对能耗“双控”、碳排放、产业高质量发展与环境质量的影响。对不符合国家、省、市产业规划、产业政策、“三线一单”、规划环评、产能置换、煤炭消费减量替代和污染物排放区域削减等要求的项目，坚决停批、停建。</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优化能源供给结构。发展清洁能源，积极发展风能、太阳能、生物质能、抽水蓄能等可再生能源，清洁高效高质量发展火电。以消纳为导向，发展风力发电、光伏发电、生物质发电等清洁能源产业，优化能源结构，积极申请风电、光伏发电项目。加快生物质燃料乙醇项目建设，积极开展地热能研究推广。推进风、光、火、储多能互补，提升能源基础设施智能绿色安全发展水平。到2025年，全市新能源发电装机规模达到150万千瓦。</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推动能源清洁化替代。加快工业、建筑、交通等用能领域的电气化、智能化发展，加强清洁能源供应保障，推行清洁能源替代。按照煤炭集中使用、清洁利用原则，重点削减小型燃煤锅炉、民用散煤消费量，降低煤炭在终端分散利用比例，完善煤炭清洁储运体系，对以煤为燃料的锅炉和工业窑炉，加快使用清洁低碳能源以及工厂余热、电力热力等进行替代。持续推进清洁取暖，推动煤炭高效清洁利用，宜气则气、宜电则电，因地制宜发展地热、生物质能等清洁能源供暖，稳妥有序推进全市散煤替代，稳步推进经济性好、节能减排效益佳的清洁供暖项目。到2025年，全市清洁取暖率提高到70%以上。</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（三）深化协同控制，持续改善环境空气质量。</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1.实施大气环境质量目标管理。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以环境空气质量改善为核心，不断提高优良天数比率。深入研究分析影响全市环境空气质量改善的重点问题，集中精力做到重点突破，同时对已完成的工作要巩固治理成果，防止反弹。</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2.加强细颗粒物污染防治。</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聚焦“三重一改”，集中力量开展散煤污染治理。根据《双鸭山市散煤污染治理行动方案》，通过实施集中供热工程、棚户区拆迁改造工程、清洁能源替代工程、推进农村地区生物质燃料可再生能源替代散煤、节能建筑和老旧管网小区改造工程、燃煤小锅炉淘汰工程、规范散煤经营行为、打击非法经营行为等8方面工作，实现全市环境空气质量不断改善。2021年，削减散煤23.68万吨，棚户区改造1663户，改造老旧小区外墙保温板104.13万平方米，老旧管网改造101.08公里，淘汰建成区外20台10蒸吨以下锅炉、7台20蒸吨锅炉，完成了集贤浩宇新能源公司、集贤佳盛新能源公司、中能建公司笔架山、双鸭山市尖山区公立村4个分散式风电。2022年，削减散煤3.85万吨，棚户区改造170户、建筑节能改造77万平方米，老旧管网改造89.22公里，完成了国能宝清煤电化有限公司分布式光伏电站、黑龙江建龙钢铁有限公司40MW煤气发电等“近零排放”项目。</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实施大气环境质量目标管理。对照2035年远景目标，开展形势分析，研究提出大气环境质量近期目标。坚持前紧后松、持续改善的原则，加强达标进程管理。到2025年，我市持续改善大气环境质量。</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深化燃煤设施整治。全面开展市级城市建成区内35蒸吨以下燃煤锅炉淘汰工作；按照《双鸭山市燃煤储粮烘干设施清洁能源改造项目实施方案》要求，逐步推进燃煤储粮烘干设施清洁能源改造，将燃料由煤改为醇基清洁燃料。</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加强秸秆禁烧和综合利用。加强春、秋季秸秆禁烧管控，发挥工作领导小组及联席会议制度作用，统筹对各县（区）、部门持续开展督察。健全市县乡村“四级”网格化监管体系，开展秸秆禁烧专项巡查，综合运用无人机、高清视频监控等手段，不断提高禁烧监管水平，严格落实禁烧监管目标责任考核和奖惩制度。加大秸秆离田政策支持力度，探索秸秆肥料化、饲料化、基料化、原料化、燃料化“五化”利用，到2025年，全市秸秆综合利用率95%。</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加强扬尘精细化管控。积极推行绿色施工，督促责任单位严格落实标准化防控措施。将绿色施工纳入企业资质评价、信用评价。重点区域道路、水务等线性工程进行分段施工。推进低尘机械化湿式清扫作业，加大城市出入口、城乡结合部等重要路段冲洗保洁力度，渣土车实施硬覆盖与全密闭运输，强化绿化用地扬尘治理。加强城市裸露地面、粉粒类物料堆放以及大型煤炭物料堆场的抑尘设施建设。</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3.强化多污染物协同控制。</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实施重点行业NOx（氮氧化物）等污染物深度治理。推进钢铁、焦化行业超低排放改造，到2025年，现有钢铁、焦化企业基本完成超低排放改造，实现钢铁、焦化企业脱硫脱硝全覆盖。加强生物质锅炉燃料品质及排放管控，禁止掺烧煤炭、垃圾和工业固废，对不稳定达标排放的生物质锅炉进行整改。</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推进PM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ascii="Times New Roman" w:hAnsi="Times New Roman" w:cs="Times New Roman" w:eastAsiaTheme="minorEastAsia"/>
          <w:color w:val="000000" w:themeColor="text1"/>
          <w:sz w:val="24"/>
          <w:szCs w:val="24"/>
          <w:lang w:val="en-US"/>
          <w14:textFill>
            <w14:solidFill>
              <w14:schemeClr w14:val="tx1"/>
            </w14:solidFill>
          </w14:textFill>
        </w:rPr>
        <w:t>和臭氧污染协同管控。紧盯臭氧防控重点时段，制定臭氧管控方案，探索完善O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和PM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ascii="Times New Roman" w:hAnsi="Times New Roman" w:cs="Times New Roman" w:eastAsiaTheme="minorEastAsia"/>
          <w:color w:val="000000" w:themeColor="text1"/>
          <w:sz w:val="24"/>
          <w:szCs w:val="24"/>
          <w:lang w:val="en-US"/>
          <w14:textFill>
            <w14:solidFill>
              <w14:schemeClr w14:val="tx1"/>
            </w14:solidFill>
          </w14:textFill>
        </w:rPr>
        <w:t>协同控制应对机制，细化轻中度管控清单，采取针对性和操作性强的举措，确保措施可核查、可考核。逐步扩大臭氧和PM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ascii="Times New Roman" w:hAnsi="Times New Roman" w:cs="Times New Roman" w:eastAsiaTheme="minorEastAsia"/>
          <w:color w:val="000000" w:themeColor="text1"/>
          <w:sz w:val="24"/>
          <w:szCs w:val="24"/>
          <w:lang w:val="en-US"/>
          <w14:textFill>
            <w14:solidFill>
              <w14:schemeClr w14:val="tx1"/>
            </w14:solidFill>
          </w14:textFill>
        </w:rPr>
        <w:t>协同控制范围，指导有关单位和企业制定夏季“一厂一策”实施方案，重点加强加油站、储油库、VOCs重点企业及移动源的管控，鼓励出台激励政策，鼓励企业错峰生产，降低VOCs污染排放强度，减少臭氧污染，减少轻中度污染天数。</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实施大气污染防治和温室气体协同治理。推动实现减污降碳协同效应，严格控制高耗能、高排放项目建设。协同控制甲烷、氧化亚氮等温室气体，研究制定非二氧化碳类温室气体总量控制方案，分阶段明确非二氧化碳类温室气体减排目标和监管范围。加强工作协调和政策协同，推动应对气候变化的相关政策、法规制度和体制机制进一步完善，强化目标管理和政策落实。积极支持各类低碳技术的研发和产业化示范推广。</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加强有毒有害大气污染物风险管控。加强污染物源头风险管理，落实污染源环境管理制度。按照《有毒有害大气污染物名录》筛选排放有毒有害大气污染物的企事业单位，取对排放口和周边环境定期监测等多种措施，排查环境安全隐患，强化环境风险评估，采取技术改进和创新，减少相关污染物的排放，降低环境与健康风险。</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开展VOCs（挥发性有机物）全过程综合整治。开展原油、成品油、有机化学品等涉VOCs物质储罐排查。持续开展化工、包装印刷、工业涂装等重点行业VOCs全过程综合整治。按规定逐步取消非必要VOCs废气排放系统旁路，提高VOCs含量低（无）的绿色原辅材料替代比例，加强汽修、餐饮等行业VOCs综合治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符合性分析</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本项目为集中供热项目，</w:t>
      </w:r>
      <w:r>
        <w:rPr>
          <w:rFonts w:ascii="Times New Roman" w:hAnsi="Times New Roman" w:cs="Times New Roman" w:eastAsiaTheme="minorEastAsia"/>
          <w:color w:val="000000" w:themeColor="text1"/>
          <w:sz w:val="24"/>
          <w:szCs w:val="24"/>
          <w:lang w:val="en-US"/>
          <w14:textFill>
            <w14:solidFill>
              <w14:schemeClr w14:val="tx1"/>
            </w14:solidFill>
          </w14:textFill>
        </w:rPr>
        <w:t>锅炉烟气治理措施采用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低氮燃烧和</w:t>
      </w:r>
      <w:r>
        <w:rPr>
          <w:rFonts w:ascii="Times New Roman" w:hAnsi="Times New Roman" w:cs="Times New Roman" w:eastAsiaTheme="minorEastAsia"/>
          <w:color w:val="000000" w:themeColor="text1"/>
          <w:sz w:val="24"/>
          <w:szCs w:val="24"/>
          <w:lang w:val="en-US"/>
          <w14:textFill>
            <w14:solidFill>
              <w14:schemeClr w14:val="tx1"/>
            </w14:solidFill>
          </w14:textFill>
        </w:rPr>
        <w:t>SNCR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-SCR联合</w:t>
      </w:r>
      <w:r>
        <w:rPr>
          <w:rFonts w:ascii="Times New Roman" w:hAnsi="Times New Roman" w:cs="Times New Roman" w:eastAsiaTheme="minorEastAsia"/>
          <w:color w:val="000000" w:themeColor="text1"/>
          <w:sz w:val="24"/>
          <w:szCs w:val="24"/>
          <w:lang w:val="en-US"/>
          <w14:textFill>
            <w14:solidFill>
              <w14:schemeClr w14:val="tx1"/>
            </w14:solidFill>
          </w14:textFill>
        </w:rPr>
        <w:t>脱硝、布袋除尘器、湿式镁法脱硫。</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项目所在区域</w:t>
      </w:r>
      <w:r>
        <w:rPr>
          <w:rFonts w:ascii="Times New Roman" w:hAnsi="Times New Roman" w:cs="Times New Roman" w:eastAsiaTheme="minorEastAsia"/>
          <w:color w:val="000000" w:themeColor="text1"/>
          <w:sz w:val="24"/>
          <w:szCs w:val="24"/>
          <w:lang w:val="en-US"/>
          <w14:textFill>
            <w14:solidFill>
              <w14:schemeClr w14:val="tx1"/>
            </w14:solidFill>
          </w14:textFill>
        </w:rPr>
        <w:t>已完成小锅炉淘汰工作，评价范围内无分散小锅炉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，本次改扩建工程对现有2台70MW热水锅炉淘汰，改扩建后燃</w:t>
      </w:r>
      <w:r>
        <w:rPr>
          <w:rFonts w:ascii="Times New Roman" w:hAnsi="Times New Roman" w:cs="Times New Roman" w:eastAsiaTheme="minorEastAsia"/>
          <w:color w:val="000000" w:themeColor="text1"/>
          <w:sz w:val="24"/>
          <w:szCs w:val="24"/>
          <w:lang w:val="en-US"/>
          <w14:textFill>
            <w14:solidFill>
              <w14:schemeClr w14:val="tx1"/>
            </w14:solidFill>
          </w14:textFill>
        </w:rPr>
        <w:t>煤使用量减少4.2万t/a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，进一步减少污染物排放量</w:t>
      </w:r>
      <w:r>
        <w:rPr>
          <w:rFonts w:ascii="Times New Roman" w:hAnsi="Times New Roman" w:cs="Times New Roman" w:eastAsiaTheme="minorEastAsia"/>
          <w:color w:val="000000" w:themeColor="text1"/>
          <w:sz w:val="24"/>
          <w:szCs w:val="24"/>
          <w:lang w:val="en-US"/>
          <w14:textFill>
            <w14:solidFill>
              <w14:schemeClr w14:val="tx1"/>
            </w14:solidFill>
          </w14:textFill>
        </w:rPr>
        <w:t>。本项目扩建锅炉采用设计用煤符合国家规定商品煤质量标准的锅炉，锅炉用煤符合国家规定商品煤质量标准。本项目扩建锅炉的建设进一步提高</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红兴隆地区</w:t>
      </w:r>
      <w:r>
        <w:rPr>
          <w:rFonts w:ascii="Times New Roman" w:hAnsi="Times New Roman" w:cs="Times New Roman" w:eastAsiaTheme="minorEastAsia"/>
          <w:color w:val="000000" w:themeColor="text1"/>
          <w:sz w:val="24"/>
          <w:szCs w:val="24"/>
          <w:lang w:val="en-US"/>
          <w14:textFill>
            <w14:solidFill>
              <w14:schemeClr w14:val="tx1"/>
            </w14:solidFill>
          </w14:textFill>
        </w:rPr>
        <w:t>的集中供热普及率。有利于提高区域供热质量，改善居民生活。</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改扩建完成后，全厂锅炉执行</w:t>
      </w:r>
      <w:r>
        <w:rPr>
          <w:rFonts w:ascii="Times New Roman" w:hAnsi="Times New Roman" w:cs="Times New Roman" w:eastAsiaTheme="minorEastAsia"/>
          <w:color w:val="000000" w:themeColor="text1"/>
          <w:sz w:val="24"/>
          <w:szCs w:val="24"/>
          <w:lang w:val="en-US"/>
          <w14:textFill>
            <w14:solidFill>
              <w14:schemeClr w14:val="tx1"/>
            </w14:solidFill>
          </w14:textFill>
        </w:rPr>
        <w:t>《关于印发&lt;全面实施燃煤电厂超低排放和节能改造工作方案&gt;的通知》（环发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、35mg/m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）要求。</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因此，本项目建设符合《双鸭山市“十四五”生态环境保护规划》要求。</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1.3.2.7</w:t>
      </w:r>
      <w:r>
        <w:rPr>
          <w:rFonts w:ascii="Times New Roman" w:hAnsi="Times New Roman" w:cs="Times New Roman" w:eastAsiaTheme="minorEastAsia"/>
          <w:color w:val="000000" w:themeColor="text1"/>
          <w:sz w:val="24"/>
          <w:szCs w:val="24"/>
          <w:lang w:val="en-US" w:bidi="ar-SA"/>
          <w14:textFill>
            <w14:solidFill>
              <w14:schemeClr w14:val="tx1"/>
            </w14:solidFill>
          </w14:textFill>
        </w:rPr>
        <w:t>与</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用地性质</w:t>
      </w:r>
      <w:r>
        <w:rPr>
          <w:rFonts w:ascii="Times New Roman" w:hAnsi="Times New Roman" w:cs="Times New Roman" w:eastAsiaTheme="minorEastAsia"/>
          <w:color w:val="000000" w:themeColor="text1"/>
          <w:sz w:val="24"/>
          <w:szCs w:val="24"/>
          <w:lang w:val="en-US" w:bidi="ar-SA"/>
          <w14:textFill>
            <w14:solidFill>
              <w14:schemeClr w14:val="tx1"/>
            </w14:solidFill>
          </w14:textFill>
        </w:rPr>
        <w:t>符合性分析</w:t>
      </w:r>
      <w:bookmarkEnd w:id="18"/>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根据《农垦红兴隆分局国土空间总体规划(2021-2035年)》，本项目用地性质为公用设施用地，符合土地利用规划要求。</w:t>
      </w:r>
    </w:p>
    <w:p>
      <w:pPr>
        <w:ind w:firstLine="177"/>
        <w:rPr>
          <w:rFonts w:cs="Times New Roman" w:hAnsiTheme="minorEastAsia"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657860</wp:posOffset>
                </wp:positionH>
                <wp:positionV relativeFrom="paragraph">
                  <wp:posOffset>2840355</wp:posOffset>
                </wp:positionV>
                <wp:extent cx="803275" cy="396240"/>
                <wp:effectExtent l="0" t="285750" r="625475" b="22860"/>
                <wp:wrapNone/>
                <wp:docPr id="30" name="矩形标注 30"/>
                <wp:cNvGraphicFramePr/>
                <a:graphic xmlns:a="http://schemas.openxmlformats.org/drawingml/2006/main">
                  <a:graphicData uri="http://schemas.microsoft.com/office/word/2010/wordprocessingShape">
                    <wps:wsp>
                      <wps:cNvSpPr/>
                      <wps:spPr>
                        <a:xfrm>
                          <a:off x="0" y="0"/>
                          <a:ext cx="803275" cy="396240"/>
                        </a:xfrm>
                        <a:prstGeom prst="wedgeRectCallout">
                          <a:avLst>
                            <a:gd name="adj1" fmla="val 119544"/>
                            <a:gd name="adj2" fmla="val -111074"/>
                          </a:avLst>
                        </a:prstGeom>
                        <a:solidFill>
                          <a:schemeClr val="bg1"/>
                        </a:solidFill>
                        <a:ln w="12700"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txbx>
                        <w:txbxContent>
                          <w:p>
                            <w:pPr>
                              <w:spacing w:line="240" w:lineRule="auto"/>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1.8pt;margin-top:223.65pt;height:31.2pt;width:63.25pt;z-index:251677696;v-text-anchor:middle;mso-width-relative:page;mso-height-relative:page;" fillcolor="#FFFFFF [3212]" filled="t" stroked="t" coordsize="21600,21600" o:gfxdata="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GnUTrfcAAAACwEAAA8AAAAAAAAAAQAgAAAAIgAA&#10;AGRycy9kb3ducmV2LnhtbFBLAQIUABQAAAAIAIdO4kAQihhRrwIAAGYFAAAOAAAAAAAAAAEAIAAA&#10;ACsBAABkcnMvZTJvRG9jLnhtbFBLBQYAAAAABgAGAFkBAABMBgAAAAA=&#10;" adj="36622,-13192">
                <v:fill on="t" focussize="0,0"/>
                <v:stroke weight="1pt" color="#000000 [3213]" miterlimit="8" joinstyle="miter"/>
                <v:imagedata o:title=""/>
                <o:lock v:ext="edit" aspectratio="f"/>
                <v:textbox>
                  <w:txbxContent>
                    <w:p>
                      <w:pPr>
                        <w:spacing w:line="240" w:lineRule="auto"/>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项目位置</w:t>
                      </w:r>
                    </w:p>
                  </w:txbxContent>
                </v:textbox>
              </v:shape>
            </w:pict>
          </mc:Fallback>
        </mc:AlternateContent>
      </w:r>
      <w:r>
        <w:rPr>
          <w:color w:val="000000" w:themeColor="text1"/>
          <w:lang w:val="en-US" w:bidi="ar-SA"/>
          <w14:textFill>
            <w14:solidFill>
              <w14:schemeClr w14:val="tx1"/>
            </w14:solidFill>
          </w14:textFill>
        </w:rPr>
        <w:drawing>
          <wp:inline distT="0" distB="0" distL="114300" distR="114300">
            <wp:extent cx="5267325" cy="3811905"/>
            <wp:effectExtent l="0" t="0" r="9525" b="171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9"/>
                    <a:stretch>
                      <a:fillRect/>
                    </a:stretch>
                  </pic:blipFill>
                  <pic:spPr>
                    <a:xfrm>
                      <a:off x="0" y="0"/>
                      <a:ext cx="5267325" cy="3811905"/>
                    </a:xfrm>
                    <a:prstGeom prst="rect">
                      <a:avLst/>
                    </a:prstGeom>
                    <a:noFill/>
                    <a:ln>
                      <a:noFill/>
                    </a:ln>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图1-</w:t>
      </w:r>
      <w:r>
        <w:rPr>
          <w:rFonts w:hint="eastAsia" w:ascii="Times New Roman" w:hAnsiTheme="minorEastAsia" w:eastAsiaTheme="minorEastAsia"/>
          <w:b/>
          <w:bCs/>
          <w:color w:val="000000" w:themeColor="text1"/>
          <w:szCs w:val="24"/>
          <w14:textFill>
            <w14:solidFill>
              <w14:schemeClr w14:val="tx1"/>
            </w14:solidFill>
          </w14:textFill>
        </w:rPr>
        <w:t>3</w:t>
      </w:r>
      <w:r>
        <w:rPr>
          <w:rFonts w:ascii="Times New Roman" w:hAnsiTheme="minorEastAsia" w:eastAsiaTheme="minorEastAsia"/>
          <w:b/>
          <w:bCs/>
          <w:color w:val="000000" w:themeColor="text1"/>
          <w:szCs w:val="24"/>
          <w14:textFill>
            <w14:solidFill>
              <w14:schemeClr w14:val="tx1"/>
            </w14:solidFill>
          </w14:textFill>
        </w:rPr>
        <w:t xml:space="preserve">-1 </w:t>
      </w:r>
      <w:r>
        <w:rPr>
          <w:rFonts w:hint="eastAsia" w:ascii="Times New Roman" w:hAnsiTheme="minorEastAsia" w:eastAsiaTheme="minorEastAsia"/>
          <w:b/>
          <w:bCs/>
          <w:color w:val="000000" w:themeColor="text1"/>
          <w:szCs w:val="24"/>
          <w14:textFill>
            <w14:solidFill>
              <w14:schemeClr w14:val="tx1"/>
            </w14:solidFill>
          </w14:textFill>
        </w:rPr>
        <w:t>用地性质符合性分析</w:t>
      </w:r>
      <w:r>
        <w:rPr>
          <w:rFonts w:ascii="Times New Roman" w:hAnsiTheme="minorEastAsia" w:eastAsiaTheme="minorEastAsia"/>
          <w:b/>
          <w:bCs/>
          <w:color w:val="000000" w:themeColor="text1"/>
          <w:szCs w:val="24"/>
          <w14:textFill>
            <w14:solidFill>
              <w14:schemeClr w14:val="tx1"/>
            </w14:solidFill>
          </w14:textFill>
        </w:rPr>
        <w:t>图</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1.3.2.8</w:t>
      </w:r>
      <w:r>
        <w:rPr>
          <w:rFonts w:ascii="Times New Roman" w:hAnsi="Times New Roman" w:cs="Times New Roman" w:eastAsiaTheme="minorEastAsia"/>
          <w:color w:val="000000" w:themeColor="text1"/>
          <w:sz w:val="24"/>
          <w:szCs w:val="24"/>
          <w:lang w:val="en-US" w:bidi="ar-SA"/>
          <w14:textFill>
            <w14:solidFill>
              <w14:schemeClr w14:val="tx1"/>
            </w14:solidFill>
          </w14:textFill>
        </w:rPr>
        <w:t>与</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供热规划</w:t>
      </w:r>
      <w:r>
        <w:rPr>
          <w:rFonts w:ascii="Times New Roman" w:hAnsi="Times New Roman" w:cs="Times New Roman" w:eastAsiaTheme="minorEastAsia"/>
          <w:color w:val="000000" w:themeColor="text1"/>
          <w:sz w:val="24"/>
          <w:szCs w:val="24"/>
          <w:lang w:val="en-US" w:bidi="ar-SA"/>
          <w14:textFill>
            <w14:solidFill>
              <w14:schemeClr w14:val="tx1"/>
            </w14:solidFill>
          </w14:textFill>
        </w:rPr>
        <w:t>符合性分析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根据《黑龙江省农垦红兴隆管理局城市总体规划（2014-2030年）》中的中心城区供热工程规划图，本项目用地性质为公用设施用地，根据供热工程规划：</w:t>
      </w:r>
      <w:r>
        <w:rPr>
          <w:rFonts w:ascii="Times New Roman" w:hAnsi="Times New Roman" w:cs="Times New Roman" w:eastAsiaTheme="minorEastAsia"/>
          <w:color w:val="000000" w:themeColor="text1"/>
          <w:sz w:val="24"/>
          <w:szCs w:val="24"/>
          <w:lang w:val="en-US"/>
          <w14:textFill>
            <w14:solidFill>
              <w14:schemeClr w14:val="tx1"/>
            </w14:solidFill>
          </w14:textFill>
        </w:rPr>
        <w:t>黑龙江农垦兴隆热力有限公司</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位于红兴隆管理局在管理局局直南侧，为农垦红兴隆管理局局直地区的集中供热中心，根据规划未来扩容供热中心，未来供热能力1300兆瓦，供蒸汽能力90吨/小时，为红兴隆管理局主供热源。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现有2台70MW热水锅炉计划于2024年3月末（2023年供热期结束后）彻底淘汰，本次新建1台70MW热水锅炉计划于2024年10月（2024年供热期）投产使用。未来计划再新建1台70MW热水锅炉，全部建成后全厂建设有2台70MW热水锅炉均执行超低排放限值。符合中心城区供热工程规划。</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本项目为集中供热项目，新</w:t>
      </w:r>
      <w:r>
        <w:rPr>
          <w:rFonts w:ascii="Times New Roman" w:hAnsi="Times New Roman" w:cs="Times New Roman" w:eastAsiaTheme="minorEastAsia"/>
          <w:color w:val="000000" w:themeColor="text1"/>
          <w:sz w:val="24"/>
          <w:szCs w:val="24"/>
          <w:lang w:val="en-US"/>
          <w14:textFill>
            <w14:solidFill>
              <w14:schemeClr w14:val="tx1"/>
            </w14:solidFill>
          </w14:textFill>
        </w:rPr>
        <w:t>扩建锅炉配套新建一套布袋除尘设施，除尘器除尘效率不低于99.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5%。锅炉烟气脱硫采用湿式镁法脱硫工艺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本次环评在报告中对项目安装的湿式镁法脱硫效率按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95</w:t>
      </w:r>
      <w:r>
        <w:rPr>
          <w:rFonts w:ascii="Times New Roman" w:hAnsi="Times New Roman" w:cs="Times New Roman" w:eastAsiaTheme="minorEastAsia"/>
          <w:color w:val="000000" w:themeColor="text1"/>
          <w:sz w:val="24"/>
          <w:szCs w:val="24"/>
          <w:lang w:val="en-US"/>
          <w14:textFill>
            <w14:solidFill>
              <w14:schemeClr w14:val="tx1"/>
            </w14:solidFill>
          </w14:textFill>
        </w:rPr>
        <w:t>%计算。</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采用低氮燃烧和SNCR-SCR联合脱硝工艺，联合SNCR-SCR工艺脱硝效率取值80%。</w:t>
      </w:r>
      <w:r>
        <w:rPr>
          <w:rFonts w:ascii="Times New Roman" w:hAnsi="Times New Roman" w:cs="Times New Roman" w:eastAsiaTheme="minorEastAsia"/>
          <w:color w:val="000000" w:themeColor="text1"/>
          <w:sz w:val="24"/>
          <w:szCs w:val="24"/>
          <w:lang w:val="en-US"/>
          <w14:textFill>
            <w14:solidFill>
              <w14:schemeClr w14:val="tx1"/>
            </w14:solidFill>
          </w14:textFill>
        </w:rPr>
        <w:t>处理后的烟气通过高100m、出口内径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m的烟囱排放，</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执行</w:t>
      </w:r>
      <w:r>
        <w:rPr>
          <w:rFonts w:ascii="Times New Roman" w:hAnsi="Times New Roman" w:cs="Times New Roman" w:eastAsiaTheme="minorEastAsia"/>
          <w:color w:val="000000" w:themeColor="text1"/>
          <w:sz w:val="24"/>
          <w:szCs w:val="24"/>
          <w:lang w:val="en-US"/>
          <w14:textFill>
            <w14:solidFill>
              <w14:schemeClr w14:val="tx1"/>
            </w14:solidFill>
          </w14:textFill>
        </w:rPr>
        <w:t>《关于印发&lt;全面实施燃煤电厂超低排放和节能改造工作方案&gt;的通知》（环发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、35mg/m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）要求。</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符合《黑龙江省农垦红兴隆管理局城市总体（2014-2030年）》中的供热工程规划。</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1.3.3项目选址合理性分析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1、本项目厂址概述</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本项目位于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红兴隆管理局在管理局局直南侧现有锅炉房</w:t>
      </w:r>
      <w:r>
        <w:rPr>
          <w:rFonts w:ascii="Times New Roman" w:hAnsi="Times New Roman" w:cs="Times New Roman" w:eastAsiaTheme="minorEastAsia"/>
          <w:color w:val="000000" w:themeColor="text1"/>
          <w:sz w:val="24"/>
          <w:szCs w:val="24"/>
          <w:lang w:val="en-US"/>
          <w14:textFill>
            <w14:solidFill>
              <w14:schemeClr w14:val="tx1"/>
            </w14:solidFill>
          </w14:textFill>
        </w:rPr>
        <w:t>院内，项目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w:t>
      </w:r>
      <w:r>
        <w:rPr>
          <w:rFonts w:ascii="Times New Roman" w:hAnsi="Times New Roman" w:cs="Times New Roman" w:eastAsiaTheme="minorEastAsia"/>
          <w:color w:val="000000" w:themeColor="text1"/>
          <w:sz w:val="24"/>
          <w:szCs w:val="24"/>
          <w:lang w:val="en-US"/>
          <w14:textFill>
            <w14:solidFill>
              <w14:schemeClr w14:val="tx1"/>
            </w14:solidFill>
          </w14:textFill>
        </w:rPr>
        <w:t>北侧</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为空地，厂区北侧230</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红兴隆管理局居民区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西北</w:t>
      </w:r>
      <w:r>
        <w:rPr>
          <w:rFonts w:ascii="Times New Roman" w:hAnsi="Times New Roman" w:cs="Times New Roman" w:eastAsiaTheme="minorEastAsia"/>
          <w:color w:val="000000" w:themeColor="text1"/>
          <w:sz w:val="24"/>
          <w:szCs w:val="24"/>
          <w:lang w:val="en-US"/>
          <w14:textFill>
            <w14:solidFill>
              <w14:schemeClr w14:val="tx1"/>
            </w14:solidFill>
          </w14:textFill>
        </w:rPr>
        <w:t>侧</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70m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红兴隆管理局住宅小区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厂区西侧</w:t>
      </w:r>
      <w:r>
        <w:rPr>
          <w:rFonts w:ascii="Times New Roman" w:hAnsi="Times New Roman" w:cs="Times New Roman" w:eastAsiaTheme="minorEastAsia"/>
          <w:color w:val="000000" w:themeColor="text1"/>
          <w:sz w:val="24"/>
          <w:szCs w:val="24"/>
          <w:lang w:val="en-US"/>
          <w14:textFill>
            <w14:solidFill>
              <w14:schemeClr w14:val="tx1"/>
            </w14:solidFill>
          </w14:textFill>
        </w:rPr>
        <w:t>方向</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46</w:t>
      </w:r>
      <w:r>
        <w:rPr>
          <w:rFonts w:ascii="Times New Roman" w:hAnsi="Times New Roman" w:cs="Times New Roman" w:eastAsiaTheme="minorEastAsia"/>
          <w:color w:val="000000" w:themeColor="text1"/>
          <w:sz w:val="24"/>
          <w:szCs w:val="24"/>
          <w:lang w:val="en-US"/>
          <w14:textFill>
            <w14:solidFill>
              <w14:schemeClr w14:val="tx1"/>
            </w14:solidFill>
          </w14:textFill>
        </w:rPr>
        <w:t>0m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爱林村居民区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厂区南侧为农田；厂区东侧为空地</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本项目用地性质为公用设施用地</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并且本项目</w:t>
      </w:r>
      <w:r>
        <w:rPr>
          <w:rFonts w:ascii="Times New Roman" w:hAnsi="Times New Roman" w:cs="Times New Roman" w:eastAsiaTheme="minorEastAsia"/>
          <w:color w:val="000000" w:themeColor="text1"/>
          <w:sz w:val="24"/>
          <w:szCs w:val="24"/>
          <w:lang w:val="en-US"/>
          <w14:textFill>
            <w14:solidFill>
              <w14:schemeClr w14:val="tx1"/>
            </w14:solidFill>
          </w14:textFill>
        </w:rPr>
        <w:t>在原有厂区内进行建设。本次</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改扩建项目</w:t>
      </w:r>
      <w:r>
        <w:rPr>
          <w:rFonts w:ascii="Times New Roman" w:hAnsi="Times New Roman" w:cs="Times New Roman" w:eastAsiaTheme="minorEastAsia"/>
          <w:color w:val="000000" w:themeColor="text1"/>
          <w:sz w:val="24"/>
          <w:szCs w:val="24"/>
          <w:lang w:val="en-US"/>
          <w14:textFill>
            <w14:solidFill>
              <w14:schemeClr w14:val="tx1"/>
            </w14:solidFill>
          </w14:textFill>
        </w:rPr>
        <w:t>工程不涉供热管网及换热站工程。本项目选址不在“两控区”内。评价范围内无国家、省、市级自然保护区、名胜古迹及水源地，周边道路等基础设施良好，交通十分便捷，地理位置优越，项目建设通过采取严格的环境保护措施后，所排放的污染物对评价区周围环境影响较小，并对环境敏感点影响较小，其影响能够被周围环境所接受。</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2、项目选址的环境影响分析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通过环境空气预测结果可知，本项目投产后，本工程SO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10</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ascii="Times New Roman" w:hAnsi="Times New Roman" w:cs="Times New Roman" w:eastAsiaTheme="minorEastAsia"/>
          <w:color w:val="000000" w:themeColor="text1"/>
          <w:sz w:val="24"/>
          <w:szCs w:val="24"/>
          <w:lang w:val="en-US"/>
          <w14:textFill>
            <w14:solidFill>
              <w14:schemeClr w14:val="tx1"/>
            </w14:solidFill>
          </w14:textFill>
        </w:rPr>
        <w:t>预测值均符合《环境空气质量标准》(GB3095-2012)二级标准；项目建设通过采取严格的环境保护措施后，所排放的污染物对评价区周围环境影响较小，并对环境敏感点影响较小，本次改扩建工程不涉供热管网及换热站工程。因此，建设单位应加强环保设施运行管理，杜绝事故排放。</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0" w:num="1"/>
          <w:docGrid w:type="linesAndChars" w:linePitch="312" w:charSpace="-551"/>
        </w:sectPr>
      </w:pPr>
      <w:r>
        <w:rPr>
          <w:rFonts w:ascii="Times New Roman" w:hAnsi="Times New Roman" w:cs="Times New Roman" w:eastAsiaTheme="minorEastAsia"/>
          <w:color w:val="000000" w:themeColor="text1"/>
          <w:sz w:val="24"/>
          <w:szCs w:val="24"/>
          <w:lang w:val="en-US"/>
          <w14:textFill>
            <w14:solidFill>
              <w14:schemeClr w14:val="tx1"/>
            </w14:solidFill>
          </w14:textFill>
        </w:rPr>
        <w:t>综上所述，</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项目选址符合《黑龙江省农垦红兴隆管理局城市总体规划（2014-2030年）》中心城区用地规划、供热工程规划，并且符合红兴隆管理局土地利用总体规划，因此，</w:t>
      </w:r>
      <w:r>
        <w:rPr>
          <w:rFonts w:ascii="Times New Roman" w:hAnsi="Times New Roman" w:cs="Times New Roman" w:eastAsiaTheme="minorEastAsia"/>
          <w:color w:val="000000" w:themeColor="text1"/>
          <w:sz w:val="24"/>
          <w:szCs w:val="24"/>
          <w:lang w:val="en-US"/>
          <w14:textFill>
            <w14:solidFill>
              <w14:schemeClr w14:val="tx1"/>
            </w14:solidFill>
          </w14:textFill>
        </w:rPr>
        <w:t>本项目拟选厂址从环境影响方面可接受。</w:t>
      </w:r>
    </w:p>
    <w:p>
      <w:pPr>
        <w:pStyle w:val="91"/>
        <w:ind w:firstLine="355"/>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70528" behindDoc="0" locked="0" layoutInCell="1" allowOverlap="1">
            <wp:simplePos x="0" y="0"/>
            <wp:positionH relativeFrom="column">
              <wp:posOffset>779780</wp:posOffset>
            </wp:positionH>
            <wp:positionV relativeFrom="paragraph">
              <wp:posOffset>-400050</wp:posOffset>
            </wp:positionV>
            <wp:extent cx="7025005" cy="5172075"/>
            <wp:effectExtent l="0" t="0" r="5080" b="0"/>
            <wp:wrapNone/>
            <wp:docPr id="14" name="图片 14" descr="C:\Users\ADMINI~1\AppData\Local\Temp\Rar$DIa10736.1865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1\AppData\Local\Temp\Rar$DIa10736.18652\1 (2).jpg"/>
                    <pic:cNvPicPr>
                      <a:picLocks noChangeAspect="1" noChangeArrowheads="1"/>
                    </pic:cNvPicPr>
                  </pic:nvPicPr>
                  <pic:blipFill>
                    <a:blip r:embed="rId20" cstate="print">
                      <a:extLst>
                        <a:ext uri="{28A0092B-C50C-407E-A947-70E740481C1C}">
                          <a14:useLocalDpi xmlns:a14="http://schemas.microsoft.com/office/drawing/2010/main" val="0"/>
                        </a:ext>
                      </a:extLst>
                    </a:blip>
                    <a:srcRect l="8051" t="4627" r="2768" b="2466"/>
                    <a:stretch>
                      <a:fillRect/>
                    </a:stretch>
                  </pic:blipFill>
                  <pic:spPr>
                    <a:xfrm>
                      <a:off x="0" y="0"/>
                      <a:ext cx="7030360" cy="5176090"/>
                    </a:xfrm>
                    <a:prstGeom prst="rect">
                      <a:avLst/>
                    </a:prstGeom>
                    <a:noFill/>
                    <a:ln>
                      <a:noFill/>
                    </a:ln>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r>
        <w:rPr>
          <w:rFonts w:hint="eastAsia"/>
          <w:color w:val="000000" w:themeColor="text1"/>
          <w:lang w:val="en-US" w:bidi="ar-SA"/>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1514475</wp:posOffset>
                </wp:positionH>
                <wp:positionV relativeFrom="paragraph">
                  <wp:posOffset>39370</wp:posOffset>
                </wp:positionV>
                <wp:extent cx="1000125" cy="447675"/>
                <wp:effectExtent l="0" t="857250" r="733425" b="28575"/>
                <wp:wrapNone/>
                <wp:docPr id="25" name="矩形标注 25"/>
                <wp:cNvGraphicFramePr/>
                <a:graphic xmlns:a="http://schemas.openxmlformats.org/drawingml/2006/main">
                  <a:graphicData uri="http://schemas.microsoft.com/office/word/2010/wordprocessingShape">
                    <wps:wsp>
                      <wps:cNvSpPr/>
                      <wps:spPr>
                        <a:xfrm>
                          <a:off x="0" y="0"/>
                          <a:ext cx="1000125" cy="447675"/>
                        </a:xfrm>
                        <a:prstGeom prst="wedgeRectCallout">
                          <a:avLst>
                            <a:gd name="adj1" fmla="val 115357"/>
                            <a:gd name="adj2" fmla="val -228989"/>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pPr>
                              <w:ind w:firstLine="177"/>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19.25pt;margin-top:3.1pt;height:35.25pt;width:78.75pt;z-index:251671552;v-text-anchor:middle;mso-width-relative:page;mso-height-relative:page;" fillcolor="#FFFFFF [3212]" filled="t" stroked="t" coordsize="21600,21600" o:gfxdata="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UpW299oAAAAIAQAA&#10;DwAAAAAAAAABACAAAAAiAAAAZHJzL2Rvd25yZXYueG1sUEsBAhQAFAAAAAgAh07iQDixCHHCAgAA&#10;iAUAAA4AAAAAAAAAAQAgAAAAKQEAAGRycy9lMm9Eb2MueG1sUEsFBgAAAAAGAAYAWQEAAF0GAAAA&#10;AA==&#10;" adj="35717,-38662">
                <v:fill on="t" focussize="0,0"/>
                <v:stroke weight="1pt" color="#41719C [3204]" miterlimit="8" joinstyle="miter"/>
                <v:imagedata o:title=""/>
                <o:lock v:ext="edit" aspectratio="f"/>
                <v:textbox>
                  <w:txbxContent>
                    <w:p>
                      <w:pPr>
                        <w:ind w:firstLine="177"/>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本项目位置</w:t>
                      </w:r>
                    </w:p>
                  </w:txbxContent>
                </v:textbox>
              </v:shape>
            </w:pict>
          </mc:Fallback>
        </mc:AlternateContent>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1-3-</w:t>
      </w:r>
      <w:r>
        <w:rPr>
          <w:rFonts w:hint="eastAsia" w:ascii="Times New Roman" w:hAnsiTheme="minorEastAsia" w:eastAsiaTheme="minorEastAsia"/>
          <w:b/>
          <w:bCs/>
          <w:color w:val="000000" w:themeColor="text1"/>
          <w:szCs w:val="24"/>
          <w14:textFill>
            <w14:solidFill>
              <w14:schemeClr w14:val="tx1"/>
            </w14:solidFill>
          </w14:textFill>
        </w:rPr>
        <w:t>2</w:t>
      </w:r>
      <w:r>
        <w:rPr>
          <w:rFonts w:ascii="Times New Roman" w:hAnsiTheme="minorEastAsia" w:eastAsiaTheme="minorEastAsia"/>
          <w:b/>
          <w:bCs/>
          <w:color w:val="000000" w:themeColor="text1"/>
          <w:szCs w:val="24"/>
          <w14:textFill>
            <w14:solidFill>
              <w14:schemeClr w14:val="tx1"/>
            </w14:solidFill>
          </w14:textFill>
        </w:rPr>
        <w:t xml:space="preserve">  本</w:t>
      </w:r>
      <w:r>
        <w:rPr>
          <w:rFonts w:hint="eastAsia" w:ascii="Times New Roman" w:hAnsiTheme="minorEastAsia" w:eastAsiaTheme="minorEastAsia"/>
          <w:b/>
          <w:bCs/>
          <w:color w:val="000000" w:themeColor="text1"/>
          <w:szCs w:val="24"/>
          <w14:textFill>
            <w14:solidFill>
              <w14:schemeClr w14:val="tx1"/>
            </w14:solidFill>
          </w14:textFill>
        </w:rPr>
        <w:t>项目</w:t>
      </w:r>
      <w:r>
        <w:rPr>
          <w:rFonts w:ascii="Times New Roman" w:hAnsiTheme="minorEastAsia" w:eastAsiaTheme="minorEastAsia"/>
          <w:b/>
          <w:bCs/>
          <w:color w:val="000000" w:themeColor="text1"/>
          <w:szCs w:val="24"/>
          <w14:textFill>
            <w14:solidFill>
              <w14:schemeClr w14:val="tx1"/>
            </w14:solidFill>
          </w14:textFill>
        </w:rPr>
        <w:t>与</w:t>
      </w:r>
      <w:r>
        <w:rPr>
          <w:rFonts w:hint="eastAsia" w:ascii="Times New Roman" w:hAnsiTheme="minorEastAsia" w:eastAsiaTheme="minorEastAsia"/>
          <w:b/>
          <w:bCs/>
          <w:color w:val="000000" w:themeColor="text1"/>
          <w:szCs w:val="24"/>
          <w14:textFill>
            <w14:solidFill>
              <w14:schemeClr w14:val="tx1"/>
            </w14:solidFill>
          </w14:textFill>
        </w:rPr>
        <w:t>红兴隆管理局城市总体规划用地规划图中的位置</w:t>
      </w:r>
    </w:p>
    <w:p>
      <w:pPr>
        <w:pStyle w:val="91"/>
        <w:ind w:firstLine="355"/>
        <w:rPr>
          <w:rFonts w:cs="Times New Roman" w:hAnsiTheme="minorEastAsia"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72576" behindDoc="0" locked="0" layoutInCell="1" allowOverlap="1">
            <wp:simplePos x="0" y="0"/>
            <wp:positionH relativeFrom="column">
              <wp:posOffset>628650</wp:posOffset>
            </wp:positionH>
            <wp:positionV relativeFrom="paragraph">
              <wp:posOffset>-381000</wp:posOffset>
            </wp:positionV>
            <wp:extent cx="7315200" cy="5186045"/>
            <wp:effectExtent l="0" t="0" r="0"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7315200" cy="5185834"/>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r>
        <w:rPr>
          <w:rFonts w:hint="eastAsia"/>
          <w:color w:val="000000" w:themeColor="text1"/>
          <w:lang w:val="en-US" w:bidi="ar-SA"/>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1752600</wp:posOffset>
                </wp:positionH>
                <wp:positionV relativeFrom="paragraph">
                  <wp:posOffset>83820</wp:posOffset>
                </wp:positionV>
                <wp:extent cx="1000125" cy="447675"/>
                <wp:effectExtent l="0" t="857250" r="733425" b="28575"/>
                <wp:wrapNone/>
                <wp:docPr id="28" name="矩形标注 28"/>
                <wp:cNvGraphicFramePr/>
                <a:graphic xmlns:a="http://schemas.openxmlformats.org/drawingml/2006/main">
                  <a:graphicData uri="http://schemas.microsoft.com/office/word/2010/wordprocessingShape">
                    <wps:wsp>
                      <wps:cNvSpPr/>
                      <wps:spPr>
                        <a:xfrm>
                          <a:off x="0" y="0"/>
                          <a:ext cx="1000125" cy="447675"/>
                        </a:xfrm>
                        <a:prstGeom prst="wedgeRectCallout">
                          <a:avLst>
                            <a:gd name="adj1" fmla="val 115357"/>
                            <a:gd name="adj2" fmla="val -228989"/>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38pt;margin-top:6.6pt;height:35.25pt;width:78.75pt;z-index:251675648;v-text-anchor:middle;mso-width-relative:page;mso-height-relative:page;" fillcolor="#FFFFFF [3212]" filled="t" stroked="t" coordsize="21600,21600" o:gfxdata="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nSuD2wAAAAkB&#10;AAAPAAAAAAAAAAEAIAAAACIAAABkcnMvZG93bnJldi54bWxQSwECFAAUAAAACACHTuJABiv9P8MC&#10;AACIBQAADgAAAAAAAAABACAAAAAqAQAAZHJzL2Uyb0RvYy54bWxQSwUGAAAAAAYABgBZAQAAXwYA&#10;AAAA&#10;" adj="35717,-38662">
                <v:fill on="t" focussize="0,0"/>
                <v:stroke weight="1pt" color="#41719C [3204]" miterlimit="8" joinstyle="miter"/>
                <v:imagedata o:title=""/>
                <o:lock v:ext="edit" aspectratio="f"/>
                <v:textbox>
                  <w:txbxContent>
                    <w:p>
                      <w:pPr>
                        <w:spacing w:line="240" w:lineRule="auto"/>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本项目位置</w:t>
                      </w:r>
                    </w:p>
                  </w:txbxContent>
                </v:textbox>
              </v:shape>
            </w:pict>
          </mc:Fallback>
        </mc:AlternateContent>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1-3-</w:t>
      </w:r>
      <w:r>
        <w:rPr>
          <w:rFonts w:hint="eastAsia" w:ascii="Times New Roman" w:hAnsiTheme="minorEastAsia" w:eastAsiaTheme="minorEastAsia"/>
          <w:b/>
          <w:bCs/>
          <w:color w:val="000000" w:themeColor="text1"/>
          <w:szCs w:val="24"/>
          <w14:textFill>
            <w14:solidFill>
              <w14:schemeClr w14:val="tx1"/>
            </w14:solidFill>
          </w14:textFill>
        </w:rPr>
        <w:t>3</w:t>
      </w:r>
      <w:r>
        <w:rPr>
          <w:rFonts w:ascii="Times New Roman" w:hAnsiTheme="minorEastAsia" w:eastAsiaTheme="minorEastAsia"/>
          <w:b/>
          <w:bCs/>
          <w:color w:val="000000" w:themeColor="text1"/>
          <w:szCs w:val="24"/>
          <w14:textFill>
            <w14:solidFill>
              <w14:schemeClr w14:val="tx1"/>
            </w14:solidFill>
          </w14:textFill>
        </w:rPr>
        <w:t xml:space="preserve">  本</w:t>
      </w:r>
      <w:r>
        <w:rPr>
          <w:rFonts w:hint="eastAsia" w:ascii="Times New Roman" w:hAnsiTheme="minorEastAsia" w:eastAsiaTheme="minorEastAsia"/>
          <w:b/>
          <w:bCs/>
          <w:color w:val="000000" w:themeColor="text1"/>
          <w:szCs w:val="24"/>
          <w14:textFill>
            <w14:solidFill>
              <w14:schemeClr w14:val="tx1"/>
            </w14:solidFill>
          </w14:textFill>
        </w:rPr>
        <w:t>项目</w:t>
      </w:r>
      <w:r>
        <w:rPr>
          <w:rFonts w:ascii="Times New Roman" w:hAnsiTheme="minorEastAsia" w:eastAsiaTheme="minorEastAsia"/>
          <w:b/>
          <w:bCs/>
          <w:color w:val="000000" w:themeColor="text1"/>
          <w:szCs w:val="24"/>
          <w14:textFill>
            <w14:solidFill>
              <w14:schemeClr w14:val="tx1"/>
            </w14:solidFill>
          </w14:textFill>
        </w:rPr>
        <w:t>与</w:t>
      </w:r>
      <w:r>
        <w:rPr>
          <w:rFonts w:hint="eastAsia" w:ascii="Times New Roman" w:hAnsiTheme="minorEastAsia" w:eastAsiaTheme="minorEastAsia"/>
          <w:b/>
          <w:bCs/>
          <w:color w:val="000000" w:themeColor="text1"/>
          <w:szCs w:val="24"/>
          <w14:textFill>
            <w14:solidFill>
              <w14:schemeClr w14:val="tx1"/>
            </w14:solidFill>
          </w14:textFill>
        </w:rPr>
        <w:t>红兴隆管理局城市总体规划供热工程规划中的位置</w:t>
      </w:r>
    </w:p>
    <w:p>
      <w:pPr>
        <w:pStyle w:val="91"/>
        <w:ind w:firstLine="355"/>
        <w:rPr>
          <w:rFonts w:cs="Times New Roman" w:hAnsiTheme="minorEastAsia"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76672" behindDoc="0" locked="0" layoutInCell="1" allowOverlap="1">
            <wp:simplePos x="0" y="0"/>
            <wp:positionH relativeFrom="column">
              <wp:posOffset>1913890</wp:posOffset>
            </wp:positionH>
            <wp:positionV relativeFrom="paragraph">
              <wp:posOffset>-371475</wp:posOffset>
            </wp:positionV>
            <wp:extent cx="4556760" cy="5152390"/>
            <wp:effectExtent l="0" t="0" r="0" b="0"/>
            <wp:wrapNone/>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558245" cy="5154403"/>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r>
        <w:rPr>
          <w:rFonts w:hint="eastAsia"/>
          <w:color w:val="000000" w:themeColor="text1"/>
          <w:lang w:val="en-US" w:bidi="ar-SA"/>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2361565</wp:posOffset>
                </wp:positionH>
                <wp:positionV relativeFrom="paragraph">
                  <wp:posOffset>121920</wp:posOffset>
                </wp:positionV>
                <wp:extent cx="1000125" cy="447675"/>
                <wp:effectExtent l="0" t="857250" r="733425" b="28575"/>
                <wp:wrapNone/>
                <wp:docPr id="1771150114" name="矩形标注 28"/>
                <wp:cNvGraphicFramePr/>
                <a:graphic xmlns:a="http://schemas.openxmlformats.org/drawingml/2006/main">
                  <a:graphicData uri="http://schemas.microsoft.com/office/word/2010/wordprocessingShape">
                    <wps:wsp>
                      <wps:cNvSpPr/>
                      <wps:spPr>
                        <a:xfrm>
                          <a:off x="0" y="0"/>
                          <a:ext cx="1000125" cy="447675"/>
                        </a:xfrm>
                        <a:prstGeom prst="wedgeRectCallout">
                          <a:avLst>
                            <a:gd name="adj1" fmla="val 115357"/>
                            <a:gd name="adj2" fmla="val -228989"/>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pPr>
                              <w:spacing w:line="240" w:lineRule="auto"/>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矩形标注 28" o:spid="_x0000_s1026" o:spt="61" type="#_x0000_t61" style="position:absolute;left:0pt;margin-left:185.95pt;margin-top:9.6pt;height:35.25pt;width:78.75pt;z-index:251704320;v-text-anchor:middle;mso-width-relative:page;mso-height-relative:page;" fillcolor="#FFFFFF [3212]" filled="t" stroked="t" coordsize="21600,21600" o:gfxdata="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DqhH&#10;+NsAAAAJAQAADwAAAAAAAAABACAAAAAiAAAAZHJzL2Rvd25yZXYueG1sUEsBAhQAFAAAAAgAh07i&#10;QDxSxjHKAgAAkAUAAA4AAAAAAAAAAQAgAAAAKgEAAGRycy9lMm9Eb2MueG1sUEsFBgAAAAAGAAYA&#10;WQEAAGYGAAAAAA==&#10;" adj="35717,-38662">
                <v:fill on="t" focussize="0,0"/>
                <v:stroke weight="1pt" color="#41719C [3204]" miterlimit="8" joinstyle="miter"/>
                <v:imagedata o:title=""/>
                <o:lock v:ext="edit" aspectratio="f"/>
                <v:textbox>
                  <w:txbxContent>
                    <w:p>
                      <w:pPr>
                        <w:spacing w:line="240" w:lineRule="auto"/>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本项目位置</w:t>
                      </w:r>
                    </w:p>
                  </w:txbxContent>
                </v:textbox>
              </v:shape>
            </w:pict>
          </mc:Fallback>
        </mc:AlternateContent>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1-3-</w:t>
      </w:r>
      <w:r>
        <w:rPr>
          <w:rFonts w:hint="eastAsia" w:ascii="Times New Roman" w:hAnsiTheme="minorEastAsia" w:eastAsiaTheme="minorEastAsia"/>
          <w:b/>
          <w:bCs/>
          <w:color w:val="000000" w:themeColor="text1"/>
          <w:szCs w:val="24"/>
          <w14:textFill>
            <w14:solidFill>
              <w14:schemeClr w14:val="tx1"/>
            </w14:solidFill>
          </w14:textFill>
        </w:rPr>
        <w:t>4</w:t>
      </w:r>
      <w:r>
        <w:rPr>
          <w:rFonts w:ascii="Times New Roman" w:hAnsiTheme="minorEastAsia" w:eastAsiaTheme="minorEastAsia"/>
          <w:b/>
          <w:bCs/>
          <w:color w:val="000000" w:themeColor="text1"/>
          <w:szCs w:val="24"/>
          <w14:textFill>
            <w14:solidFill>
              <w14:schemeClr w14:val="tx1"/>
            </w14:solidFill>
          </w14:textFill>
        </w:rPr>
        <w:t xml:space="preserve">  本</w:t>
      </w:r>
      <w:r>
        <w:rPr>
          <w:rFonts w:hint="eastAsia" w:ascii="Times New Roman" w:hAnsiTheme="minorEastAsia" w:eastAsiaTheme="minorEastAsia"/>
          <w:b/>
          <w:bCs/>
          <w:color w:val="000000" w:themeColor="text1"/>
          <w:szCs w:val="24"/>
          <w14:textFill>
            <w14:solidFill>
              <w14:schemeClr w14:val="tx1"/>
            </w14:solidFill>
          </w14:textFill>
        </w:rPr>
        <w:t>项目</w:t>
      </w:r>
      <w:r>
        <w:rPr>
          <w:rFonts w:ascii="Times New Roman" w:hAnsiTheme="minorEastAsia" w:eastAsiaTheme="minorEastAsia"/>
          <w:b/>
          <w:bCs/>
          <w:color w:val="000000" w:themeColor="text1"/>
          <w:szCs w:val="24"/>
          <w14:textFill>
            <w14:solidFill>
              <w14:schemeClr w14:val="tx1"/>
            </w14:solidFill>
          </w14:textFill>
        </w:rPr>
        <w:t>与</w:t>
      </w:r>
      <w:r>
        <w:rPr>
          <w:rFonts w:hint="eastAsia" w:ascii="Times New Roman" w:hAnsiTheme="minorEastAsia" w:eastAsiaTheme="minorEastAsia"/>
          <w:b/>
          <w:bCs/>
          <w:color w:val="000000" w:themeColor="text1"/>
          <w:szCs w:val="24"/>
          <w14:textFill>
            <w14:solidFill>
              <w14:schemeClr w14:val="tx1"/>
            </w14:solidFill>
          </w14:textFill>
        </w:rPr>
        <w:t>红兴隆管理局土地利用总体规划图中的位置</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0" w:num="1"/>
          <w:docGrid w:type="linesAndChars" w:linePitch="326" w:charSpace="-551"/>
        </w:sectPr>
      </w:pP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1.3.4“三线一单”符合性分析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根据《黑龙江省人民政府关于实施“三线一单”生态环境分区管控的意见》（黑政发〔2020〕14号）、《双鸭山市人民政府关于实施“三线一单”生态环境分区管控的意见》（双政规〔2021〕2号）</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兴隆热力生态环境分区管控分析报告</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，本项目与“三线一单”符合性如下</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“一图”</w:t>
      </w:r>
    </w:p>
    <w:p>
      <w:pPr>
        <w:pStyle w:val="26"/>
        <w:spacing w:line="500" w:lineRule="exact"/>
        <w:ind w:firstLine="35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751424" behindDoc="0" locked="0" layoutInCell="1" allowOverlap="1">
            <wp:simplePos x="0" y="0"/>
            <wp:positionH relativeFrom="column">
              <wp:posOffset>34925</wp:posOffset>
            </wp:positionH>
            <wp:positionV relativeFrom="paragraph">
              <wp:posOffset>20955</wp:posOffset>
            </wp:positionV>
            <wp:extent cx="5269865" cy="2809875"/>
            <wp:effectExtent l="0" t="0" r="6985" b="9525"/>
            <wp:wrapNone/>
            <wp:docPr id="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pic:cNvPicPr>
                      <a:picLocks noChangeAspect="1"/>
                    </pic:cNvPicPr>
                  </pic:nvPicPr>
                  <pic:blipFill>
                    <a:blip r:embed="rId23"/>
                    <a:stretch>
                      <a:fillRect/>
                    </a:stretch>
                  </pic:blipFill>
                  <pic:spPr>
                    <a:xfrm>
                      <a:off x="0" y="0"/>
                      <a:ext cx="5269865" cy="2809875"/>
                    </a:xfrm>
                    <a:prstGeom prst="rect">
                      <a:avLst/>
                    </a:prstGeom>
                    <a:noFill/>
                    <a:ln>
                      <a:noFill/>
                    </a:ln>
                  </pic:spPr>
                </pic:pic>
              </a:graphicData>
            </a:graphic>
          </wp:anchor>
        </w:drawing>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89"/>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90"/>
        <w:rPr>
          <w:rFonts w:ascii="Times New Roman" w:hAnsi="Times New Roman" w:cs="Times New Roman" w:eastAsiaTheme="minorEastAsia"/>
          <w:color w:val="000000" w:themeColor="text1"/>
          <w:sz w:val="24"/>
          <w:szCs w:val="24"/>
          <w:lang w:val="en-US"/>
          <w14:textFill>
            <w14:solidFill>
              <w14:schemeClr w14:val="tx1"/>
            </w14:solidFill>
          </w14:textFill>
        </w:rPr>
      </w:pPr>
    </w:p>
    <w:p>
      <w:pPr>
        <w:rPr>
          <w:rFonts w:ascii="Times New Roman" w:hAnsi="Times New Roman" w:cs="Times New Roman" w:eastAsiaTheme="minorEastAsia"/>
          <w:color w:val="000000" w:themeColor="text1"/>
          <w:sz w:val="24"/>
          <w:szCs w:val="24"/>
          <w:lang w:val="en-US"/>
          <w14:textFill>
            <w14:solidFill>
              <w14:schemeClr w14:val="tx1"/>
            </w14:solidFill>
          </w14:textFill>
        </w:rPr>
      </w:pPr>
    </w:p>
    <w:p>
      <w:pPr>
        <w:rPr>
          <w:rFonts w:ascii="Times New Roman" w:hAnsi="Times New Roman" w:cs="Times New Roman" w:eastAsiaTheme="minorEastAsia"/>
          <w:color w:val="000000" w:themeColor="text1"/>
          <w:sz w:val="24"/>
          <w:szCs w:val="24"/>
          <w:lang w:val="en-US"/>
          <w14:textFill>
            <w14:solidFill>
              <w14:schemeClr w14:val="tx1"/>
            </w14:solidFill>
          </w14:textFill>
        </w:rPr>
      </w:pPr>
    </w:p>
    <w:p>
      <w:pPr>
        <w:rPr>
          <w:rFonts w:ascii="Times New Roman" w:hAnsi="Times New Roman" w:cs="Times New Roman" w:eastAsiaTheme="minorEastAsia"/>
          <w:color w:val="000000" w:themeColor="text1"/>
          <w:sz w:val="24"/>
          <w:szCs w:val="24"/>
          <w:lang w:val="en-US"/>
          <w14:textFill>
            <w14:solidFill>
              <w14:schemeClr w14:val="tx1"/>
            </w14:solidFill>
          </w14:textFill>
        </w:rPr>
      </w:pPr>
    </w:p>
    <w:p>
      <w:pPr>
        <w:rPr>
          <w:rFonts w:ascii="Times New Roman" w:hAnsi="Times New Roman" w:cs="Times New Roman" w:eastAsiaTheme="minorEastAsia"/>
          <w:color w:val="000000" w:themeColor="text1"/>
          <w:sz w:val="24"/>
          <w:szCs w:val="24"/>
          <w:lang w:val="en-US"/>
          <w14:textFill>
            <w14:solidFill>
              <w14:schemeClr w14:val="tx1"/>
            </w14:solidFill>
          </w14:textFill>
        </w:rPr>
      </w:pPr>
    </w:p>
    <w:p>
      <w:pPr>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图1-</w:t>
      </w:r>
      <w:r>
        <w:rPr>
          <w:rFonts w:hint="eastAsia" w:ascii="Times New Roman" w:hAnsiTheme="minorEastAsia" w:eastAsiaTheme="minorEastAsia"/>
          <w:b/>
          <w:bCs/>
          <w:color w:val="000000" w:themeColor="text1"/>
          <w:szCs w:val="24"/>
          <w14:textFill>
            <w14:solidFill>
              <w14:schemeClr w14:val="tx1"/>
            </w14:solidFill>
          </w14:textFill>
        </w:rPr>
        <w:t>3</w:t>
      </w:r>
      <w:r>
        <w:rPr>
          <w:rFonts w:ascii="Times New Roman" w:hAnsiTheme="minorEastAsia" w:eastAsiaTheme="minorEastAsia"/>
          <w:b/>
          <w:bCs/>
          <w:color w:val="000000" w:themeColor="text1"/>
          <w:szCs w:val="24"/>
          <w14:textFill>
            <w14:solidFill>
              <w14:schemeClr w14:val="tx1"/>
            </w14:solidFill>
          </w14:textFill>
        </w:rPr>
        <w:t>-</w:t>
      </w:r>
      <w:r>
        <w:rPr>
          <w:rFonts w:hint="eastAsia" w:ascii="Times New Roman" w:hAnsiTheme="minorEastAsia" w:eastAsiaTheme="minorEastAsia"/>
          <w:b/>
          <w:bCs/>
          <w:color w:val="000000" w:themeColor="text1"/>
          <w:szCs w:val="24"/>
          <w14:textFill>
            <w14:solidFill>
              <w14:schemeClr w14:val="tx1"/>
            </w14:solidFill>
          </w14:textFill>
        </w:rPr>
        <w:t>5</w:t>
      </w:r>
      <w:r>
        <w:rPr>
          <w:rFonts w:ascii="Times New Roman" w:hAnsiTheme="minorEastAsia" w:eastAsiaTheme="minorEastAsia"/>
          <w:b/>
          <w:bCs/>
          <w:color w:val="000000" w:themeColor="text1"/>
          <w:szCs w:val="24"/>
          <w14:textFill>
            <w14:solidFill>
              <w14:schemeClr w14:val="tx1"/>
            </w14:solidFill>
          </w14:textFill>
        </w:rPr>
        <w:t xml:space="preserve"> </w:t>
      </w:r>
      <w:r>
        <w:rPr>
          <w:rFonts w:hint="eastAsia" w:ascii="Times New Roman" w:hAnsiTheme="minorEastAsia" w:eastAsiaTheme="minorEastAsia"/>
          <w:b/>
          <w:bCs/>
          <w:color w:val="000000" w:themeColor="text1"/>
          <w:szCs w:val="24"/>
          <w14:textFill>
            <w14:solidFill>
              <w14:schemeClr w14:val="tx1"/>
            </w14:solidFill>
          </w14:textFill>
        </w:rPr>
        <w:t>本项目</w:t>
      </w:r>
      <w:r>
        <w:rPr>
          <w:rFonts w:hint="eastAsia" w:ascii="Times New Roman" w:hAnsiTheme="minorEastAsia" w:eastAsiaTheme="minorEastAsia"/>
          <w:b/>
          <w:bCs/>
          <w:color w:val="000000" w:themeColor="text1"/>
          <w:szCs w:val="24"/>
          <w:lang w:val="en-US" w:eastAsia="zh-CN"/>
          <w14:textFill>
            <w14:solidFill>
              <w14:schemeClr w14:val="tx1"/>
            </w14:solidFill>
          </w14:textFill>
        </w:rPr>
        <w:t>与环境管控单元叠加</w:t>
      </w:r>
      <w:r>
        <w:rPr>
          <w:rFonts w:ascii="Times New Roman" w:hAnsiTheme="minorEastAsia" w:eastAsiaTheme="minorEastAsia"/>
          <w:b/>
          <w:bCs/>
          <w:color w:val="000000" w:themeColor="text1"/>
          <w:szCs w:val="24"/>
          <w14:textFill>
            <w14:solidFill>
              <w14:schemeClr w14:val="tx1"/>
            </w14:solidFill>
          </w14:textFill>
        </w:rPr>
        <w:t>图</w:t>
      </w:r>
    </w:p>
    <w:p>
      <w:pPr>
        <w:keepNext w:val="0"/>
        <w:keepLines w:val="0"/>
        <w:widowControl/>
        <w:suppressLineNumbers w:val="0"/>
        <w:jc w:val="left"/>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兴隆热力项目位置涉及双鸭山市友谊县；项目占地总面积</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0.07</w:t>
      </w:r>
      <w:r>
        <w:rPr>
          <w:rFonts w:hint="eastAsia" w:ascii="宋体" w:hAnsi="宋体" w:eastAsia="宋体" w:cs="宋体"/>
          <w:color w:val="000000" w:themeColor="text1"/>
          <w:kern w:val="0"/>
          <w:sz w:val="24"/>
          <w:szCs w:val="24"/>
          <w:lang w:val="en-US" w:eastAsia="zh-CN" w:bidi="ar"/>
          <w14:textFill>
            <w14:solidFill>
              <w14:schemeClr w14:val="tx1"/>
            </w14:solidFill>
          </w14:textFill>
        </w:rPr>
        <w:t>平方公里。</w:t>
      </w:r>
    </w:p>
    <w:p>
      <w:pPr>
        <w:keepNext w:val="0"/>
        <w:keepLines w:val="0"/>
        <w:widowControl/>
        <w:suppressLineNumbers w:val="0"/>
        <w:jc w:val="left"/>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与生态保护红线交集面积为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平方公里，占项目占地面积的</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pPr>
        <w:keepNext w:val="0"/>
        <w:keepLines w:val="0"/>
        <w:widowControl/>
        <w:suppressLineNumbers w:val="0"/>
        <w:jc w:val="left"/>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与自然保护地整合优化方案数据交集面积为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平方公里，占项目占地面积的</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。保护地涉及等类型。与自然保护地（现状管理数据）交集面积为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 xml:space="preserve">0.00 </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平方公里，占项目占地面积的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。保护地涉及等类型。</w:t>
      </w:r>
    </w:p>
    <w:p>
      <w:pPr>
        <w:keepNext w:val="0"/>
        <w:keepLines w:val="0"/>
        <w:widowControl/>
        <w:suppressLineNumbers w:val="0"/>
        <w:jc w:val="left"/>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与饮用水水源保护区交集面积为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平方公里，占项目占地面积的</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。与国家级水产种质资源保护区交集面积为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平方公里，占项目占地面积的</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pPr>
        <w:keepNext w:val="0"/>
        <w:keepLines w:val="0"/>
        <w:widowControl/>
        <w:suppressLineNumbers w:val="0"/>
        <w:jc w:val="left"/>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与环境管控单元优先保护单元交集面积为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平方公里，占项目占地面积的</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；与重点管控单元交集面积为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0.06</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平方公里，占项目占地面积的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89.67%</w:t>
      </w:r>
      <w:r>
        <w:rPr>
          <w:rFonts w:hint="eastAsia" w:ascii="宋体" w:hAnsi="宋体" w:eastAsia="宋体" w:cs="宋体"/>
          <w:color w:val="000000" w:themeColor="text1"/>
          <w:kern w:val="0"/>
          <w:sz w:val="24"/>
          <w:szCs w:val="24"/>
          <w:lang w:val="en-US" w:eastAsia="zh-CN" w:bidi="ar"/>
          <w14:textFill>
            <w14:solidFill>
              <w14:schemeClr w14:val="tx1"/>
            </w14:solidFill>
          </w14:textFill>
        </w:rPr>
        <w:t>；一般管控单元交集面积为小于</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0.01</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平方公里，占项目占地面积的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10.33%</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pPr>
        <w:keepNext w:val="0"/>
        <w:keepLines w:val="0"/>
        <w:widowControl/>
        <w:suppressLineNumbers w:val="0"/>
        <w:jc w:val="left"/>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与地下水环境优先保护区交集面积为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平方公里，占项目占地面积的</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；与地下水环境重点管控区交集面积为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平方公里，占项目占地面积的</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，与地下水环境一般管控区交集面积为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0.07</w:t>
      </w:r>
      <w:r>
        <w:rPr>
          <w:rFonts w:hint="eastAsia" w:ascii="宋体" w:hAnsi="宋体" w:eastAsia="宋体" w:cs="宋体"/>
          <w:color w:val="000000" w:themeColor="text1"/>
          <w:kern w:val="0"/>
          <w:sz w:val="24"/>
          <w:szCs w:val="24"/>
          <w:lang w:val="en-US" w:eastAsia="zh-CN" w:bidi="ar"/>
          <w14:textFill>
            <w14:solidFill>
              <w14:schemeClr w14:val="tx1"/>
            </w14:solidFill>
          </w14:textFill>
        </w:rPr>
        <w:t>平方公里，占项目占地面积的</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100.00%</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 </w:t>
      </w:r>
    </w:p>
    <w:p>
      <w:pPr>
        <w:pStyle w:val="26"/>
        <w:spacing w:line="500" w:lineRule="exact"/>
        <w:ind w:firstLine="476" w:firstLineChars="200"/>
        <w:jc w:val="both"/>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“一表”</w:t>
      </w:r>
    </w:p>
    <w:p>
      <w:pPr>
        <w:pStyle w:val="96"/>
        <w:autoSpaceDE w:val="0"/>
        <w:autoSpaceDN w:val="0"/>
        <w:snapToGrid w:val="0"/>
        <w:spacing w:line="240" w:lineRule="auto"/>
        <w:jc w:val="center"/>
        <w:textAlignment w:val="bottom"/>
        <w:rPr>
          <w:rFonts w:hint="eastAsia" w:ascii="Times New Roman" w:cs="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lang w:val="en-US" w:eastAsia="zh-CN"/>
          <w14:textFill>
            <w14:solidFill>
              <w14:schemeClr w14:val="tx1"/>
            </w14:solidFill>
          </w14:textFill>
        </w:rPr>
        <w:t>表</w:t>
      </w:r>
      <w:r>
        <w:rPr>
          <w:rFonts w:ascii="Times New Roman" w:hAnsiTheme="minorEastAsia" w:eastAsiaTheme="minorEastAsia"/>
          <w:b/>
          <w:bCs/>
          <w:color w:val="000000" w:themeColor="text1"/>
          <w:szCs w:val="24"/>
          <w14:textFill>
            <w14:solidFill>
              <w14:schemeClr w14:val="tx1"/>
            </w14:solidFill>
          </w14:textFill>
        </w:rPr>
        <w:t>1-</w:t>
      </w:r>
      <w:r>
        <w:rPr>
          <w:rFonts w:hint="eastAsia" w:ascii="Times New Roman" w:hAnsiTheme="minorEastAsia" w:eastAsiaTheme="minorEastAsia"/>
          <w:b/>
          <w:bCs/>
          <w:color w:val="000000" w:themeColor="text1"/>
          <w:szCs w:val="24"/>
          <w14:textFill>
            <w14:solidFill>
              <w14:schemeClr w14:val="tx1"/>
            </w14:solidFill>
          </w14:textFill>
        </w:rPr>
        <w:t>3</w:t>
      </w:r>
      <w:r>
        <w:rPr>
          <w:rFonts w:ascii="Times New Roman" w:hAnsiTheme="minorEastAsia" w:eastAsiaTheme="minorEastAsia"/>
          <w:b/>
          <w:bCs/>
          <w:color w:val="000000" w:themeColor="text1"/>
          <w:szCs w:val="24"/>
          <w14:textFill>
            <w14:solidFill>
              <w14:schemeClr w14:val="tx1"/>
            </w14:solidFill>
          </w14:textFill>
        </w:rPr>
        <w:t>-</w:t>
      </w:r>
      <w:r>
        <w:rPr>
          <w:rFonts w:hint="eastAsia" w:ascii="Times New Roman" w:hAnsiTheme="minorEastAsia" w:eastAsiaTheme="minorEastAsia"/>
          <w:b/>
          <w:bCs/>
          <w:color w:val="000000" w:themeColor="text1"/>
          <w:szCs w:val="24"/>
          <w:lang w:val="en-US" w:eastAsia="zh-CN"/>
          <w14:textFill>
            <w14:solidFill>
              <w14:schemeClr w14:val="tx1"/>
            </w14:solidFill>
          </w14:textFill>
        </w:rPr>
        <w:t>2</w:t>
      </w:r>
      <w:r>
        <w:rPr>
          <w:rFonts w:ascii="Times New Roman" w:hAnsiTheme="minorEastAsia" w:eastAsiaTheme="minorEastAsia"/>
          <w:b/>
          <w:bCs/>
          <w:color w:val="000000" w:themeColor="text1"/>
          <w:szCs w:val="24"/>
          <w14:textFill>
            <w14:solidFill>
              <w14:schemeClr w14:val="tx1"/>
            </w14:solidFill>
          </w14:textFill>
        </w:rPr>
        <w:t xml:space="preserve"> </w:t>
      </w:r>
      <w:r>
        <w:rPr>
          <w:rFonts w:hint="eastAsia" w:ascii="Times New Roman" w:hAnsiTheme="minorEastAsia" w:eastAsiaTheme="minorEastAsia"/>
          <w:b/>
          <w:bCs/>
          <w:color w:val="000000" w:themeColor="text1"/>
          <w:szCs w:val="24"/>
          <w14:textFill>
            <w14:solidFill>
              <w14:schemeClr w14:val="tx1"/>
            </w14:solidFill>
          </w14:textFill>
        </w:rPr>
        <w:t>本项</w:t>
      </w:r>
      <w:r>
        <w:rPr>
          <w:rFonts w:hint="eastAsia" w:ascii="Times New Roman" w:cs="Times New Roman" w:hAnsiTheme="minorEastAsia" w:eastAsiaTheme="minorEastAsia"/>
          <w:b/>
          <w:bCs/>
          <w:color w:val="000000" w:themeColor="text1"/>
          <w:szCs w:val="24"/>
          <w14:textFill>
            <w14:solidFill>
              <w14:schemeClr w14:val="tx1"/>
            </w14:solidFill>
          </w14:textFill>
        </w:rPr>
        <w:t>目与“三线一单”符合性分析</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8"/>
        <w:gridCol w:w="4065"/>
        <w:gridCol w:w="35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5000" w:type="pct"/>
            <w:gridSpan w:val="3"/>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一、生态保护红线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管控单元类别</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color w:val="000000" w:themeColor="text1"/>
                <w:sz w:val="18"/>
                <w:szCs w:val="18"/>
                <w14:textFill>
                  <w14:solidFill>
                    <w14:schemeClr w14:val="tx1"/>
                  </w14:solidFill>
                </w14:textFill>
              </w:rPr>
            </w:pPr>
            <w:r>
              <w:rPr>
                <w:rFonts w:ascii="Times New Roman"/>
                <w:color w:val="000000" w:themeColor="text1"/>
                <w:sz w:val="18"/>
                <w:szCs w:val="18"/>
                <w14:textFill>
                  <w14:solidFill>
                    <w14:schemeClr w14:val="tx1"/>
                  </w14:solidFill>
                </w14:textFill>
              </w:rPr>
              <w:t>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管控要求</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left"/>
              <w:textAlignment w:val="baseline"/>
              <w:rPr>
                <w:rFonts w:ascii="Times New Roman"/>
                <w:color w:val="000000" w:themeColor="text1"/>
                <w:sz w:val="18"/>
                <w:szCs w:val="18"/>
                <w14:textFill>
                  <w14:solidFill>
                    <w14:schemeClr w14:val="tx1"/>
                  </w14:solidFill>
                </w14:textFill>
              </w:rPr>
            </w:pPr>
            <w:r>
              <w:rPr>
                <w:rFonts w:ascii="Times New Roman"/>
                <w:color w:val="000000" w:themeColor="text1"/>
                <w:sz w:val="18"/>
                <w:szCs w:val="18"/>
                <w14:textFill>
                  <w14:solidFill>
                    <w14:schemeClr w14:val="tx1"/>
                  </w14:solidFill>
                </w14:textFill>
              </w:rPr>
              <w:t>生态空间包括生态保护红线和一般生态空间，生态保护红线及一般生态空间均属于优先保护区，其余区域属于一般管控区。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符合性分析</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left"/>
              <w:textAlignment w:val="baseline"/>
              <w:rPr>
                <w:rFonts w:ascii="Times New Roman"/>
                <w:color w:val="000000" w:themeColor="text1"/>
                <w:sz w:val="18"/>
                <w:szCs w:val="18"/>
                <w14:textFill>
                  <w14:solidFill>
                    <w14:schemeClr w14:val="tx1"/>
                  </w14:solidFill>
                </w14:textFill>
              </w:rPr>
            </w:pPr>
            <w:r>
              <w:rPr>
                <w:rFonts w:ascii="Times New Roman"/>
                <w:color w:val="000000" w:themeColor="text1"/>
                <w:sz w:val="18"/>
                <w:szCs w:val="18"/>
                <w14:textFill>
                  <w14:solidFill>
                    <w14:schemeClr w14:val="tx1"/>
                  </w14:solidFill>
                </w14:textFill>
              </w:rPr>
              <w:t>本</w:t>
            </w:r>
            <w:r>
              <w:rPr>
                <w:rFonts w:hint="eastAsia" w:ascii="Times New Roman"/>
                <w:color w:val="000000" w:themeColor="text1"/>
                <w:sz w:val="18"/>
                <w:szCs w:val="18"/>
                <w:lang w:val="en-US" w:eastAsia="zh-CN"/>
                <w14:textFill>
                  <w14:solidFill>
                    <w14:schemeClr w14:val="tx1"/>
                  </w14:solidFill>
                </w14:textFill>
              </w:rPr>
              <w:t>项目位于</w:t>
            </w:r>
            <w:r>
              <w:rPr>
                <w:rFonts w:hint="eastAsia" w:ascii="Times New Roman" w:hAnsi="宋体" w:eastAsia="宋体" w:cs="宋体"/>
                <w:color w:val="000000" w:themeColor="text1"/>
                <w:sz w:val="18"/>
                <w:szCs w:val="18"/>
                <w:lang w:val="en-US" w:eastAsia="zh-CN"/>
                <w14:textFill>
                  <w14:solidFill>
                    <w14:schemeClr w14:val="tx1"/>
                  </w14:solidFill>
                </w14:textFill>
              </w:rPr>
              <w:t>红兴隆管理局在管理局局直南侧，</w:t>
            </w:r>
            <w:r>
              <w:rPr>
                <w:rFonts w:ascii="Times New Roman"/>
                <w:color w:val="000000" w:themeColor="text1"/>
                <w:sz w:val="18"/>
                <w:szCs w:val="18"/>
                <w14:textFill>
                  <w14:solidFill>
                    <w14:schemeClr w14:val="tx1"/>
                  </w14:solidFill>
                </w14:textFill>
              </w:rPr>
              <w:t>根据</w:t>
            </w:r>
            <w:r>
              <w:rPr>
                <w:rFonts w:hint="eastAsia" w:ascii="Times New Roman"/>
                <w:color w:val="000000" w:themeColor="text1"/>
                <w:sz w:val="18"/>
                <w:szCs w:val="18"/>
                <w14:textFill>
                  <w14:solidFill>
                    <w14:schemeClr w14:val="tx1"/>
                  </w14:solidFill>
                </w14:textFill>
              </w:rPr>
              <w:t>双鸭山</w:t>
            </w:r>
            <w:r>
              <w:rPr>
                <w:rFonts w:ascii="Times New Roman"/>
                <w:color w:val="000000" w:themeColor="text1"/>
                <w:sz w:val="18"/>
                <w:szCs w:val="18"/>
                <w14:textFill>
                  <w14:solidFill>
                    <w14:schemeClr w14:val="tx1"/>
                  </w14:solidFill>
                </w14:textFill>
              </w:rPr>
              <w:t>市生态空间分布图，所在区域不属于生态保护红线和一般生态空间，因此本项目符合生态保护红线要求。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5000" w:type="pct"/>
            <w:gridSpan w:val="3"/>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二、环境质量底线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5000" w:type="pct"/>
            <w:gridSpan w:val="3"/>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大气环境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管控单元类别</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hAnsi="宋体" w:eastAsia="宋体" w:cs="宋体"/>
                <w:color w:val="000000" w:themeColor="text1"/>
                <w:sz w:val="18"/>
                <w:szCs w:val="18"/>
                <w14:textFill>
                  <w14:solidFill>
                    <w14:schemeClr w14:val="tx1"/>
                  </w14:solidFill>
                </w14:textFill>
              </w:rPr>
            </w:pPr>
            <w:r>
              <w:rPr>
                <w:rFonts w:hint="eastAsia" w:ascii="Times New Roman" w:hAnsi="宋体" w:eastAsia="宋体" w:cs="宋体"/>
                <w:color w:val="000000" w:themeColor="text1"/>
                <w:sz w:val="18"/>
                <w:szCs w:val="18"/>
                <w:lang w:val="en-US" w:eastAsia="zh-CN"/>
                <w14:textFill>
                  <w14:solidFill>
                    <w14:schemeClr w14:val="tx1"/>
                  </w14:solidFill>
                </w14:textFill>
              </w:rPr>
              <w:t>大气环境受体敏感重点管控区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2941"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管控要求</w:t>
            </w:r>
          </w:p>
        </w:tc>
        <w:tc>
          <w:tcPr>
            <w:tcW w:w="2058"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空间布局约束</w:t>
            </w:r>
          </w:p>
        </w:tc>
        <w:tc>
          <w:tcPr>
            <w:tcW w:w="2385" w:type="pct"/>
            <w:tcBorders>
              <w:tl2br w:val="nil"/>
              <w:tr2bl w:val="nil"/>
            </w:tcBorders>
            <w:vAlign w:val="center"/>
          </w:tcPr>
          <w:p>
            <w:pPr>
              <w:spacing w:line="240" w:lineRule="auto"/>
              <w:ind w:firstLine="0" w:firstLineChars="0"/>
              <w:jc w:val="left"/>
              <w:rPr>
                <w:rFonts w:ascii="宋体" w:hAnsi="宋体" w:eastAsia="宋体" w:cs="宋体"/>
                <w:color w:val="000000" w:themeColor="text1"/>
                <w:lang w:val="zh-CN"/>
                <w14:textFill>
                  <w14:solidFill>
                    <w14:schemeClr w14:val="tx1"/>
                  </w14:solidFill>
                </w14:textFill>
              </w:rPr>
            </w:pPr>
            <w:r>
              <w:rPr>
                <w:rFonts w:hint="default" w:ascii="宋体" w:hAnsi="宋体" w:eastAsia="宋体" w:cs="宋体"/>
                <w:color w:val="000000" w:themeColor="text1"/>
                <w:lang w:val="zh-CN"/>
                <w14:textFill>
                  <w14:solidFill>
                    <w14:schemeClr w14:val="tx1"/>
                  </w14:solidFill>
                </w14:textFill>
              </w:rPr>
              <w:t>1.</w:t>
            </w:r>
            <w:r>
              <w:rPr>
                <w:rFonts w:hint="eastAsia" w:ascii="宋体" w:hAnsi="宋体" w:eastAsia="宋体" w:cs="宋体"/>
                <w:color w:val="000000" w:themeColor="text1"/>
                <w:lang w:val="zh-CN"/>
                <w14:textFill>
                  <w14:solidFill>
                    <w14:schemeClr w14:val="tx1"/>
                  </w14:solidFill>
                </w14:textFill>
              </w:rPr>
              <w:t>严禁搬迁改造企业在原址新建、扩建危险化学品项目</w:t>
            </w:r>
            <w:r>
              <w:rPr>
                <w:rFonts w:ascii="宋体" w:hAnsi="宋体" w:eastAsia="宋体" w:cs="宋体"/>
                <w:color w:val="000000" w:themeColor="text1"/>
                <w:lang w:val="zh-CN"/>
                <w14:textFill>
                  <w14:solidFill>
                    <w14:schemeClr w14:val="tx1"/>
                  </w14:solidFill>
                </w14:textFill>
              </w:rPr>
              <w:t>，城镇人口密集区危险化学品生产企业应搬迁改造。</w:t>
            </w:r>
          </w:p>
          <w:p>
            <w:pPr>
              <w:spacing w:line="240" w:lineRule="auto"/>
              <w:ind w:firstLine="0" w:firstLineChars="0"/>
              <w:jc w:val="left"/>
              <w:rPr>
                <w:rFonts w:ascii="宋体" w:hAnsi="宋体" w:eastAsia="宋体" w:cs="宋体"/>
                <w:color w:val="000000" w:themeColor="text1"/>
                <w14:textFill>
                  <w14:solidFill>
                    <w14:schemeClr w14:val="tx1"/>
                  </w14:solidFill>
                </w14:textFill>
              </w:rPr>
            </w:pPr>
            <w:r>
              <w:rPr>
                <w:rFonts w:hint="default" w:ascii="宋体" w:hAnsi="宋体" w:eastAsia="宋体" w:cs="宋体"/>
                <w:color w:val="000000" w:themeColor="text1"/>
                <w:lang w:val="zh-CN"/>
                <w14:textFill>
                  <w14:solidFill>
                    <w14:schemeClr w14:val="tx1"/>
                  </w14:solidFill>
                </w14:textFill>
              </w:rPr>
              <w:t>2.禁止在城镇居民区、文化教育科学研究区等人口集中区域建设畜禽养殖场、养殖小区。</w:t>
            </w:r>
          </w:p>
        </w:tc>
        <w:tc>
          <w:tcPr>
            <w:tcW w:w="2058" w:type="pct"/>
            <w:tcBorders>
              <w:tl2br w:val="nil"/>
              <w:tr2bl w:val="nil"/>
            </w:tcBorders>
            <w:vAlign w:val="center"/>
          </w:tcPr>
          <w:p>
            <w:pPr>
              <w:spacing w:line="240" w:lineRule="auto"/>
              <w:ind w:firstLine="0" w:firstLineChars="0"/>
              <w:rPr>
                <w:rFonts w:ascii="Times New Roman"/>
                <w:color w:val="000000" w:themeColor="text1"/>
                <w:sz w:val="18"/>
                <w:szCs w:val="18"/>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为集中供热项目，不属于新建、改扩建危险化学品生产项目，不属于畜禽养殖场、养殖小区</w:t>
            </w:r>
            <w:r>
              <w:rPr>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污染物排放管控</w:t>
            </w:r>
          </w:p>
        </w:tc>
        <w:tc>
          <w:tcPr>
            <w:tcW w:w="2385" w:type="pct"/>
            <w:tcBorders>
              <w:tl2br w:val="nil"/>
              <w:tr2bl w:val="nil"/>
            </w:tcBorders>
            <w:vAlign w:val="center"/>
          </w:tcPr>
          <w:p>
            <w:pPr>
              <w:spacing w:line="240" w:lineRule="auto"/>
              <w:ind w:firstLine="0" w:firstLineChars="0"/>
              <w:jc w:val="left"/>
              <w:rPr>
                <w:rFonts w:hint="default" w:ascii="宋体" w:hAnsi="宋体" w:eastAsia="宋体" w:cs="宋体"/>
                <w:color w:val="000000" w:themeColor="text1"/>
                <w:lang w:val="zh-CN"/>
                <w14:textFill>
                  <w14:solidFill>
                    <w14:schemeClr w14:val="tx1"/>
                  </w14:solidFill>
                </w14:textFill>
              </w:rPr>
            </w:pPr>
            <w:r>
              <w:rPr>
                <w:rFonts w:hint="default" w:ascii="宋体" w:hAnsi="宋体" w:eastAsia="宋体" w:cs="宋体"/>
                <w:color w:val="000000" w:themeColor="text1"/>
                <w:lang w:val="zh-CN"/>
                <w14:textFill>
                  <w14:solidFill>
                    <w14:schemeClr w14:val="tx1"/>
                  </w14:solidFill>
                </w14:textFill>
              </w:rPr>
              <w:t>1.加快燃煤电厂超低排放改造，提高煤电高效清洁利用水平。</w:t>
            </w:r>
          </w:p>
          <w:p>
            <w:pPr>
              <w:spacing w:line="240" w:lineRule="auto"/>
              <w:ind w:firstLine="0" w:firstLineChars="0"/>
              <w:jc w:val="left"/>
              <w:rPr>
                <w:rFonts w:ascii="宋体" w:hAnsi="宋体" w:eastAsia="宋体" w:cs="宋体"/>
                <w:color w:val="000000" w:themeColor="text1"/>
                <w14:textFill>
                  <w14:solidFill>
                    <w14:schemeClr w14:val="tx1"/>
                  </w14:solidFill>
                </w14:textFill>
              </w:rPr>
            </w:pPr>
            <w:r>
              <w:rPr>
                <w:rFonts w:hint="default" w:ascii="宋体" w:hAnsi="宋体" w:eastAsia="宋体" w:cs="宋体"/>
                <w:color w:val="000000" w:themeColor="text1"/>
                <w:lang w:val="zh-CN"/>
                <w14:textFill>
                  <w14:solidFill>
                    <w14:schemeClr w14:val="tx1"/>
                  </w14:solidFill>
                </w14:textFill>
              </w:rPr>
              <w:t>2.施工降水或基坑排水排入市政管网的，应纳入污水排入排水管网许可管理，明确排水接口位置和去向，避免排入城镇污水处理厂。</w:t>
            </w:r>
          </w:p>
        </w:tc>
        <w:tc>
          <w:tcPr>
            <w:tcW w:w="2058" w:type="pct"/>
            <w:tcBorders>
              <w:tl2br w:val="nil"/>
              <w:tr2bl w:val="nil"/>
            </w:tcBorders>
            <w:vAlign w:val="center"/>
          </w:tcPr>
          <w:p>
            <w:pPr>
              <w:spacing w:line="240" w:lineRule="auto"/>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2022年，中央环保督查要求对现有锅炉实行超低排放改造。对现有2台70MW热水锅炉脱硫设备进行改造，同时将现有除尘设备更换为两台布袋式除尘。</w:t>
            </w:r>
          </w:p>
          <w:p>
            <w:pPr>
              <w:spacing w:line="240" w:lineRule="auto"/>
              <w:ind w:firstLine="0" w:firstLineChars="0"/>
              <w:rPr>
                <w:rFonts w:ascii="Times New Roman"/>
                <w:color w:val="000000" w:themeColor="text1"/>
                <w:sz w:val="18"/>
                <w:szCs w:val="18"/>
                <w14:textFill>
                  <w14:solidFill>
                    <w14:schemeClr w14:val="tx1"/>
                  </w14:solidFill>
                </w14:textFill>
              </w:rPr>
            </w:pPr>
            <w:r>
              <w:rPr>
                <w:rFonts w:hint="eastAsia"/>
                <w:color w:val="000000" w:themeColor="text1"/>
                <w14:textFill>
                  <w14:solidFill>
                    <w14:schemeClr w14:val="tx1"/>
                  </w14:solidFill>
                </w14:textFill>
              </w:rPr>
              <w:t>但是，由于工程技术原因，现有2台70MW热水锅炉无法完成脱硝技术改造。为了完成中央环保督查的整改要求，黑龙江农泉兴隆热力有限公司决定将现有2台70MW热水锅炉淘汰，并新建1台70MW热水锅炉，新建锅炉执行超低排放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70"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环境风险防控</w:t>
            </w:r>
          </w:p>
        </w:tc>
        <w:tc>
          <w:tcPr>
            <w:tcW w:w="2385" w:type="pct"/>
            <w:tcBorders>
              <w:tl2br w:val="nil"/>
              <w:tr2bl w:val="nil"/>
            </w:tcBorders>
            <w:vAlign w:val="center"/>
          </w:tcPr>
          <w:p>
            <w:pPr>
              <w:spacing w:line="240" w:lineRule="auto"/>
              <w:ind w:firstLine="0" w:firstLineChars="0"/>
              <w:jc w:val="left"/>
              <w:rPr>
                <w:rFonts w:ascii="宋体" w:hAnsi="宋体" w:eastAsia="宋体" w:cs="宋体"/>
                <w:color w:val="000000" w:themeColor="text1"/>
                <w14:textFill>
                  <w14:solidFill>
                    <w14:schemeClr w14:val="tx1"/>
                  </w14:solidFill>
                </w14:textFill>
              </w:rPr>
            </w:pPr>
            <w:r>
              <w:rPr>
                <w:rFonts w:hint="default" w:ascii="宋体" w:hAnsi="宋体" w:eastAsia="宋体" w:cs="宋体"/>
                <w:color w:val="000000" w:themeColor="text1"/>
                <w:lang w:val="zh-CN"/>
                <w14:textFill>
                  <w14:solidFill>
                    <w14:schemeClr w14:val="tx1"/>
                  </w14:solidFill>
                </w14:textFill>
              </w:rPr>
              <w:t>化工园区与城市建成区、人员密集场所、重要设施、敏感目标等应当保持规定的安全距离，相对封闭，不应保留常住居民，非关联企业和产业要逐步搬迁或退出，妥善防范化解“临避”问题。严禁在松花江干流及一级支流沿岸</w:t>
            </w:r>
            <w:r>
              <w:rPr>
                <w:rFonts w:hint="default" w:ascii="宋体" w:hAnsi="宋体" w:eastAsia="宋体" w:cs="宋体"/>
                <w:color w:val="000000" w:themeColor="text1"/>
                <w:lang w:val="en-US"/>
                <w14:textFill>
                  <w14:solidFill>
                    <w14:schemeClr w14:val="tx1"/>
                  </w14:solidFill>
                </w14:textFill>
              </w:rPr>
              <w:t>1公里范围内布局化工园区。</w:t>
            </w:r>
          </w:p>
        </w:tc>
        <w:tc>
          <w:tcPr>
            <w:tcW w:w="2058" w:type="pct"/>
            <w:tcBorders>
              <w:tl2br w:val="nil"/>
              <w:tr2bl w:val="nil"/>
            </w:tcBorders>
            <w:vAlign w:val="center"/>
          </w:tcPr>
          <w:p>
            <w:pPr>
              <w:spacing w:line="240" w:lineRule="auto"/>
              <w:ind w:firstLine="0" w:firstLineChars="0"/>
              <w:rPr>
                <w:rFonts w:ascii="Times New Roman"/>
                <w:color w:val="000000" w:themeColor="text1"/>
                <w:sz w:val="18"/>
                <w:szCs w:val="18"/>
                <w14:textFill>
                  <w14:solidFill>
                    <w14:schemeClr w14:val="tx1"/>
                  </w14:solidFill>
                </w14:textFill>
              </w:rPr>
            </w:pPr>
            <w:r>
              <w:rPr>
                <w:rFonts w:hint="eastAsia"/>
                <w:color w:val="000000" w:themeColor="text1"/>
                <w14:textFill>
                  <w14:solidFill>
                    <w14:schemeClr w14:val="tx1"/>
                  </w14:solidFill>
                </w14:textFill>
              </w:rPr>
              <w:t>本项目不位于化工园区，不涉及土壤污染风险及污染地块。本项目选址不位于</w:t>
            </w:r>
            <w:r>
              <w:rPr>
                <w:color w:val="000000" w:themeColor="text1"/>
                <w14:textFill>
                  <w14:solidFill>
                    <w14:schemeClr w14:val="tx1"/>
                  </w14:solidFill>
                </w14:textFill>
              </w:rPr>
              <w:t>松花江干流及一级支流沿岸1公里范围内</w:t>
            </w: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7"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资源利用效率要求</w:t>
            </w:r>
          </w:p>
        </w:tc>
        <w:tc>
          <w:tcPr>
            <w:tcW w:w="2385" w:type="pct"/>
            <w:tcBorders>
              <w:tl2br w:val="nil"/>
              <w:tr2bl w:val="nil"/>
            </w:tcBorders>
            <w:vAlign w:val="center"/>
          </w:tcPr>
          <w:p>
            <w:pPr>
              <w:spacing w:line="240" w:lineRule="auto"/>
              <w:ind w:firstLine="0" w:firstLineChars="0"/>
              <w:jc w:val="left"/>
              <w:rPr>
                <w:rFonts w:hint="default" w:ascii="宋体" w:hAnsi="宋体" w:eastAsia="宋体" w:cs="宋体"/>
                <w:color w:val="000000" w:themeColor="text1"/>
                <w:lang w:val="zh-CN"/>
                <w14:textFill>
                  <w14:solidFill>
                    <w14:schemeClr w14:val="tx1"/>
                  </w14:solidFill>
                </w14:textFill>
              </w:rPr>
            </w:pPr>
            <w:r>
              <w:rPr>
                <w:rFonts w:hint="default" w:ascii="宋体" w:hAnsi="宋体" w:eastAsia="宋体" w:cs="宋体"/>
                <w:color w:val="000000" w:themeColor="text1"/>
                <w:lang w:val="zh-CN"/>
                <w14:textFill>
                  <w14:solidFill>
                    <w14:schemeClr w14:val="tx1"/>
                  </w14:solidFill>
                </w14:textFill>
              </w:rPr>
              <w:t>1.推进污水再生利用设施建设。</w:t>
            </w:r>
          </w:p>
          <w:p>
            <w:pPr>
              <w:spacing w:line="240" w:lineRule="auto"/>
              <w:ind w:firstLine="0" w:firstLineChars="0"/>
              <w:jc w:val="left"/>
              <w:rPr>
                <w:rFonts w:ascii="宋体" w:hAnsi="宋体" w:eastAsia="宋体" w:cs="宋体"/>
                <w:color w:val="000000" w:themeColor="text1"/>
                <w14:textFill>
                  <w14:solidFill>
                    <w14:schemeClr w14:val="tx1"/>
                  </w14:solidFill>
                </w14:textFill>
              </w:rPr>
            </w:pPr>
            <w:r>
              <w:rPr>
                <w:rFonts w:hint="default" w:ascii="宋体" w:hAnsi="宋体" w:eastAsia="宋体" w:cs="宋体"/>
                <w:color w:val="000000" w:themeColor="text1"/>
                <w:lang w:val="zh-CN"/>
                <w14:textFill>
                  <w14:solidFill>
                    <w14:schemeClr w14:val="tx1"/>
                  </w14:solidFill>
                </w14:textFill>
              </w:rPr>
              <w:t>2.公共建筑必须采用节水器具，限期淘汰公共建筑中不符合节水标准的水嘴、便器水箱等生活用水器具。</w:t>
            </w:r>
          </w:p>
        </w:tc>
        <w:tc>
          <w:tcPr>
            <w:tcW w:w="2058" w:type="pct"/>
            <w:tcBorders>
              <w:tl2br w:val="nil"/>
              <w:tr2bl w:val="nil"/>
            </w:tcBorders>
            <w:vAlign w:val="center"/>
          </w:tcPr>
          <w:p>
            <w:pPr>
              <w:spacing w:line="240" w:lineRule="auto"/>
              <w:ind w:firstLine="0" w:firstLineChars="0"/>
              <w:rPr>
                <w:rFonts w:ascii="Times New Roman"/>
                <w:color w:val="000000" w:themeColor="text1"/>
                <w:sz w:val="18"/>
                <w:szCs w:val="18"/>
                <w14:textFill>
                  <w14:solidFill>
                    <w14:schemeClr w14:val="tx1"/>
                  </w14:solidFill>
                </w14:textFill>
              </w:rPr>
            </w:pPr>
            <w:r>
              <w:rPr>
                <w:color w:val="000000" w:themeColor="text1"/>
                <w14:textFill>
                  <w14:solidFill>
                    <w14:schemeClr w14:val="tx1"/>
                  </w14:solidFill>
                </w14:textFill>
              </w:rPr>
              <w:t>本项目工艺用水依托厂区原有供水设施。</w:t>
            </w:r>
            <w:r>
              <w:rPr>
                <w:rFonts w:hint="eastAsia"/>
                <w:color w:val="000000" w:themeColor="text1"/>
                <w14:textFill>
                  <w14:solidFill>
                    <w14:schemeClr w14:val="tx1"/>
                  </w14:solidFill>
                </w14:textFill>
              </w:rPr>
              <w:t>本项目不新增劳动定员，无新增生活用水。采用节水器具，废水循环利用率高。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5000" w:type="pct"/>
            <w:gridSpan w:val="3"/>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水环境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管控单元类别</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hint="default" w:ascii="Times New Roman" w:eastAsia="宋体"/>
                <w:color w:val="000000" w:themeColor="text1"/>
                <w:sz w:val="18"/>
                <w:szCs w:val="18"/>
                <w:lang w:val="en-US" w:eastAsia="zh-CN"/>
                <w14:textFill>
                  <w14:solidFill>
                    <w14:schemeClr w14:val="tx1"/>
                  </w14:solidFill>
                </w14:textFill>
              </w:rPr>
            </w:pPr>
            <w:r>
              <w:rPr>
                <w:rFonts w:hint="eastAsia" w:ascii="Times New Roman"/>
                <w:color w:val="000000" w:themeColor="text1"/>
                <w:sz w:val="18"/>
                <w:szCs w:val="18"/>
                <w:lang w:val="en-US" w:eastAsia="zh-CN"/>
                <w14:textFill>
                  <w14:solidFill>
                    <w14:schemeClr w14:val="tx1"/>
                  </w14:solidFill>
                </w14:textFill>
              </w:rPr>
              <w:t>水环境一般管控区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2941"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管控要求</w:t>
            </w:r>
          </w:p>
        </w:tc>
        <w:tc>
          <w:tcPr>
            <w:tcW w:w="2058"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空间布局约束</w:t>
            </w:r>
          </w:p>
        </w:tc>
        <w:tc>
          <w:tcPr>
            <w:tcW w:w="2385" w:type="pct"/>
            <w:tcBorders>
              <w:tl2br w:val="nil"/>
              <w:tr2bl w:val="nil"/>
            </w:tcBorders>
            <w:vAlign w:val="center"/>
          </w:tcPr>
          <w:p>
            <w:pPr>
              <w:spacing w:line="240" w:lineRule="auto"/>
              <w:ind w:firstLine="0" w:firstLineChars="0"/>
              <w:jc w:val="left"/>
              <w:rPr>
                <w:rFonts w:hint="default" w:ascii="宋体" w:hAnsi="宋体" w:eastAsia="宋体" w:cs="宋体"/>
                <w:color w:val="000000" w:themeColor="text1"/>
                <w:lang w:val="zh-CN" w:eastAsia="zh-CN"/>
                <w14:textFill>
                  <w14:solidFill>
                    <w14:schemeClr w14:val="tx1"/>
                  </w14:solidFill>
                </w14:textFill>
              </w:rPr>
            </w:pPr>
            <w:r>
              <w:rPr>
                <w:rFonts w:hint="default" w:ascii="宋体" w:hAnsi="宋体" w:eastAsia="宋体" w:cs="宋体"/>
                <w:color w:val="000000" w:themeColor="text1"/>
                <w:lang w:val="en-US"/>
                <w14:textFill>
                  <w14:solidFill>
                    <w14:schemeClr w14:val="tx1"/>
                  </w14:solidFill>
                </w14:textFill>
              </w:rPr>
              <w:t>1.</w:t>
            </w:r>
            <w:r>
              <w:rPr>
                <w:rFonts w:hint="default" w:ascii="宋体" w:hAnsi="宋体" w:eastAsia="宋体" w:cs="宋体"/>
                <w:color w:val="000000" w:themeColor="text1"/>
                <w:lang w:val="zh-CN"/>
                <w14:textFill>
                  <w14:solidFill>
                    <w14:schemeClr w14:val="tx1"/>
                  </w14:solidFill>
                </w14:textFill>
              </w:rPr>
              <w:t>引导工业项目向开发区集中，促进产业集聚、资源集约、绿色发展。</w:t>
            </w:r>
          </w:p>
          <w:p>
            <w:pPr>
              <w:spacing w:line="240" w:lineRule="auto"/>
              <w:ind w:firstLine="0" w:firstLineChars="0"/>
              <w:jc w:val="left"/>
              <w:rPr>
                <w:rFonts w:hint="default" w:ascii="宋体" w:hAnsi="宋体" w:eastAsia="宋体" w:cs="宋体"/>
                <w:color w:val="000000" w:themeColor="text1"/>
                <w:lang w:val="zh-CN"/>
                <w14:textFill>
                  <w14:solidFill>
                    <w14:schemeClr w14:val="tx1"/>
                  </w14:solidFill>
                </w14:textFill>
              </w:rPr>
            </w:pPr>
            <w:r>
              <w:rPr>
                <w:rFonts w:hint="default" w:ascii="宋体" w:hAnsi="宋体" w:eastAsia="宋体" w:cs="宋体"/>
                <w:color w:val="000000" w:themeColor="text1"/>
                <w:lang w:val="en-US" w:eastAsia="zh-CN"/>
                <w14:textFill>
                  <w14:solidFill>
                    <w14:schemeClr w14:val="tx1"/>
                  </w14:solidFill>
                </w14:textFill>
              </w:rPr>
              <w:t>2.</w:t>
            </w:r>
            <w:r>
              <w:rPr>
                <w:rFonts w:hint="default" w:ascii="宋体" w:hAnsi="宋体" w:eastAsia="宋体" w:cs="宋体"/>
                <w:color w:val="000000" w:themeColor="text1"/>
                <w:lang w:val="zh-CN"/>
                <w14:textFill>
                  <w14:solidFill>
                    <w14:schemeClr w14:val="tx1"/>
                  </w14:solidFill>
                </w14:textFill>
              </w:rPr>
              <w:t>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2058"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color w:val="000000" w:themeColor="text1"/>
                <w:sz w:val="18"/>
                <w:szCs w:val="18"/>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为集中供热项目，</w:t>
            </w:r>
            <w:r>
              <w:rPr>
                <w:rFonts w:hint="eastAsia"/>
                <w:color w:val="000000" w:themeColor="text1"/>
                <w:lang w:val="en-US" w:eastAsia="zh-CN"/>
                <w14:textFill>
                  <w14:solidFill>
                    <w14:schemeClr w14:val="tx1"/>
                  </w14:solidFill>
                </w14:textFill>
              </w:rPr>
              <w:t>不属于</w:t>
            </w:r>
            <w:r>
              <w:rPr>
                <w:rFonts w:hint="default" w:ascii="宋体" w:hAnsi="宋体" w:eastAsia="宋体" w:cs="宋体"/>
                <w:color w:val="000000" w:themeColor="text1"/>
                <w:lang w:val="zh-CN"/>
                <w14:textFill>
                  <w14:solidFill>
                    <w14:schemeClr w14:val="tx1"/>
                  </w14:solidFill>
                </w14:textFill>
              </w:rPr>
              <w:t>电力、钢铁、建材、有色、化工、石油石化、船舶、煤炭、印染、造纸、制革、染料、焦化、电镀等行业</w:t>
            </w:r>
            <w:r>
              <w:rPr>
                <w:rFonts w:ascii="Times New Roman"/>
                <w:color w:val="000000" w:themeColor="text1"/>
                <w:sz w:val="18"/>
                <w:szCs w:val="18"/>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00" w:type="pct"/>
            <w:gridSpan w:val="3"/>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color w:val="000000" w:themeColor="text1"/>
                <w14:textFill>
                  <w14:solidFill>
                    <w14:schemeClr w14:val="tx1"/>
                  </w14:solidFill>
                </w14:textFill>
              </w:rPr>
            </w:pPr>
            <w:r>
              <w:rPr>
                <w:rFonts w:hint="eastAsia" w:ascii="Times New Roman"/>
                <w:b/>
                <w:bCs/>
                <w:color w:val="000000" w:themeColor="text1"/>
                <w:sz w:val="18"/>
                <w:szCs w:val="18"/>
                <w:lang w:val="en-US" w:eastAsia="zh-CN"/>
                <w14:textFill>
                  <w14:solidFill>
                    <w14:schemeClr w14:val="tx1"/>
                  </w14:solidFill>
                </w14:textFill>
              </w:rPr>
              <w:t>地下</w:t>
            </w:r>
            <w:r>
              <w:rPr>
                <w:rFonts w:ascii="Times New Roman"/>
                <w:b/>
                <w:bCs/>
                <w:color w:val="000000" w:themeColor="text1"/>
                <w:sz w:val="18"/>
                <w:szCs w:val="18"/>
                <w14:textFill>
                  <w14:solidFill>
                    <w14:schemeClr w14:val="tx1"/>
                  </w14:solidFill>
                </w14:textFill>
              </w:rPr>
              <w:t>水环境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管控单元类别</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color w:val="000000" w:themeColor="text1"/>
                <w14:textFill>
                  <w14:solidFill>
                    <w14:schemeClr w14:val="tx1"/>
                  </w14:solidFill>
                </w14:textFill>
              </w:rPr>
            </w:pPr>
            <w:r>
              <w:rPr>
                <w:rFonts w:hint="eastAsia" w:ascii="Times New Roman"/>
                <w:color w:val="000000" w:themeColor="text1"/>
                <w:sz w:val="18"/>
                <w:szCs w:val="18"/>
                <w:lang w:val="en-US" w:eastAsia="zh-CN"/>
                <w14:textFill>
                  <w14:solidFill>
                    <w14:schemeClr w14:val="tx1"/>
                  </w14:solidFill>
                </w14:textFill>
              </w:rPr>
              <w:t>友谊县地下水环境一般管控区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941"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hint="default" w:ascii="宋体" w:hAnsi="宋体" w:eastAsia="宋体" w:cs="宋体"/>
                <w:color w:val="000000" w:themeColor="text1"/>
                <w:lang w:val="en-US" w:eastAsia="zh-CN"/>
                <w14:textFill>
                  <w14:solidFill>
                    <w14:schemeClr w14:val="tx1"/>
                  </w14:solidFill>
                </w14:textFill>
              </w:rPr>
            </w:pPr>
            <w:r>
              <w:rPr>
                <w:rFonts w:ascii="Times New Roman"/>
                <w:b/>
                <w:bCs/>
                <w:color w:val="000000" w:themeColor="text1"/>
                <w:sz w:val="18"/>
                <w:szCs w:val="18"/>
                <w14:textFill>
                  <w14:solidFill>
                    <w14:schemeClr w14:val="tx1"/>
                  </w14:solidFill>
                </w14:textFill>
              </w:rPr>
              <w:t>管控要求</w:t>
            </w:r>
          </w:p>
        </w:tc>
        <w:tc>
          <w:tcPr>
            <w:tcW w:w="2058"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color w:val="000000" w:themeColor="text1"/>
                <w14:textFill>
                  <w14:solidFill>
                    <w14:schemeClr w14:val="tx1"/>
                  </w14:solidFill>
                </w14:textFill>
              </w:rPr>
            </w:pPr>
            <w:r>
              <w:rPr>
                <w:rFonts w:ascii="Times New Roman"/>
                <w:b/>
                <w:bCs/>
                <w:color w:val="000000" w:themeColor="text1"/>
                <w:sz w:val="18"/>
                <w:szCs w:val="18"/>
                <w14:textFill>
                  <w14:solidFill>
                    <w14:schemeClr w14:val="tx1"/>
                  </w14:solidFill>
                </w14:textFill>
              </w:rPr>
              <w:t>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hint="default" w:ascii="Times New Roman" w:eastAsia="宋体"/>
                <w:b/>
                <w:bCs/>
                <w:color w:val="000000" w:themeColor="text1"/>
                <w:sz w:val="18"/>
                <w:szCs w:val="18"/>
                <w:lang w:val="en-US" w:eastAsia="zh-CN"/>
                <w14:textFill>
                  <w14:solidFill>
                    <w14:schemeClr w14:val="tx1"/>
                  </w14:solidFill>
                </w14:textFill>
              </w:rPr>
            </w:pPr>
            <w:r>
              <w:rPr>
                <w:rFonts w:hint="eastAsia" w:ascii="Times New Roman"/>
                <w:b/>
                <w:bCs/>
                <w:color w:val="000000" w:themeColor="text1"/>
                <w:sz w:val="18"/>
                <w:szCs w:val="18"/>
                <w:lang w:val="en-US" w:eastAsia="zh-CN"/>
                <w14:textFill>
                  <w14:solidFill>
                    <w14:schemeClr w14:val="tx1"/>
                  </w14:solidFill>
                </w14:textFill>
              </w:rPr>
              <w:t>环境风险管控</w:t>
            </w:r>
          </w:p>
        </w:tc>
        <w:tc>
          <w:tcPr>
            <w:tcW w:w="2385" w:type="pct"/>
            <w:tcBorders>
              <w:tl2br w:val="nil"/>
              <w:tr2bl w:val="nil"/>
            </w:tcBorders>
            <w:vAlign w:val="center"/>
          </w:tcPr>
          <w:p>
            <w:pPr>
              <w:spacing w:line="240" w:lineRule="auto"/>
              <w:ind w:firstLine="0" w:firstLineChars="0"/>
              <w:jc w:val="left"/>
              <w:rPr>
                <w:rFonts w:hint="default" w:ascii="宋体" w:hAnsi="宋体" w:eastAsia="宋体" w:cs="宋体"/>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 2.重点单位新、改、扩建项目地下储罐储存有毒有害物质的，应当在项目投入生产或者使用之前，将地下储罐的信息报所在地设区的市级生态环境主管部门备案。 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2058" w:type="pct"/>
            <w:tcBorders>
              <w:tl2br w:val="nil"/>
              <w:tr2bl w:val="nil"/>
            </w:tcBorders>
            <w:vAlign w:val="center"/>
          </w:tcPr>
          <w:p>
            <w:pPr>
              <w:spacing w:line="240" w:lineRule="auto"/>
              <w:ind w:firstLine="0" w:firstLineChars="0"/>
              <w:jc w:val="left"/>
              <w:rPr>
                <w:rFonts w:hint="default" w:ascii="宋体" w:hAnsi="宋体" w:eastAsia="宋体" w:cs="宋体"/>
                <w:color w:val="000000" w:themeColor="text1"/>
                <w:lang w:val="en-US" w:eastAsia="zh-CN"/>
                <w14:textFill>
                  <w14:solidFill>
                    <w14:schemeClr w14:val="tx1"/>
                  </w14:solidFill>
                </w14:textFill>
              </w:rPr>
            </w:pPr>
            <w:r>
              <w:rPr>
                <w:rFonts w:hint="eastAsia" w:ascii="宋体" w:hAnsi="宋体" w:eastAsia="宋体" w:cs="宋体"/>
                <w:color w:val="000000" w:themeColor="text1"/>
                <w:lang w:val="en-US" w:eastAsia="zh-CN"/>
                <w14:textFill>
                  <w14:solidFill>
                    <w14:schemeClr w14:val="tx1"/>
                  </w14:solidFill>
                </w14:textFill>
              </w:rPr>
              <w:t>本项目不属于土壤污染重点监管单位，本项目采取严格的土壤污染防治措施，</w:t>
            </w:r>
            <w:r>
              <w:rPr>
                <w:rFonts w:hint="eastAsia" w:ascii="宋体" w:hAnsi="宋体" w:eastAsia="宋体" w:cs="宋体"/>
                <w:color w:val="000000" w:themeColor="text1"/>
                <w:lang w:val="en-US"/>
                <w14:textFill>
                  <w14:solidFill>
                    <w14:schemeClr w14:val="tx1"/>
                  </w14:solidFill>
                </w14:textFill>
              </w:rPr>
              <w:t>源头控制措施</w:t>
            </w:r>
            <w:r>
              <w:rPr>
                <w:rFonts w:hint="eastAsia" w:ascii="宋体" w:hAnsi="宋体" w:eastAsia="宋体" w:cs="宋体"/>
                <w:color w:val="000000" w:themeColor="text1"/>
                <w:lang w:val="en-US" w:eastAsia="zh-CN"/>
                <w14:textFill>
                  <w14:solidFill>
                    <w14:schemeClr w14:val="tx1"/>
                  </w14:solidFill>
                </w14:textFill>
              </w:rPr>
              <w:t>、分区防渗、</w:t>
            </w:r>
            <w:r>
              <w:rPr>
                <w:rFonts w:hint="eastAsia" w:ascii="宋体" w:hAnsi="宋体" w:eastAsia="宋体" w:cs="宋体"/>
                <w:color w:val="000000" w:themeColor="text1"/>
                <w:lang w:val="en-US"/>
                <w14:textFill>
                  <w14:solidFill>
                    <w14:schemeClr w14:val="tx1"/>
                  </w14:solidFill>
                </w14:textFill>
              </w:rPr>
              <w:t>跟踪监测</w:t>
            </w:r>
            <w:r>
              <w:rPr>
                <w:rFonts w:hint="eastAsia" w:ascii="宋体" w:hAnsi="宋体" w:eastAsia="宋体" w:cs="宋体"/>
                <w:color w:val="000000" w:themeColor="text1"/>
                <w:lang w:val="en-US" w:eastAsia="zh-CN"/>
                <w14:textFill>
                  <w14:solidFill>
                    <w14:schemeClr w14:val="tx1"/>
                  </w14:solidFill>
                </w14:textFill>
              </w:rPr>
              <w:t>措施</w:t>
            </w:r>
            <w:r>
              <w:rPr>
                <w:rFonts w:hint="eastAsia" w:ascii="宋体" w:hAnsi="宋体" w:eastAsia="宋体" w:cs="宋体"/>
                <w:color w:val="000000" w:themeColor="text1"/>
                <w:lang w:val="en-US"/>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5000" w:type="pct"/>
            <w:gridSpan w:val="3"/>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三、资源利用上线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3" w:hRule="atLeast"/>
          <w:jc w:val="center"/>
        </w:trPr>
        <w:tc>
          <w:tcPr>
            <w:tcW w:w="5000" w:type="pct"/>
            <w:gridSpan w:val="3"/>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能源利用上线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管控要求</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left"/>
              <w:textAlignment w:val="baseline"/>
              <w:rPr>
                <w:rFonts w:ascii="Times New Roman"/>
                <w:color w:val="000000" w:themeColor="text1"/>
                <w:sz w:val="18"/>
                <w:szCs w:val="18"/>
                <w14:textFill>
                  <w14:solidFill>
                    <w14:schemeClr w14:val="tx1"/>
                  </w14:solidFill>
                </w14:textFill>
              </w:rPr>
            </w:pPr>
            <w:r>
              <w:rPr>
                <w:rFonts w:ascii="Times New Roman"/>
                <w:color w:val="000000" w:themeColor="text1"/>
                <w:sz w:val="18"/>
                <w:szCs w:val="18"/>
                <w14:textFill>
                  <w14:solidFill>
                    <w14:schemeClr w14:val="tx1"/>
                  </w14:solidFill>
                </w14:textFill>
              </w:rPr>
              <w:t>双鸭山市2025年煤炭消费上线为907.31万吨标准煤</w:t>
            </w:r>
            <w:r>
              <w:rPr>
                <w:rFonts w:hint="eastAsia" w:ascii="Times New Roman"/>
                <w:color w:val="000000" w:themeColor="text1"/>
                <w:sz w:val="18"/>
                <w:szCs w:val="18"/>
                <w14:textFill>
                  <w14:solidFill>
                    <w14:schemeClr w14:val="tx1"/>
                  </w14:solidFill>
                </w14:textFill>
              </w:rPr>
              <w:t>，2035年煤炭消费上线为982.48万吨标准煤。</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符合性分析</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left"/>
              <w:textAlignment w:val="baseline"/>
              <w:rPr>
                <w:rFonts w:ascii="Times New Roman"/>
                <w:color w:val="000000" w:themeColor="text1"/>
                <w:sz w:val="18"/>
                <w:szCs w:val="18"/>
                <w14:textFill>
                  <w14:solidFill>
                    <w14:schemeClr w14:val="tx1"/>
                  </w14:solidFill>
                </w14:textFill>
              </w:rPr>
            </w:pPr>
            <w:r>
              <w:rPr>
                <w:rFonts w:ascii="Times New Roman" w:hAnsi="宋体" w:eastAsia="宋体" w:cs="宋体"/>
                <w:color w:val="000000" w:themeColor="text1"/>
                <w:sz w:val="18"/>
                <w:szCs w:val="18"/>
                <w:lang w:val="en-US"/>
                <w14:textFill>
                  <w14:solidFill>
                    <w14:schemeClr w14:val="tx1"/>
                  </w14:solidFill>
                </w14:textFill>
              </w:rPr>
              <w:t>本项目</w:t>
            </w:r>
            <w:r>
              <w:rPr>
                <w:rFonts w:hint="eastAsia" w:ascii="Times New Roman" w:hAnsi="宋体" w:eastAsia="宋体" w:cs="宋体"/>
                <w:color w:val="000000" w:themeColor="text1"/>
                <w:sz w:val="18"/>
                <w:szCs w:val="18"/>
                <w:lang w:val="en-US"/>
                <w14:textFill>
                  <w14:solidFill>
                    <w14:schemeClr w14:val="tx1"/>
                  </w14:solidFill>
                </w14:textFill>
              </w:rPr>
              <w:t>建成后年耗煤量为42017t/a</w:t>
            </w:r>
            <w:r>
              <w:rPr>
                <w:rFonts w:ascii="Times New Roman" w:hAnsi="宋体" w:eastAsia="宋体" w:cs="宋体"/>
                <w:color w:val="000000" w:themeColor="text1"/>
                <w:sz w:val="18"/>
                <w:szCs w:val="18"/>
                <w:lang w:val="en-US"/>
                <w14:textFill>
                  <w14:solidFill>
                    <w14:schemeClr w14:val="tx1"/>
                  </w14:solidFill>
                </w14:textFill>
              </w:rPr>
              <w:t>，</w:t>
            </w:r>
            <w:r>
              <w:rPr>
                <w:rFonts w:hint="eastAsia" w:ascii="Times New Roman" w:hAnsi="宋体" w:eastAsia="宋体" w:cs="宋体"/>
                <w:color w:val="000000" w:themeColor="text1"/>
                <w:sz w:val="18"/>
                <w:szCs w:val="18"/>
                <w:lang w:val="en-US"/>
                <w14:textFill>
                  <w14:solidFill>
                    <w14:schemeClr w14:val="tx1"/>
                  </w14:solidFill>
                </w14:textFill>
              </w:rPr>
              <w:t>本次改扩建后燃</w:t>
            </w:r>
            <w:r>
              <w:rPr>
                <w:rFonts w:ascii="Times New Roman" w:hAnsi="宋体" w:eastAsia="宋体" w:cs="宋体"/>
                <w:color w:val="000000" w:themeColor="text1"/>
                <w:sz w:val="18"/>
                <w:szCs w:val="18"/>
                <w:lang w:val="en-US"/>
                <w14:textFill>
                  <w14:solidFill>
                    <w14:schemeClr w14:val="tx1"/>
                  </w14:solidFill>
                </w14:textFill>
              </w:rPr>
              <w:t>煤使用量减少4.2万t/a</w:t>
            </w:r>
            <w:r>
              <w:rPr>
                <w:rFonts w:hint="eastAsia" w:ascii="Times New Roman" w:hAnsi="宋体" w:eastAsia="宋体" w:cs="宋体"/>
                <w:color w:val="000000" w:themeColor="text1"/>
                <w:sz w:val="18"/>
                <w:szCs w:val="18"/>
                <w:lang w:val="en-US"/>
                <w14:textFill>
                  <w14:solidFill>
                    <w14:schemeClr w14:val="tx1"/>
                  </w14:solidFill>
                </w14:textFill>
              </w:rPr>
              <w:t>，</w:t>
            </w:r>
            <w:r>
              <w:rPr>
                <w:rFonts w:ascii="Times New Roman" w:hAnsi="宋体" w:eastAsia="宋体" w:cs="宋体"/>
                <w:color w:val="000000" w:themeColor="text1"/>
                <w:sz w:val="18"/>
                <w:szCs w:val="18"/>
                <w14:textFill>
                  <w14:solidFill>
                    <w14:schemeClr w14:val="tx1"/>
                  </w14:solidFill>
                </w14:textFill>
              </w:rPr>
              <w:t>，</w:t>
            </w:r>
            <w:r>
              <w:rPr>
                <w:rFonts w:ascii="Times New Roman"/>
                <w:color w:val="000000" w:themeColor="text1"/>
                <w:sz w:val="18"/>
                <w:szCs w:val="18"/>
                <w14:textFill>
                  <w14:solidFill>
                    <w14:schemeClr w14:val="tx1"/>
                  </w14:solidFill>
                </w14:textFill>
              </w:rPr>
              <w:t>按煤炭消费综合折算系数取0.6301千克标准煤/千克，项目燃煤量约占双鸭山市2025年煤炭消费上线的</w:t>
            </w:r>
            <w:r>
              <w:rPr>
                <w:rFonts w:hint="eastAsia" w:ascii="Times New Roman"/>
                <w:color w:val="000000" w:themeColor="text1"/>
                <w:sz w:val="18"/>
                <w:szCs w:val="18"/>
                <w:lang w:val="en-US" w:eastAsia="zh-CN"/>
                <w14:textFill>
                  <w14:solidFill>
                    <w14:schemeClr w14:val="tx1"/>
                  </w14:solidFill>
                </w14:textFill>
              </w:rPr>
              <w:t>0.29</w:t>
            </w:r>
            <w:r>
              <w:rPr>
                <w:rFonts w:ascii="Times New Roman"/>
                <w:color w:val="000000" w:themeColor="text1"/>
                <w:sz w:val="18"/>
                <w:szCs w:val="18"/>
                <w14:textFill>
                  <w14:solidFill>
                    <w14:schemeClr w14:val="tx1"/>
                  </w14:solidFill>
                </w14:textFill>
              </w:rPr>
              <w:t>%</w:t>
            </w:r>
            <w:r>
              <w:rPr>
                <w:rFonts w:hint="eastAsia" w:ascii="Times New Roman"/>
                <w:color w:val="000000" w:themeColor="text1"/>
                <w:sz w:val="18"/>
                <w:szCs w:val="18"/>
                <w14:textFill>
                  <w14:solidFill>
                    <w14:schemeClr w14:val="tx1"/>
                  </w14:solidFill>
                </w14:textFill>
              </w:rPr>
              <w:t>；</w:t>
            </w:r>
            <w:r>
              <w:rPr>
                <w:rFonts w:ascii="Times New Roman"/>
                <w:color w:val="000000" w:themeColor="text1"/>
                <w:sz w:val="18"/>
                <w:szCs w:val="18"/>
                <w14:textFill>
                  <w14:solidFill>
                    <w14:schemeClr w14:val="tx1"/>
                  </w14:solidFill>
                </w14:textFill>
              </w:rPr>
              <w:t>约占双鸭山市20</w:t>
            </w:r>
            <w:r>
              <w:rPr>
                <w:rFonts w:hint="eastAsia" w:ascii="Times New Roman"/>
                <w:color w:val="000000" w:themeColor="text1"/>
                <w:sz w:val="18"/>
                <w:szCs w:val="18"/>
                <w14:textFill>
                  <w14:solidFill>
                    <w14:schemeClr w14:val="tx1"/>
                  </w14:solidFill>
                </w14:textFill>
              </w:rPr>
              <w:t>35</w:t>
            </w:r>
            <w:r>
              <w:rPr>
                <w:rFonts w:ascii="Times New Roman"/>
                <w:color w:val="000000" w:themeColor="text1"/>
                <w:sz w:val="18"/>
                <w:szCs w:val="18"/>
                <w14:textFill>
                  <w14:solidFill>
                    <w14:schemeClr w14:val="tx1"/>
                  </w14:solidFill>
                </w14:textFill>
              </w:rPr>
              <w:t>年煤炭消费上线的</w:t>
            </w:r>
            <w:r>
              <w:rPr>
                <w:rFonts w:hint="eastAsia" w:ascii="Times New Roman"/>
                <w:color w:val="000000" w:themeColor="text1"/>
                <w:sz w:val="18"/>
                <w:szCs w:val="18"/>
                <w:lang w:val="en-US" w:eastAsia="zh-CN"/>
                <w14:textFill>
                  <w14:solidFill>
                    <w14:schemeClr w14:val="tx1"/>
                  </w14:solidFill>
                </w14:textFill>
              </w:rPr>
              <w:t>0.27</w:t>
            </w:r>
            <w:r>
              <w:rPr>
                <w:rFonts w:ascii="Times New Roman"/>
                <w:color w:val="000000" w:themeColor="text1"/>
                <w:sz w:val="18"/>
                <w:szCs w:val="18"/>
                <w14:textFill>
                  <w14:solidFill>
                    <w14:schemeClr w14:val="tx1"/>
                  </w14:solidFill>
                </w14:textFill>
              </w:rPr>
              <w:t>%</w:t>
            </w:r>
            <w:r>
              <w:rPr>
                <w:rFonts w:hint="eastAsia" w:ascii="Times New Roman"/>
                <w:color w:val="000000" w:themeColor="text1"/>
                <w:sz w:val="18"/>
                <w:szCs w:val="18"/>
                <w14:textFill>
                  <w14:solidFill>
                    <w14:schemeClr w14:val="tx1"/>
                  </w14:solidFill>
                </w14:textFill>
              </w:rPr>
              <w:t>；</w:t>
            </w:r>
            <w:r>
              <w:rPr>
                <w:rFonts w:ascii="Times New Roman"/>
                <w:color w:val="000000" w:themeColor="text1"/>
                <w:sz w:val="18"/>
                <w:szCs w:val="18"/>
                <w14:textFill>
                  <w14:solidFill>
                    <w14:schemeClr w14:val="tx1"/>
                  </w14:solidFill>
                </w14:textFill>
              </w:rPr>
              <w:t>占比较小，不会突破能源消耗上线。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00" w:type="pct"/>
            <w:gridSpan w:val="3"/>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水资源利用上线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管控单元类别</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color w:val="000000" w:themeColor="text1"/>
                <w:sz w:val="18"/>
                <w:szCs w:val="18"/>
                <w14:textFill>
                  <w14:solidFill>
                    <w14:schemeClr w14:val="tx1"/>
                  </w14:solidFill>
                </w14:textFill>
              </w:rPr>
            </w:pPr>
            <w:r>
              <w:rPr>
                <w:rFonts w:hint="eastAsia" w:ascii="Times New Roman"/>
                <w:color w:val="000000" w:themeColor="text1"/>
                <w:sz w:val="18"/>
                <w:szCs w:val="18"/>
                <w14:textFill>
                  <w14:solidFill>
                    <w14:schemeClr w14:val="tx1"/>
                  </w14:solidFill>
                </w14:textFill>
              </w:rPr>
              <w:t>一般</w:t>
            </w:r>
            <w:r>
              <w:rPr>
                <w:rFonts w:ascii="Times New Roman"/>
                <w:color w:val="000000" w:themeColor="text1"/>
                <w:sz w:val="18"/>
                <w:szCs w:val="18"/>
                <w14:textFill>
                  <w14:solidFill>
                    <w14:schemeClr w14:val="tx1"/>
                  </w14:solidFill>
                </w14:textFill>
              </w:rPr>
              <w:t>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管控要求</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color w:val="000000" w:themeColor="text1"/>
                <w:sz w:val="18"/>
                <w:szCs w:val="18"/>
                <w14:textFill>
                  <w14:solidFill>
                    <w14:schemeClr w14:val="tx1"/>
                  </w14:solidFill>
                </w14:textFill>
              </w:rPr>
            </w:pPr>
            <w:r>
              <w:rPr>
                <w:rFonts w:ascii="Times New Roman"/>
                <w:color w:val="000000" w:themeColor="text1"/>
                <w:sz w:val="18"/>
                <w:szCs w:val="18"/>
                <w14:textFill>
                  <w14:solidFill>
                    <w14:schemeClr w14:val="tx1"/>
                  </w14:solidFill>
                </w14:textFill>
              </w:rPr>
              <w:t>（1）严格控制水资源消耗总量和强度，加快完成江河流域水量分配、生态流量保障实施方案工作，推进水权确权。</w:t>
            </w:r>
          </w:p>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color w:val="000000" w:themeColor="text1"/>
                <w:sz w:val="18"/>
                <w:szCs w:val="18"/>
                <w14:textFill>
                  <w14:solidFill>
                    <w14:schemeClr w14:val="tx1"/>
                  </w14:solidFill>
                </w14:textFill>
              </w:rPr>
            </w:pPr>
            <w:r>
              <w:rPr>
                <w:rFonts w:ascii="Times New Roman"/>
                <w:color w:val="000000" w:themeColor="text1"/>
                <w:sz w:val="18"/>
                <w:szCs w:val="18"/>
                <w14:textFill>
                  <w14:solidFill>
                    <w14:schemeClr w14:val="tx1"/>
                  </w14:solidFill>
                </w14:textFill>
              </w:rPr>
              <w:t>（2）积极推进节水型社会达标建设，限制高耗水工业项目建设和高耗水服务业发展，遏制农业粗放用水，强化用水定额管理，加大农业节水力度，加大工业节水技术改造。</w:t>
            </w:r>
          </w:p>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color w:val="000000" w:themeColor="text1"/>
                <w:sz w:val="18"/>
                <w:szCs w:val="18"/>
                <w14:textFill>
                  <w14:solidFill>
                    <w14:schemeClr w14:val="tx1"/>
                  </w14:solidFill>
                </w14:textFill>
              </w:rPr>
            </w:pPr>
            <w:r>
              <w:rPr>
                <w:rFonts w:ascii="Times New Roman"/>
                <w:color w:val="000000" w:themeColor="text1"/>
                <w:sz w:val="18"/>
                <w:szCs w:val="18"/>
                <w14:textFill>
                  <w14:solidFill>
                    <w14:schemeClr w14:val="tx1"/>
                  </w14:solidFill>
                </w14:textFill>
              </w:rPr>
              <w:t>（3）各级水行政主管部门要按照确定的地下水水位控制指标，加强水位动态监控。</w:t>
            </w:r>
          </w:p>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color w:val="000000" w:themeColor="text1"/>
                <w:sz w:val="18"/>
                <w:szCs w:val="18"/>
                <w14:textFill>
                  <w14:solidFill>
                    <w14:schemeClr w14:val="tx1"/>
                  </w14:solidFill>
                </w14:textFill>
              </w:rPr>
            </w:pPr>
            <w:r>
              <w:rPr>
                <w:rFonts w:ascii="Times New Roman"/>
                <w:color w:val="000000" w:themeColor="text1"/>
                <w:sz w:val="18"/>
                <w:szCs w:val="18"/>
                <w14:textFill>
                  <w14:solidFill>
                    <w14:schemeClr w14:val="tx1"/>
                  </w14:solidFill>
                </w14:textFill>
              </w:rPr>
              <w:t>（4）建立用水单位重点监控名录，实施计划用水管理。</w:t>
            </w:r>
          </w:p>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color w:val="000000" w:themeColor="text1"/>
                <w:sz w:val="18"/>
                <w:szCs w:val="18"/>
                <w14:textFill>
                  <w14:solidFill>
                    <w14:schemeClr w14:val="tx1"/>
                  </w14:solidFill>
                </w14:textFill>
              </w:rPr>
            </w:pPr>
            <w:r>
              <w:rPr>
                <w:rFonts w:ascii="Times New Roman"/>
                <w:color w:val="000000" w:themeColor="text1"/>
                <w:sz w:val="18"/>
                <w:szCs w:val="18"/>
                <w14:textFill>
                  <w14:solidFill>
                    <w14:schemeClr w14:val="tx1"/>
                  </w14:solidFill>
                </w14:textFill>
              </w:rPr>
              <w:t>（5）建立健全规划和建设项目水资源论证制度，完善规划水资源论证相关政策措施。市县重点推进重大产业布局和各类开发区规划水资源论证，严格建设项目水资源论证，对未依法完成水资源论证工作的建设项目，建设单位不得擅自开工建设和投产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项目符合性分析</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color w:val="000000" w:themeColor="text1"/>
                <w:sz w:val="18"/>
                <w:szCs w:val="18"/>
                <w14:textFill>
                  <w14:solidFill>
                    <w14:schemeClr w14:val="tx1"/>
                  </w14:solidFill>
                </w14:textFill>
              </w:rPr>
            </w:pPr>
            <w:r>
              <w:rPr>
                <w:rFonts w:hint="eastAsia" w:ascii="Times New Roman"/>
                <w:color w:val="000000" w:themeColor="text1"/>
                <w:sz w:val="18"/>
                <w:szCs w:val="18"/>
                <w:lang w:val="en-US" w:eastAsia="zh-CN"/>
                <w14:textFill>
                  <w14:solidFill>
                    <w14:schemeClr w14:val="tx1"/>
                  </w14:solidFill>
                </w14:textFill>
              </w:rPr>
              <w:t>本项目用水量为512.34t/d</w:t>
            </w:r>
            <w:r>
              <w:rPr>
                <w:rFonts w:hint="eastAsia" w:ascii="Times New Roman"/>
                <w:color w:val="000000" w:themeColor="text1"/>
                <w:sz w:val="18"/>
                <w:szCs w:val="18"/>
                <w14:textFill>
                  <w14:solidFill>
                    <w14:schemeClr w14:val="tx1"/>
                  </w14:solidFill>
                </w14:textFill>
              </w:rPr>
              <w:t>，本规划</w:t>
            </w:r>
            <w:r>
              <w:rPr>
                <w:rFonts w:ascii="Times New Roman"/>
                <w:color w:val="000000" w:themeColor="text1"/>
                <w:sz w:val="18"/>
                <w:szCs w:val="18"/>
                <w14:textFill>
                  <w14:solidFill>
                    <w14:schemeClr w14:val="tx1"/>
                  </w14:solidFill>
                </w14:textFill>
              </w:rPr>
              <w:t>未突破水资源利用上线。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00" w:type="pct"/>
            <w:gridSpan w:val="3"/>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土地资源利用上线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管控单元类别</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color w:val="000000" w:themeColor="text1"/>
                <w:sz w:val="18"/>
                <w:szCs w:val="18"/>
                <w14:textFill>
                  <w14:solidFill>
                    <w14:schemeClr w14:val="tx1"/>
                  </w14:solidFill>
                </w14:textFill>
              </w:rPr>
            </w:pPr>
            <w:r>
              <w:rPr>
                <w:rFonts w:ascii="Times New Roman"/>
                <w:color w:val="000000" w:themeColor="text1"/>
                <w:sz w:val="18"/>
                <w:szCs w:val="18"/>
                <w14:textFill>
                  <w14:solidFill>
                    <w14:schemeClr w14:val="tx1"/>
                  </w14:solidFill>
                </w14:textFill>
              </w:rPr>
              <w:t>一般管控单元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管控要求</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color w:val="000000" w:themeColor="text1"/>
                <w:sz w:val="18"/>
                <w:szCs w:val="18"/>
                <w14:textFill>
                  <w14:solidFill>
                    <w14:schemeClr w14:val="tx1"/>
                  </w14:solidFill>
                </w14:textFill>
              </w:rPr>
            </w:pPr>
            <w:r>
              <w:rPr>
                <w:rFonts w:ascii="Times New Roman"/>
                <w:color w:val="000000" w:themeColor="text1"/>
                <w:sz w:val="18"/>
                <w:szCs w:val="18"/>
                <w14:textFill>
                  <w14:solidFill>
                    <w14:schemeClr w14:val="tx1"/>
                  </w14:solidFill>
                </w14:textFill>
              </w:rPr>
              <w:t>针对土地资源一般管控区，坚持最严格的节约用地制度，提高土地利用节约集约水平。优化建设用地布局，严格划定城市开发边界，统筹区域发展、统筹城乡发展，统筹安排生产、生活、生态用地，引导形成合理的空间开发格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项目符合性分析</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color w:val="000000" w:themeColor="text1"/>
                <w:sz w:val="18"/>
                <w:szCs w:val="18"/>
                <w14:textFill>
                  <w14:solidFill>
                    <w14:schemeClr w14:val="tx1"/>
                  </w14:solidFill>
                </w14:textFill>
              </w:rPr>
            </w:pPr>
            <w:r>
              <w:rPr>
                <w:rFonts w:hint="eastAsia" w:ascii="Times New Roman"/>
                <w:color w:val="000000" w:themeColor="text1"/>
                <w:sz w:val="18"/>
                <w:szCs w:val="18"/>
                <w:lang w:val="en-US" w:eastAsia="zh-CN"/>
                <w14:textFill>
                  <w14:solidFill>
                    <w14:schemeClr w14:val="tx1"/>
                  </w14:solidFill>
                </w14:textFill>
              </w:rPr>
              <w:t>本项目</w:t>
            </w:r>
            <w:r>
              <w:rPr>
                <w:rFonts w:ascii="Times New Roman"/>
                <w:color w:val="000000" w:themeColor="text1"/>
                <w:sz w:val="18"/>
                <w:szCs w:val="18"/>
                <w14:textFill>
                  <w14:solidFill>
                    <w14:schemeClr w14:val="tx1"/>
                  </w14:solidFill>
                </w14:textFill>
              </w:rPr>
              <w:t>用地规模</w:t>
            </w:r>
            <w:r>
              <w:rPr>
                <w:rFonts w:hint="eastAsia" w:ascii="Times New Roman" w:hAnsi="Times New Roman" w:cs="Times New Roman" w:eastAsiaTheme="minorEastAsia"/>
                <w:color w:val="000000" w:themeColor="text1"/>
                <w:sz w:val="18"/>
                <w:szCs w:val="18"/>
                <w:lang w:val="en-US"/>
                <w14:textFill>
                  <w14:solidFill>
                    <w14:schemeClr w14:val="tx1"/>
                  </w14:solidFill>
                </w14:textFill>
              </w:rPr>
              <w:t>74880</w:t>
            </w:r>
            <w:r>
              <w:rPr>
                <w:rFonts w:ascii="Times New Roman"/>
                <w:color w:val="000000" w:themeColor="text1"/>
                <w:sz w:val="18"/>
                <w:szCs w:val="18"/>
                <w14:textFill>
                  <w14:solidFill>
                    <w14:schemeClr w14:val="tx1"/>
                  </w14:solidFill>
                </w14:textFill>
              </w:rPr>
              <w:t>m</w:t>
            </w:r>
            <w:r>
              <w:rPr>
                <w:rFonts w:ascii="Times New Roman"/>
                <w:color w:val="000000" w:themeColor="text1"/>
                <w:sz w:val="18"/>
                <w:szCs w:val="18"/>
                <w:vertAlign w:val="superscript"/>
                <w14:textFill>
                  <w14:solidFill>
                    <w14:schemeClr w14:val="tx1"/>
                  </w14:solidFill>
                </w14:textFill>
              </w:rPr>
              <w:t>2</w:t>
            </w:r>
            <w:r>
              <w:rPr>
                <w:rFonts w:hint="eastAsia" w:ascii="Times New Roman"/>
                <w:color w:val="000000" w:themeColor="text1"/>
                <w:sz w:val="18"/>
                <w:szCs w:val="18"/>
                <w:vertAlign w:val="baseline"/>
                <w:lang w:val="en-US" w:eastAsia="zh-CN"/>
                <w14:textFill>
                  <w14:solidFill>
                    <w14:schemeClr w14:val="tx1"/>
                  </w14:solidFill>
                </w14:textFill>
              </w:rPr>
              <w:t>位于原有厂区范围内，不新增占地，</w:t>
            </w:r>
            <w:r>
              <w:rPr>
                <w:rFonts w:ascii="Times New Roman"/>
                <w:color w:val="000000" w:themeColor="text1"/>
                <w:sz w:val="18"/>
                <w:szCs w:val="18"/>
                <w14:textFill>
                  <w14:solidFill>
                    <w14:schemeClr w14:val="tx1"/>
                  </w14:solidFill>
                </w14:textFill>
              </w:rPr>
              <w:t>均在</w:t>
            </w:r>
            <w:r>
              <w:rPr>
                <w:rFonts w:hint="eastAsia" w:ascii="Times New Roman"/>
                <w:color w:val="000000" w:themeColor="text1"/>
                <w:sz w:val="18"/>
                <w:szCs w:val="18"/>
                <w14:textFill>
                  <w14:solidFill>
                    <w14:schemeClr w14:val="tx1"/>
                  </w14:solidFill>
                </w14:textFill>
              </w:rPr>
              <w:t>双鸭山市</w:t>
            </w:r>
            <w:r>
              <w:rPr>
                <w:rFonts w:ascii="Times New Roman"/>
                <w:color w:val="000000" w:themeColor="text1"/>
                <w:sz w:val="18"/>
                <w:szCs w:val="18"/>
                <w14:textFill>
                  <w14:solidFill>
                    <w14:schemeClr w14:val="tx1"/>
                  </w14:solidFill>
                </w14:textFill>
              </w:rPr>
              <w:t>土地利用总体规划允许建设区内，因此未突破</w:t>
            </w:r>
            <w:r>
              <w:rPr>
                <w:rFonts w:hint="eastAsia" w:ascii="Times New Roman"/>
                <w:color w:val="000000" w:themeColor="text1"/>
                <w:sz w:val="18"/>
                <w:szCs w:val="18"/>
                <w14:textFill>
                  <w14:solidFill>
                    <w14:schemeClr w14:val="tx1"/>
                  </w14:solidFill>
                </w14:textFill>
              </w:rPr>
              <w:t>双鸭山</w:t>
            </w:r>
            <w:r>
              <w:rPr>
                <w:rFonts w:ascii="Times New Roman"/>
                <w:color w:val="000000" w:themeColor="text1"/>
                <w:sz w:val="18"/>
                <w:szCs w:val="18"/>
                <w14:textFill>
                  <w14:solidFill>
                    <w14:schemeClr w14:val="tx1"/>
                  </w14:solidFill>
                </w14:textFill>
              </w:rPr>
              <w:t>市土地资源利用上线。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5000" w:type="pct"/>
            <w:gridSpan w:val="3"/>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四、环境准入清单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环境管控单元名称</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hAnsi="宋体" w:eastAsia="宋体" w:cs="宋体"/>
                <w:color w:val="000000" w:themeColor="text1"/>
                <w:sz w:val="18"/>
                <w:szCs w:val="18"/>
                <w14:textFill>
                  <w14:solidFill>
                    <w14:schemeClr w14:val="tx1"/>
                  </w14:solidFill>
                </w14:textFill>
              </w:rPr>
            </w:pPr>
            <w:r>
              <w:rPr>
                <w:rFonts w:hint="eastAsia" w:ascii="Times New Roman" w:hAnsi="宋体" w:eastAsia="宋体" w:cs="宋体"/>
                <w:color w:val="000000" w:themeColor="text1"/>
                <w:sz w:val="18"/>
                <w:szCs w:val="18"/>
                <w:lang w:val="en-US" w:eastAsia="zh-CN"/>
                <w14:textFill>
                  <w14:solidFill>
                    <w14:schemeClr w14:val="tx1"/>
                  </w14:solidFill>
                </w14:textFill>
              </w:rPr>
              <w:t>友谊县城镇空间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环境管控单元编码</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hint="eastAsia" w:ascii="Times New Roman" w:hAnsi="宋体" w:eastAsia="宋体" w:cs="宋体"/>
                <w:color w:val="000000" w:themeColor="text1"/>
                <w:sz w:val="18"/>
                <w:szCs w:val="18"/>
                <w:lang w:val="en-US" w:eastAsia="zh-CN"/>
                <w14:textFill>
                  <w14:solidFill>
                    <w14:schemeClr w14:val="tx1"/>
                  </w14:solidFill>
                </w14:textFill>
              </w:rPr>
            </w:pPr>
            <w:r>
              <w:rPr>
                <w:rFonts w:hint="eastAsia" w:ascii="Times New Roman" w:hAnsi="宋体" w:eastAsia="宋体" w:cs="宋体"/>
                <w:color w:val="000000" w:themeColor="text1"/>
                <w:sz w:val="18"/>
                <w:szCs w:val="18"/>
                <w:lang w:val="en-US" w:eastAsia="zh-CN"/>
                <w14:textFill>
                  <w14:solidFill>
                    <w14:schemeClr w14:val="tx1"/>
                  </w14:solidFill>
                </w14:textFill>
              </w:rPr>
              <w:t xml:space="preserve">ZH23052220003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管控单元类别</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color w:val="000000" w:themeColor="text1"/>
                <w:sz w:val="18"/>
                <w:szCs w:val="18"/>
                <w14:textFill>
                  <w14:solidFill>
                    <w14:schemeClr w14:val="tx1"/>
                  </w14:solidFill>
                </w14:textFill>
              </w:rPr>
            </w:pPr>
            <w:r>
              <w:rPr>
                <w:rFonts w:ascii="Times New Roman"/>
                <w:color w:val="000000" w:themeColor="text1"/>
                <w:sz w:val="18"/>
                <w:szCs w:val="18"/>
                <w14:textFill>
                  <w14:solidFill>
                    <w14:schemeClr w14:val="tx1"/>
                  </w14:solidFill>
                </w14:textFill>
              </w:rPr>
              <w:t>重点管控单元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941"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管控要求</w:t>
            </w:r>
          </w:p>
        </w:tc>
        <w:tc>
          <w:tcPr>
            <w:tcW w:w="2058"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项目符合性分析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空间布局约束</w:t>
            </w:r>
          </w:p>
        </w:tc>
        <w:tc>
          <w:tcPr>
            <w:tcW w:w="2385"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hAnsi="宋体" w:eastAsia="宋体" w:cs="宋体"/>
                <w:color w:val="000000" w:themeColor="text1"/>
                <w:sz w:val="18"/>
                <w:szCs w:val="18"/>
                <w14:textFill>
                  <w14:solidFill>
                    <w14:schemeClr w14:val="tx1"/>
                  </w14:solidFill>
                </w14:textFill>
              </w:rPr>
            </w:pPr>
            <w:r>
              <w:rPr>
                <w:rFonts w:ascii="Times New Roman" w:hAnsi="宋体" w:eastAsia="宋体" w:cs="宋体"/>
                <w:color w:val="000000" w:themeColor="text1"/>
                <w:sz w:val="18"/>
                <w:szCs w:val="18"/>
                <w14:textFill>
                  <w14:solidFill>
                    <w14:schemeClr w14:val="tx1"/>
                  </w14:solidFill>
                </w14:textFill>
              </w:rPr>
              <w:t>一、执行下列准入要求。</w:t>
            </w:r>
          </w:p>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hAnsi="宋体" w:eastAsia="宋体" w:cs="宋体"/>
                <w:color w:val="000000" w:themeColor="text1"/>
                <w:sz w:val="18"/>
                <w:szCs w:val="18"/>
                <w14:textFill>
                  <w14:solidFill>
                    <w14:schemeClr w14:val="tx1"/>
                  </w14:solidFill>
                </w14:textFill>
              </w:rPr>
            </w:pPr>
            <w:r>
              <w:rPr>
                <w:rFonts w:hint="eastAsia" w:ascii="Times New Roman" w:hAnsi="宋体" w:eastAsia="宋体" w:cs="宋体"/>
                <w:color w:val="000000" w:themeColor="text1"/>
                <w:sz w:val="18"/>
                <w:szCs w:val="18"/>
                <w:lang w:val="en-US" w:eastAsia="zh-CN"/>
                <w14:textFill>
                  <w14:solidFill>
                    <w14:schemeClr w14:val="tx1"/>
                  </w14:solidFill>
                </w14:textFill>
              </w:rPr>
              <w:t>执行“1.严禁在人口密集区新建危险化学品生产项目，城镇人口密集区危险化学品生产企业应搬迁改造。2.禁止在城镇居民区、文化教育科学研究区等人口集中区域建设畜禽养殖场、养殖小区。”</w:t>
            </w:r>
          </w:p>
        </w:tc>
        <w:tc>
          <w:tcPr>
            <w:tcW w:w="2058" w:type="pct"/>
            <w:tcBorders>
              <w:tl2br w:val="nil"/>
              <w:tr2bl w:val="nil"/>
            </w:tcBorders>
            <w:vAlign w:val="center"/>
          </w:tcPr>
          <w:p>
            <w:pPr>
              <w:spacing w:line="240" w:lineRule="auto"/>
              <w:ind w:firstLine="0" w:firstLineChars="0"/>
              <w:rPr>
                <w:rFonts w:ascii="Times New Roman"/>
                <w:color w:val="000000" w:themeColor="text1"/>
                <w:sz w:val="18"/>
                <w:szCs w:val="18"/>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为集中供热项目，不属于新建、改扩建危险化学品生产项目，不属于畜禽养殖场、养殖小区</w:t>
            </w:r>
            <w:r>
              <w:rPr>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1"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污染物排放管控</w:t>
            </w:r>
          </w:p>
        </w:tc>
        <w:tc>
          <w:tcPr>
            <w:tcW w:w="2385"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hAnsi="宋体" w:eastAsia="宋体" w:cs="宋体"/>
                <w:color w:val="000000" w:themeColor="text1"/>
                <w:sz w:val="18"/>
                <w:szCs w:val="18"/>
                <w14:textFill>
                  <w14:solidFill>
                    <w14:schemeClr w14:val="tx1"/>
                  </w14:solidFill>
                </w14:textFill>
              </w:rPr>
            </w:pPr>
            <w:r>
              <w:rPr>
                <w:rFonts w:hint="eastAsia" w:ascii="Times New Roman" w:hAnsi="宋体" w:eastAsia="宋体" w:cs="宋体"/>
                <w:color w:val="000000" w:themeColor="text1"/>
                <w:sz w:val="18"/>
                <w:szCs w:val="18"/>
                <w:lang w:val="en-US" w:eastAsia="zh-CN"/>
                <w14:textFill>
                  <w14:solidFill>
                    <w14:schemeClr w14:val="tx1"/>
                  </w14:solidFill>
                </w14:textFill>
              </w:rPr>
              <w:t xml:space="preserve">执行“加快 65t／h 以上燃煤锅炉（含电力）超低排放改造。” </w:t>
            </w:r>
          </w:p>
        </w:tc>
        <w:tc>
          <w:tcPr>
            <w:tcW w:w="2058" w:type="pct"/>
            <w:tcBorders>
              <w:tl2br w:val="nil"/>
              <w:tr2bl w:val="nil"/>
            </w:tcBorders>
            <w:vAlign w:val="center"/>
          </w:tcPr>
          <w:p>
            <w:pPr>
              <w:spacing w:line="240" w:lineRule="auto"/>
              <w:ind w:firstLine="0" w:firstLineChars="0"/>
              <w:rPr>
                <w:color w:val="000000" w:themeColor="text1"/>
                <w14:textFill>
                  <w14:solidFill>
                    <w14:schemeClr w14:val="tx1"/>
                  </w14:solidFill>
                </w14:textFill>
              </w:rPr>
            </w:pPr>
            <w:r>
              <w:rPr>
                <w:rFonts w:hint="eastAsia"/>
                <w:color w:val="000000" w:themeColor="text1"/>
                <w14:textFill>
                  <w14:solidFill>
                    <w14:schemeClr w14:val="tx1"/>
                  </w14:solidFill>
                </w14:textFill>
              </w:rPr>
              <w:t>2022年，中央环保督查要求对现有锅炉实行超低排放改造。对现有2台70MW热水锅炉脱硫设备进行改造，同时将现有除尘设备更换为两台布袋式除尘。</w:t>
            </w:r>
          </w:p>
          <w:p>
            <w:pPr>
              <w:spacing w:line="240" w:lineRule="auto"/>
              <w:ind w:firstLine="0" w:firstLineChars="0"/>
              <w:rPr>
                <w:rFonts w:ascii="Times New Roman"/>
                <w:color w:val="000000" w:themeColor="text1"/>
                <w:sz w:val="18"/>
                <w:szCs w:val="18"/>
                <w14:textFill>
                  <w14:solidFill>
                    <w14:schemeClr w14:val="tx1"/>
                  </w14:solidFill>
                </w14:textFill>
              </w:rPr>
            </w:pPr>
            <w:r>
              <w:rPr>
                <w:rFonts w:hint="eastAsia"/>
                <w:color w:val="000000" w:themeColor="text1"/>
                <w14:textFill>
                  <w14:solidFill>
                    <w14:schemeClr w14:val="tx1"/>
                  </w14:solidFill>
                </w14:textFill>
              </w:rPr>
              <w:t>但是，由于工程技术原因，现有2台70MW热水锅炉无法完成脱硝技术改造。为了完成中央环保督查的整改要求，黑龙江农泉兴隆热力有限公司决定将现有2台70MW热水锅炉淘汰，并新建1台70MW热水锅炉，新建锅炉执行超低排放限值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6"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环境风险防控</w:t>
            </w:r>
          </w:p>
        </w:tc>
        <w:tc>
          <w:tcPr>
            <w:tcW w:w="2385"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hAnsi="宋体" w:eastAsia="宋体" w:cs="宋体"/>
                <w:color w:val="000000" w:themeColor="text1"/>
                <w:sz w:val="18"/>
                <w:szCs w:val="18"/>
                <w14:textFill>
                  <w14:solidFill>
                    <w14:schemeClr w14:val="tx1"/>
                  </w14:solidFill>
                </w14:textFill>
              </w:rPr>
            </w:pPr>
            <w:r>
              <w:rPr>
                <w:rFonts w:hint="eastAsia" w:ascii="Times New Roman" w:hAnsi="宋体" w:eastAsia="宋体" w:cs="宋体"/>
                <w:color w:val="000000" w:themeColor="text1"/>
                <w:sz w:val="18"/>
                <w:szCs w:val="18"/>
                <w:lang w:val="en-US" w:eastAsia="zh-CN"/>
                <w14:textFill>
                  <w14:solidFill>
                    <w14:schemeClr w14:val="tx1"/>
                  </w14:solidFill>
                </w14:textFill>
              </w:rPr>
              <w:t xml:space="preserve">执行“化工园区与城市建成区、人员密集场所、重要设施、敏感目标等应当保持规定的安全 </w:t>
            </w:r>
          </w:p>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hAnsi="宋体" w:eastAsia="宋体" w:cs="宋体"/>
                <w:color w:val="000000" w:themeColor="text1"/>
                <w:sz w:val="18"/>
                <w:szCs w:val="18"/>
                <w14:textFill>
                  <w14:solidFill>
                    <w14:schemeClr w14:val="tx1"/>
                  </w14:solidFill>
                </w14:textFill>
              </w:rPr>
            </w:pPr>
            <w:r>
              <w:rPr>
                <w:rFonts w:hint="eastAsia" w:ascii="Times New Roman" w:hAnsi="宋体" w:eastAsia="宋体" w:cs="宋体"/>
                <w:color w:val="000000" w:themeColor="text1"/>
                <w:sz w:val="18"/>
                <w:szCs w:val="18"/>
                <w:lang w:val="en-US" w:eastAsia="zh-CN"/>
                <w14:textFill>
                  <w14:solidFill>
                    <w14:schemeClr w14:val="tx1"/>
                  </w14:solidFill>
                </w14:textFill>
              </w:rPr>
              <w:t xml:space="preserve">距离，相对封闭，不应保留常住居民，非关联企业和产业要逐步搬迁或退出，妥善防范化解 </w:t>
            </w:r>
          </w:p>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hAnsi="宋体" w:eastAsia="宋体" w:cs="宋体"/>
                <w:color w:val="000000" w:themeColor="text1"/>
                <w:sz w:val="18"/>
                <w:szCs w:val="18"/>
                <w14:textFill>
                  <w14:solidFill>
                    <w14:schemeClr w14:val="tx1"/>
                  </w14:solidFill>
                </w14:textFill>
              </w:rPr>
            </w:pPr>
            <w:r>
              <w:rPr>
                <w:rFonts w:hint="eastAsia" w:ascii="Times New Roman" w:hAnsi="宋体" w:eastAsia="宋体" w:cs="宋体"/>
                <w:color w:val="000000" w:themeColor="text1"/>
                <w:sz w:val="18"/>
                <w:szCs w:val="18"/>
                <w:lang w:val="en-US" w:eastAsia="zh-CN"/>
                <w14:textFill>
                  <w14:solidFill>
                    <w14:schemeClr w14:val="tx1"/>
                  </w14:solidFill>
                </w14:textFill>
              </w:rPr>
              <w:t xml:space="preserve">“邻避”问题。严禁在松花江干流及一级支流沿岸 1 公里范围内布局化工园区。” </w:t>
            </w:r>
          </w:p>
        </w:tc>
        <w:tc>
          <w:tcPr>
            <w:tcW w:w="2058" w:type="pct"/>
            <w:tcBorders>
              <w:tl2br w:val="nil"/>
              <w:tr2bl w:val="nil"/>
            </w:tcBorders>
            <w:vAlign w:val="center"/>
          </w:tcPr>
          <w:p>
            <w:pPr>
              <w:spacing w:line="240" w:lineRule="auto"/>
              <w:ind w:firstLine="0" w:firstLineChars="0"/>
              <w:rPr>
                <w:rFonts w:ascii="Times New Roman"/>
                <w:color w:val="000000" w:themeColor="text1"/>
                <w:sz w:val="18"/>
                <w:szCs w:val="18"/>
                <w14:textFill>
                  <w14:solidFill>
                    <w14:schemeClr w14:val="tx1"/>
                  </w14:solidFill>
                </w14:textFill>
              </w:rPr>
            </w:pPr>
            <w:r>
              <w:rPr>
                <w:rFonts w:hint="eastAsia"/>
                <w:color w:val="000000" w:themeColor="text1"/>
                <w14:textFill>
                  <w14:solidFill>
                    <w14:schemeClr w14:val="tx1"/>
                  </w14:solidFill>
                </w14:textFill>
              </w:rPr>
              <w:t>本项目不位于化工园区，不涉及土壤污染风险及污染地块。本项目选址不位于</w:t>
            </w:r>
            <w:r>
              <w:rPr>
                <w:color w:val="000000" w:themeColor="text1"/>
                <w14:textFill>
                  <w14:solidFill>
                    <w14:schemeClr w14:val="tx1"/>
                  </w14:solidFill>
                </w14:textFill>
              </w:rPr>
              <w:t>松花江干流及一级支流沿岸1公里范围内</w:t>
            </w:r>
            <w:r>
              <w:rPr>
                <w:rFonts w:hint="eastAsia"/>
                <w:color w:val="000000" w:themeColor="text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556" w:type="pct"/>
            <w:tcBorders>
              <w:tl2br w:val="nil"/>
              <w:tr2bl w:val="nil"/>
            </w:tcBorders>
            <w:vAlign w:val="center"/>
          </w:tcPr>
          <w:p>
            <w:pPr>
              <w:keepNext w:val="0"/>
              <w:keepLines w:val="0"/>
              <w:pageBreakBefore w:val="0"/>
              <w:widowControl/>
              <w:kinsoku/>
              <w:wordWrap/>
              <w:overflowPunct/>
              <w:topLinePunct w:val="0"/>
              <w:autoSpaceDE/>
              <w:autoSpaceDN/>
              <w:bidi w:val="0"/>
              <w:snapToGrid/>
              <w:spacing w:line="240" w:lineRule="atLeast"/>
              <w:ind w:firstLine="0" w:firstLineChars="0"/>
              <w:jc w:val="center"/>
              <w:rPr>
                <w:rFonts w:ascii="Times New Roman"/>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资源利用效率要求</w:t>
            </w:r>
          </w:p>
        </w:tc>
        <w:tc>
          <w:tcPr>
            <w:tcW w:w="2385"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hAnsi="宋体" w:eastAsia="宋体" w:cs="宋体"/>
                <w:color w:val="000000" w:themeColor="text1"/>
                <w:sz w:val="18"/>
                <w:szCs w:val="18"/>
                <w14:textFill>
                  <w14:solidFill>
                    <w14:schemeClr w14:val="tx1"/>
                  </w14:solidFill>
                </w14:textFill>
              </w:rPr>
            </w:pPr>
            <w:r>
              <w:rPr>
                <w:rFonts w:hint="eastAsia" w:ascii="Times New Roman" w:hAnsi="宋体" w:eastAsia="宋体" w:cs="宋体"/>
                <w:color w:val="000000" w:themeColor="text1"/>
                <w:sz w:val="18"/>
                <w:szCs w:val="18"/>
                <w:lang w:val="en-US" w:eastAsia="zh-CN"/>
                <w14:textFill>
                  <w14:solidFill>
                    <w14:schemeClr w14:val="tx1"/>
                  </w14:solidFill>
                </w14:textFill>
              </w:rPr>
              <w:t xml:space="preserve">执行“1.推进污水再生利用设施建设。2.公共建筑必须采用节水器具，限期淘汰公共建筑中 </w:t>
            </w:r>
          </w:p>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ascii="Times New Roman" w:hAnsi="宋体" w:eastAsia="宋体" w:cs="宋体"/>
                <w:color w:val="000000" w:themeColor="text1"/>
                <w:sz w:val="18"/>
                <w:szCs w:val="18"/>
                <w14:textFill>
                  <w14:solidFill>
                    <w14:schemeClr w14:val="tx1"/>
                  </w14:solidFill>
                </w14:textFill>
              </w:rPr>
            </w:pPr>
            <w:r>
              <w:rPr>
                <w:rFonts w:hint="eastAsia" w:ascii="Times New Roman" w:hAnsi="宋体" w:eastAsia="宋体" w:cs="宋体"/>
                <w:color w:val="000000" w:themeColor="text1"/>
                <w:sz w:val="18"/>
                <w:szCs w:val="18"/>
                <w:lang w:val="en-US" w:eastAsia="zh-CN"/>
                <w14:textFill>
                  <w14:solidFill>
                    <w14:schemeClr w14:val="tx1"/>
                  </w14:solidFill>
                </w14:textFill>
              </w:rPr>
              <w:t xml:space="preserve">不符合节水标准的水嘴、便器水箱等生活用水器具。” </w:t>
            </w:r>
          </w:p>
        </w:tc>
        <w:tc>
          <w:tcPr>
            <w:tcW w:w="2058" w:type="pct"/>
            <w:tcBorders>
              <w:tl2br w:val="nil"/>
              <w:tr2bl w:val="nil"/>
            </w:tcBorders>
            <w:vAlign w:val="center"/>
          </w:tcPr>
          <w:p>
            <w:pPr>
              <w:spacing w:line="240" w:lineRule="auto"/>
              <w:ind w:firstLine="0" w:firstLineChars="0"/>
              <w:rPr>
                <w:rFonts w:ascii="Times New Roman"/>
                <w:color w:val="000000" w:themeColor="text1"/>
                <w:sz w:val="18"/>
                <w:szCs w:val="18"/>
                <w14:textFill>
                  <w14:solidFill>
                    <w14:schemeClr w14:val="tx1"/>
                  </w14:solidFill>
                </w14:textFill>
              </w:rPr>
            </w:pPr>
            <w:r>
              <w:rPr>
                <w:color w:val="000000" w:themeColor="text1"/>
                <w14:textFill>
                  <w14:solidFill>
                    <w14:schemeClr w14:val="tx1"/>
                  </w14:solidFill>
                </w14:textFill>
              </w:rPr>
              <w:t>本项目工艺用水依托厂区原有供水设施。</w:t>
            </w:r>
            <w:r>
              <w:rPr>
                <w:rFonts w:hint="eastAsia"/>
                <w:color w:val="000000" w:themeColor="text1"/>
                <w14:textFill>
                  <w14:solidFill>
                    <w14:schemeClr w14:val="tx1"/>
                  </w14:solidFill>
                </w14:textFill>
              </w:rPr>
              <w:t>本项目不新增劳动定员，无新增生活用水。采用节水器具，废水循环利用率高。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环境管控单元名称</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color w:val="000000" w:themeColor="text1"/>
                <w14:textFill>
                  <w14:solidFill>
                    <w14:schemeClr w14:val="tx1"/>
                  </w14:solidFill>
                </w14:textFill>
              </w:rPr>
            </w:pPr>
            <w:r>
              <w:rPr>
                <w:rFonts w:hint="eastAsia" w:ascii="Times New Roman" w:hAnsi="宋体" w:eastAsia="宋体" w:cs="宋体"/>
                <w:color w:val="000000" w:themeColor="text1"/>
                <w:sz w:val="18"/>
                <w:szCs w:val="18"/>
                <w:lang w:val="en-US" w:eastAsia="zh-CN"/>
                <w14:textFill>
                  <w14:solidFill>
                    <w14:schemeClr w14:val="tx1"/>
                  </w14:solidFill>
                </w14:textFill>
              </w:rPr>
              <w:t>友谊县其他区域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环境管控单元编码</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color w:val="000000" w:themeColor="text1"/>
                <w14:textFill>
                  <w14:solidFill>
                    <w14:schemeClr w14:val="tx1"/>
                  </w14:solidFill>
                </w14:textFill>
              </w:rPr>
            </w:pPr>
            <w:r>
              <w:rPr>
                <w:rFonts w:hint="eastAsia" w:ascii="Times New Roman" w:hAnsi="宋体" w:eastAsia="宋体" w:cs="宋体"/>
                <w:color w:val="000000" w:themeColor="text1"/>
                <w:sz w:val="18"/>
                <w:szCs w:val="18"/>
                <w:lang w:val="en-US" w:eastAsia="zh-CN"/>
                <w14:textFill>
                  <w14:solidFill>
                    <w14:schemeClr w14:val="tx1"/>
                  </w14:solidFill>
                </w14:textFill>
              </w:rPr>
              <w:t xml:space="preserve">ZH23052220002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556"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jc w:val="center"/>
              <w:textAlignment w:val="baseline"/>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管控单元类别</w:t>
            </w:r>
          </w:p>
        </w:tc>
        <w:tc>
          <w:tcPr>
            <w:tcW w:w="4443" w:type="pct"/>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color w:val="000000" w:themeColor="text1"/>
                <w14:textFill>
                  <w14:solidFill>
                    <w14:schemeClr w14:val="tx1"/>
                  </w14:solidFill>
                </w14:textFill>
              </w:rPr>
            </w:pPr>
            <w:r>
              <w:rPr>
                <w:rFonts w:hint="eastAsia" w:ascii="Times New Roman"/>
                <w:color w:val="000000" w:themeColor="text1"/>
                <w:sz w:val="18"/>
                <w:szCs w:val="18"/>
                <w:lang w:val="en-US" w:eastAsia="zh-CN"/>
                <w14:textFill>
                  <w14:solidFill>
                    <w14:schemeClr w14:val="tx1"/>
                  </w14:solidFill>
                </w14:textFill>
              </w:rPr>
              <w:t>一般</w:t>
            </w:r>
            <w:r>
              <w:rPr>
                <w:rFonts w:ascii="Times New Roman"/>
                <w:color w:val="000000" w:themeColor="text1"/>
                <w:sz w:val="18"/>
                <w:szCs w:val="18"/>
                <w14:textFill>
                  <w14:solidFill>
                    <w14:schemeClr w14:val="tx1"/>
                  </w14:solidFill>
                </w14:textFill>
              </w:rPr>
              <w:t>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5013" w:type="dxa"/>
            <w:gridSpan w:val="2"/>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hint="eastAsia" w:ascii="Times New Roman" w:hAnsi="宋体" w:eastAsia="宋体" w:cs="宋体"/>
                <w:color w:val="000000" w:themeColor="text1"/>
                <w:sz w:val="18"/>
                <w:szCs w:val="18"/>
                <w:lang w:val="en-US" w:eastAsia="zh-CN"/>
                <w14:textFill>
                  <w14:solidFill>
                    <w14:schemeClr w14:val="tx1"/>
                  </w14:solidFill>
                </w14:textFill>
              </w:rPr>
            </w:pPr>
            <w:r>
              <w:rPr>
                <w:rFonts w:ascii="Times New Roman"/>
                <w:b/>
                <w:bCs/>
                <w:color w:val="000000" w:themeColor="text1"/>
                <w:sz w:val="18"/>
                <w:szCs w:val="18"/>
                <w14:textFill>
                  <w14:solidFill>
                    <w14:schemeClr w14:val="tx1"/>
                  </w14:solidFill>
                </w14:textFill>
              </w:rPr>
              <w:t>管控要求</w:t>
            </w:r>
          </w:p>
        </w:tc>
        <w:tc>
          <w:tcPr>
            <w:tcW w:w="3509" w:type="dxa"/>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color w:val="000000" w:themeColor="text1"/>
                <w14:textFill>
                  <w14:solidFill>
                    <w14:schemeClr w14:val="tx1"/>
                  </w14:solidFill>
                </w14:textFill>
              </w:rPr>
            </w:pPr>
            <w:r>
              <w:rPr>
                <w:rFonts w:ascii="Times New Roman"/>
                <w:b/>
                <w:bCs/>
                <w:color w:val="000000" w:themeColor="text1"/>
                <w:sz w:val="18"/>
                <w:szCs w:val="18"/>
                <w14:textFill>
                  <w14:solidFill>
                    <w14:schemeClr w14:val="tx1"/>
                  </w14:solidFill>
                </w14:textFill>
              </w:rPr>
              <w:t>项目符合性分析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24" w:hRule="atLeast"/>
          <w:jc w:val="center"/>
        </w:trPr>
        <w:tc>
          <w:tcPr>
            <w:tcW w:w="556" w:type="pct"/>
            <w:tcBorders>
              <w:tl2br w:val="nil"/>
              <w:tr2bl w:val="nil"/>
            </w:tcBorders>
            <w:vAlign w:val="center"/>
          </w:tcPr>
          <w:p>
            <w:pPr>
              <w:keepNext w:val="0"/>
              <w:keepLines w:val="0"/>
              <w:pageBreakBefore w:val="0"/>
              <w:widowControl/>
              <w:kinsoku/>
              <w:wordWrap/>
              <w:overflowPunct/>
              <w:topLinePunct w:val="0"/>
              <w:autoSpaceDE/>
              <w:autoSpaceDN/>
              <w:bidi w:val="0"/>
              <w:snapToGrid/>
              <w:spacing w:line="240" w:lineRule="atLeast"/>
              <w:ind w:firstLine="0" w:firstLineChars="0"/>
              <w:jc w:val="center"/>
              <w:rPr>
                <w:rFonts w:ascii="Times New Roman"/>
                <w:b/>
                <w:bCs/>
                <w:color w:val="000000" w:themeColor="text1"/>
                <w:sz w:val="18"/>
                <w:szCs w:val="18"/>
                <w14:textFill>
                  <w14:solidFill>
                    <w14:schemeClr w14:val="tx1"/>
                  </w14:solidFill>
                </w14:textFill>
              </w:rPr>
            </w:pPr>
            <w:r>
              <w:rPr>
                <w:rFonts w:ascii="Times New Roman"/>
                <w:b/>
                <w:bCs/>
                <w:color w:val="000000" w:themeColor="text1"/>
                <w:sz w:val="18"/>
                <w:szCs w:val="18"/>
                <w14:textFill>
                  <w14:solidFill>
                    <w14:schemeClr w14:val="tx1"/>
                  </w14:solidFill>
                </w14:textFill>
              </w:rPr>
              <w:t>空间布局约束</w:t>
            </w:r>
          </w:p>
        </w:tc>
        <w:tc>
          <w:tcPr>
            <w:tcW w:w="2385" w:type="pct"/>
            <w:tcBorders>
              <w:tl2br w:val="nil"/>
              <w:tr2bl w:val="nil"/>
            </w:tcBorders>
            <w:vAlign w:val="center"/>
          </w:tcPr>
          <w:p>
            <w:pPr>
              <w:keepNext w:val="0"/>
              <w:keepLines w:val="0"/>
              <w:pageBreakBefore w:val="0"/>
              <w:kinsoku/>
              <w:wordWrap/>
              <w:overflowPunct/>
              <w:topLinePunct w:val="0"/>
              <w:autoSpaceDE/>
              <w:autoSpaceDN/>
              <w:bidi w:val="0"/>
              <w:adjustRightInd w:val="0"/>
              <w:snapToGrid/>
              <w:spacing w:line="240" w:lineRule="atLeast"/>
              <w:ind w:firstLine="0" w:firstLineChars="0"/>
              <w:textAlignment w:val="baseline"/>
              <w:rPr>
                <w:rFonts w:hint="eastAsia" w:ascii="Times New Roman" w:hAnsi="宋体" w:eastAsia="宋体" w:cs="宋体"/>
                <w:color w:val="000000" w:themeColor="text1"/>
                <w:sz w:val="18"/>
                <w:szCs w:val="18"/>
                <w:lang w:val="en-US" w:eastAsia="zh-CN"/>
                <w14:textFill>
                  <w14:solidFill>
                    <w14:schemeClr w14:val="tx1"/>
                  </w14:solidFill>
                </w14:textFill>
              </w:rPr>
            </w:pPr>
            <w:r>
              <w:rPr>
                <w:rFonts w:hint="eastAsia" w:ascii="Times New Roman" w:hAnsi="宋体" w:eastAsia="宋体" w:cs="宋体"/>
                <w:color w:val="000000" w:themeColor="text1"/>
                <w:sz w:val="18"/>
                <w:szCs w:val="18"/>
                <w:lang w:val="en-US" w:eastAsia="zh-CN"/>
                <w14:textFill>
                  <w14:solidFill>
                    <w14:schemeClr w14:val="tx1"/>
                  </w14:solidFill>
                </w14:textFill>
              </w:rPr>
              <w:t xml:space="preserve">1.引导工业项目向开发区集中，促进产业集聚、资源集约、绿色发展。 2.强化节能环保标 准约束，严格行业规范、准入管理和节能审查，对电力、钢铁、建材、有色、化工、石油石 化、船舶、煤炭、印染、造纸、制革、染料、焦化、电镀等行业中，环保、能耗、安全等不 达标或生产、使用淘汰类产品的企业和产能，要依法依规有序退出。 </w:t>
            </w:r>
          </w:p>
        </w:tc>
        <w:tc>
          <w:tcPr>
            <w:tcW w:w="2058" w:type="pct"/>
            <w:tcBorders>
              <w:tl2br w:val="nil"/>
              <w:tr2bl w:val="nil"/>
            </w:tcBorders>
            <w:vAlign w:val="center"/>
          </w:tcPr>
          <w:p>
            <w:pPr>
              <w:spacing w:line="240" w:lineRule="auto"/>
              <w:ind w:firstLine="0" w:firstLineChars="0"/>
              <w:rPr>
                <w:color w:val="000000" w:themeColor="text1"/>
                <w14:textFill>
                  <w14:solidFill>
                    <w14:schemeClr w14:val="tx1"/>
                  </w14:solidFill>
                </w14:textFill>
              </w:rPr>
            </w:pPr>
            <w:r>
              <w:rPr>
                <w:color w:val="000000" w:themeColor="text1"/>
                <w14:textFill>
                  <w14:solidFill>
                    <w14:schemeClr w14:val="tx1"/>
                  </w14:solidFill>
                </w14:textFill>
              </w:rPr>
              <w:t>本项目</w:t>
            </w:r>
            <w:r>
              <w:rPr>
                <w:rFonts w:hint="eastAsia"/>
                <w:color w:val="000000" w:themeColor="text1"/>
                <w14:textFill>
                  <w14:solidFill>
                    <w14:schemeClr w14:val="tx1"/>
                  </w14:solidFill>
                </w14:textFill>
              </w:rPr>
              <w:t>为集中供热项目，</w:t>
            </w:r>
            <w:r>
              <w:rPr>
                <w:rFonts w:hint="eastAsia"/>
                <w:color w:val="000000" w:themeColor="text1"/>
                <w:lang w:val="en-US" w:eastAsia="zh-CN"/>
                <w14:textFill>
                  <w14:solidFill>
                    <w14:schemeClr w14:val="tx1"/>
                  </w14:solidFill>
                </w14:textFill>
              </w:rPr>
              <w:t>不属于</w:t>
            </w:r>
            <w:r>
              <w:rPr>
                <w:rFonts w:hint="default" w:ascii="宋体" w:hAnsi="宋体" w:eastAsia="宋体" w:cs="宋体"/>
                <w:color w:val="000000" w:themeColor="text1"/>
                <w:lang w:val="zh-CN"/>
                <w14:textFill>
                  <w14:solidFill>
                    <w14:schemeClr w14:val="tx1"/>
                  </w14:solidFill>
                </w14:textFill>
              </w:rPr>
              <w:t>电力、钢铁、建材、有色、化工、石油石化、船舶、煤炭、印染、造纸、制革、染料、焦化、电镀等行业</w:t>
            </w:r>
            <w:r>
              <w:rPr>
                <w:rFonts w:ascii="Times New Roman"/>
                <w:color w:val="000000" w:themeColor="text1"/>
                <w:sz w:val="18"/>
                <w:szCs w:val="18"/>
                <w14:textFill>
                  <w14:solidFill>
                    <w14:schemeClr w14:val="tx1"/>
                  </w14:solidFill>
                </w14:textFill>
              </w:rPr>
              <w:t>。</w:t>
            </w:r>
          </w:p>
        </w:tc>
      </w:tr>
    </w:tbl>
    <w:p>
      <w:pPr>
        <w:pStyle w:val="26"/>
        <w:spacing w:line="500" w:lineRule="exact"/>
        <w:ind w:firstLine="476" w:firstLineChars="200"/>
        <w:jc w:val="both"/>
        <w:rPr>
          <w:rFonts w:hint="eastAsia" w:ascii="Times New Roman" w:hAnsi="Times New Roman" w:cs="Times New Roman" w:eastAsiaTheme="minorEastAsia"/>
          <w:color w:val="000000" w:themeColor="text1"/>
          <w:sz w:val="24"/>
          <w:szCs w:val="24"/>
          <w:lang w:val="en-US"/>
          <w14:textFill>
            <w14:solidFill>
              <w14:schemeClr w14:val="tx1"/>
            </w14:solidFill>
          </w14:textFill>
        </w:rPr>
      </w:pPr>
    </w:p>
    <w:p>
      <w:pPr>
        <w:pStyle w:val="26"/>
        <w:spacing w:line="500" w:lineRule="exact"/>
        <w:ind w:firstLine="476" w:firstLineChars="200"/>
        <w:jc w:val="both"/>
        <w:rPr>
          <w:rFonts w:hint="eastAsia" w:ascii="Times New Roman" w:hAnsi="Times New Roman" w:cs="Times New Roman" w:eastAsiaTheme="minorEastAsia"/>
          <w:color w:val="000000" w:themeColor="text1"/>
          <w:sz w:val="24"/>
          <w:szCs w:val="24"/>
          <w:lang w:val="en-US"/>
          <w14:textFill>
            <w14:solidFill>
              <w14:schemeClr w14:val="tx1"/>
            </w14:solidFill>
          </w14:textFill>
        </w:rPr>
      </w:pPr>
    </w:p>
    <w:p>
      <w:pPr>
        <w:pStyle w:val="26"/>
        <w:spacing w:line="500" w:lineRule="exact"/>
        <w:ind w:firstLine="476" w:firstLineChars="200"/>
        <w:jc w:val="both"/>
        <w:rPr>
          <w:rFonts w:hint="eastAsia" w:ascii="Times New Roman" w:hAnsi="Times New Roman" w:cs="Times New Roman" w:eastAsiaTheme="minorEastAsia"/>
          <w:color w:val="000000" w:themeColor="text1"/>
          <w:sz w:val="24"/>
          <w:szCs w:val="24"/>
          <w:lang w:val="en-US"/>
          <w14:textFill>
            <w14:solidFill>
              <w14:schemeClr w14:val="tx1"/>
            </w14:solidFill>
          </w14:textFill>
        </w:rPr>
      </w:pPr>
    </w:p>
    <w:p>
      <w:pPr>
        <w:pStyle w:val="26"/>
        <w:spacing w:line="500" w:lineRule="exact"/>
        <w:ind w:firstLine="476" w:firstLineChars="200"/>
        <w:jc w:val="both"/>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“一说明”</w:t>
      </w:r>
    </w:p>
    <w:p>
      <w:pPr>
        <w:pStyle w:val="26"/>
        <w:spacing w:line="500" w:lineRule="exact"/>
        <w:ind w:firstLine="476" w:firstLineChars="200"/>
        <w:jc w:val="both"/>
        <w:rPr>
          <w:rFonts w:hint="eastAsia"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由上表可知，本项目的建设符合《黑龙江省人民政府关于实施“三线一单”生态环境分区管控的意见》(黑政发(2020)14号)及《双鸭山市人民政府关于实施“三线一单”生态环境分区管控的意见》(双政规(2021)2号)中的要求。</w:t>
      </w:r>
    </w:p>
    <w:p>
      <w:pPr>
        <w:pStyle w:val="26"/>
        <w:spacing w:line="500" w:lineRule="exact"/>
        <w:ind w:firstLine="476" w:firstLineChars="200"/>
        <w:jc w:val="both"/>
        <w:rPr>
          <w:color w:val="000000" w:themeColor="text1"/>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兴隆热力生态环境分区管控分析报告</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》分析成果，</w:t>
      </w:r>
      <w:r>
        <w:rPr>
          <w:rFonts w:hint="eastAsia" w:ascii="宋体" w:hAnsi="宋体" w:eastAsia="宋体" w:cs="宋体"/>
          <w:color w:val="000000" w:themeColor="text1"/>
          <w:kern w:val="0"/>
          <w:sz w:val="24"/>
          <w:szCs w:val="24"/>
          <w:lang w:val="en-US" w:eastAsia="zh-CN" w:bidi="ar"/>
          <w14:textFill>
            <w14:solidFill>
              <w14:schemeClr w14:val="tx1"/>
            </w14:solidFill>
          </w14:textFill>
        </w:rPr>
        <w:t>兴隆热力项目位置涉及双鸭山市友谊县；项目占地总面积</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0.07</w:t>
      </w:r>
      <w:r>
        <w:rPr>
          <w:rFonts w:hint="eastAsia" w:ascii="宋体" w:hAnsi="宋体" w:eastAsia="宋体" w:cs="宋体"/>
          <w:color w:val="000000" w:themeColor="text1"/>
          <w:kern w:val="0"/>
          <w:sz w:val="24"/>
          <w:szCs w:val="24"/>
          <w:lang w:val="en-US" w:eastAsia="zh-CN" w:bidi="ar"/>
          <w14:textFill>
            <w14:solidFill>
              <w14:schemeClr w14:val="tx1"/>
            </w14:solidFill>
          </w14:textFill>
        </w:rPr>
        <w:t>平方公里。</w:t>
      </w:r>
    </w:p>
    <w:p>
      <w:pPr>
        <w:keepNext w:val="0"/>
        <w:keepLines w:val="0"/>
        <w:widowControl/>
        <w:suppressLineNumbers w:val="0"/>
        <w:jc w:val="left"/>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与生态保护红线无交集，与自然保护地整合优化方案数据无交集，与自然保护地（现状管理数据）无交集，与饮用水水源保护区无交集，与国家级水产种质资源保护区无交集。</w:t>
      </w:r>
    </w:p>
    <w:p>
      <w:pPr>
        <w:keepNext w:val="0"/>
        <w:keepLines w:val="0"/>
        <w:widowControl/>
        <w:suppressLineNumbers w:val="0"/>
        <w:jc w:val="left"/>
        <w:rPr>
          <w:rFonts w:hint="eastAsia"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与重点管控单元交集面积为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0.06</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平方公里，占项目占地面积的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89.67%</w:t>
      </w:r>
      <w:r>
        <w:rPr>
          <w:rFonts w:hint="eastAsia" w:ascii="宋体" w:hAnsi="宋体" w:eastAsia="宋体" w:cs="宋体"/>
          <w:color w:val="000000" w:themeColor="text1"/>
          <w:kern w:val="0"/>
          <w:sz w:val="24"/>
          <w:szCs w:val="24"/>
          <w:lang w:val="en-US" w:eastAsia="zh-CN" w:bidi="ar"/>
          <w14:textFill>
            <w14:solidFill>
              <w14:schemeClr w14:val="tx1"/>
            </w14:solidFill>
          </w14:textFill>
        </w:rPr>
        <w:t>；一般管控单元交集面积为小于</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0.01</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平方公里，占项目占地面积的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10.33%</w:t>
      </w:r>
      <w:r>
        <w:rPr>
          <w:rFonts w:hint="eastAsia" w:ascii="宋体" w:hAnsi="宋体" w:eastAsia="宋体" w:cs="宋体"/>
          <w:color w:val="000000" w:themeColor="text1"/>
          <w:kern w:val="0"/>
          <w:sz w:val="24"/>
          <w:szCs w:val="24"/>
          <w:lang w:val="en-US" w:eastAsia="zh-CN" w:bidi="ar"/>
          <w14:textFill>
            <w14:solidFill>
              <w14:schemeClr w14:val="tx1"/>
            </w14:solidFill>
          </w14:textFill>
        </w:rPr>
        <w:t>。与地下水环境一般管控区交集面积为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0.07</w:t>
      </w:r>
      <w:r>
        <w:rPr>
          <w:rFonts w:hint="eastAsia" w:ascii="宋体" w:hAnsi="宋体" w:eastAsia="宋体" w:cs="宋体"/>
          <w:color w:val="000000" w:themeColor="text1"/>
          <w:kern w:val="0"/>
          <w:sz w:val="24"/>
          <w:szCs w:val="24"/>
          <w:lang w:val="en-US" w:eastAsia="zh-CN" w:bidi="ar"/>
          <w14:textFill>
            <w14:solidFill>
              <w14:schemeClr w14:val="tx1"/>
            </w14:solidFill>
          </w14:textFill>
        </w:rPr>
        <w:t>平方公里，占项目占地面积的</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100.00%</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pPr>
        <w:pStyle w:val="26"/>
        <w:spacing w:line="500" w:lineRule="exact"/>
        <w:ind w:firstLine="476" w:firstLineChars="200"/>
        <w:jc w:val="both"/>
        <w:rPr>
          <w:rFonts w:hint="default" w:ascii="Times New Roman" w:hAnsi="Times New Roman" w:cs="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4</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eastAsia="zh-CN"/>
          <w14:textFill>
            <w14:solidFill>
              <w14:schemeClr w14:val="tx1"/>
            </w14:solidFill>
          </w14:textFill>
        </w:rPr>
        <w:t>项目符合性说明</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本项目的建设符合《黑龙江省人民政府关于实施“三线一单”生态环境分区管控的意见》(黑政发(2020)14号)及《双鸭山市人民政府关于实施“三线一单”生态环境分区管控的意见》(双政规(2021)2号)中的要求。</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19" w:name="_Toc534544997"/>
      <w:bookmarkStart w:id="20" w:name="_Toc162605159"/>
      <w:r>
        <w:rPr>
          <w:rFonts w:ascii="Times New Roman" w:hAnsi="Times New Roman" w:cs="Times New Roman" w:eastAsiaTheme="minorEastAsia"/>
          <w:color w:val="000000" w:themeColor="text1"/>
          <w:szCs w:val="24"/>
          <w:lang w:val="en-US" w:bidi="ar-SA"/>
          <w14:textFill>
            <w14:solidFill>
              <w14:schemeClr w14:val="tx1"/>
            </w14:solidFill>
          </w14:textFill>
        </w:rPr>
        <w:t>1.4</w:t>
      </w:r>
      <w:bookmarkEnd w:id="10"/>
      <w:bookmarkEnd w:id="11"/>
      <w:bookmarkEnd w:id="12"/>
      <w:bookmarkEnd w:id="13"/>
      <w:bookmarkEnd w:id="19"/>
      <w:r>
        <w:rPr>
          <w:rFonts w:ascii="Times New Roman" w:hAnsi="Times New Roman" w:cs="Times New Roman" w:eastAsiaTheme="minorEastAsia"/>
          <w:color w:val="000000" w:themeColor="text1"/>
          <w:szCs w:val="24"/>
          <w:lang w:val="en-US" w:bidi="ar-SA"/>
          <w14:textFill>
            <w14:solidFill>
              <w14:schemeClr w14:val="tx1"/>
            </w14:solidFill>
          </w14:textFill>
        </w:rPr>
        <w:t>本项目关注的主要环境问题及环境影响</w:t>
      </w:r>
      <w:bookmarkEnd w:id="20"/>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2022年，中央环保督查要求对现有锅炉实行超低排放改造。黑龙江农泉兴隆热力有限公司对现有2台70MW热水锅炉脱硫设备进行改造，同时将现有除尘设备更换为两台布袋式除尘。但是，由于工程技术原因，现有2台70MW热水锅炉无法完成脱硝技术改造。为了完成中央环保督查的整改要求，黑龙江农泉兴隆热力有限公司决定将现有2台70MW热水锅炉淘汰，并新建1台70MW热水锅炉，新建锅炉执行《关于印发&lt;全面实施燃煤电厂超低排放和节能改造工作方案&gt;的通知》（环发 [2015]164号）要求，达到超低排放限值（在基准氧含量6%条件下，烟尘、SO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、35mg/m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现有2台70MW热水锅炉计划于2024年3月末（2023年供热期结束后）彻底淘汰，本次新建1台70MW热水锅炉计划于2024年10月（2024年供热期）投产使用。未来计划再新建1台70MW热水锅炉，全部建成后全厂建设有2台70MW热水锅炉均执行超低排放限值。</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农垦兴隆热力有限公司现有2台70MW热水锅炉，最大供热能力260万平方米，现有供热面积190万平方米。2023年，供热范围内，有65万平方米的供热面积报停，不在供热范围内。本次新建1台70MW热水锅炉，满负荷供热能力130万平方米，能够满足剩余125万平方米的供热需求。本次仅针对新建1台70MW热水锅炉进行分析评价。</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1、废气</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本项目建设</w:t>
      </w:r>
      <w:r>
        <w:rPr>
          <w:rFonts w:ascii="Times New Roman" w:hAnsi="Times New Roman" w:cs="Times New Roman" w:eastAsiaTheme="minorEastAsia"/>
          <w:color w:val="000000" w:themeColor="text1"/>
          <w:sz w:val="24"/>
          <w:szCs w:val="24"/>
          <w:lang w:val="en-US"/>
          <w14:textFill>
            <w14:solidFill>
              <w14:schemeClr w14:val="tx1"/>
            </w14:solidFill>
          </w14:textFill>
        </w:rPr>
        <w:t>完成后产生废气主要为锅炉燃煤产生的颗粒物、SO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、NOx等大气污染物，燃料煤运输、贮存过程产生的粉尘，灰渣贮存产生的少量粉尘等。本次改扩建工程不涉供热管网及换热站工程。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改扩建完成后，全厂锅炉执行</w:t>
      </w:r>
      <w:r>
        <w:rPr>
          <w:rFonts w:ascii="Times New Roman" w:hAnsi="Times New Roman" w:cs="Times New Roman" w:eastAsiaTheme="minorEastAsia"/>
          <w:color w:val="000000" w:themeColor="text1"/>
          <w:sz w:val="24"/>
          <w:szCs w:val="24"/>
          <w:lang w:val="en-US"/>
          <w14:textFill>
            <w14:solidFill>
              <w14:schemeClr w14:val="tx1"/>
            </w14:solidFill>
          </w14:textFill>
        </w:rPr>
        <w:t>《关于印发&lt;全面实施燃煤电厂超低排放和节能改造工作方案&gt;的通知》</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（环发 [2015]164号）要求，达到超低排放限值（在基准氧含量6%条件下，烟尘、SO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、35mg/m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。汞及其化合物</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烟气黑度（林格曼黑度，级）排放浓度满足《锅炉大气污染物排放标准》（GB13271-2014）中表2规定的排放浓度限值：汞及其化合物≤0.05mg/m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；烟气黑度（林格曼黑度，级）≤1。厂界无组织颗粒物的浓度满足《大气污染物综合排放标准》(GB16297-1996)中无组织排放源周界外浓度限值(1.0mg/m3)要求，对周围环境影响较小。</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2、废水</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项目</w:t>
      </w:r>
      <w:r>
        <w:rPr>
          <w:rFonts w:ascii="Times New Roman" w:hAnsi="Times New Roman" w:cs="Times New Roman" w:eastAsiaTheme="minorEastAsia"/>
          <w:color w:val="000000" w:themeColor="text1"/>
          <w:sz w:val="24"/>
          <w:szCs w:val="24"/>
          <w:lang w:val="en-US"/>
          <w14:textFill>
            <w14:solidFill>
              <w14:schemeClr w14:val="tx1"/>
            </w14:solidFill>
          </w14:textFill>
        </w:rPr>
        <w:t>无新增生活污水，生活污水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排入</w:t>
      </w:r>
      <w:r>
        <w:rPr>
          <w:rFonts w:ascii="Times New Roman" w:hAnsi="Times New Roman" w:cs="Times New Roman" w:eastAsiaTheme="minorEastAsia"/>
          <w:color w:val="000000" w:themeColor="text1"/>
          <w:sz w:val="24"/>
          <w:szCs w:val="24"/>
          <w:lang w:val="en-US"/>
          <w14:textFill>
            <w14:solidFill>
              <w14:schemeClr w14:val="tx1"/>
            </w14:solidFill>
          </w14:textFill>
        </w:rPr>
        <w:t>防渗化粪池</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，定期清运至黑龙江红兴隆农垦清洁污水处理有限公司（集中污水处理厂）进行处理。</w:t>
      </w:r>
      <w:r>
        <w:rPr>
          <w:rFonts w:ascii="Times New Roman" w:hAnsi="Times New Roman" w:cs="Times New Roman" w:eastAsiaTheme="minorEastAsia"/>
          <w:color w:val="000000" w:themeColor="text1"/>
          <w:sz w:val="24"/>
          <w:szCs w:val="24"/>
          <w:lang w:val="en-US"/>
          <w14:textFill>
            <w14:solidFill>
              <w14:schemeClr w14:val="tx1"/>
            </w14:solidFill>
          </w14:textFill>
        </w:rPr>
        <w:t>对环境影响很小。</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w:t>
      </w:r>
      <w:r>
        <w:rPr>
          <w:rFonts w:ascii="Times New Roman" w:hAnsi="Times New Roman" w:cs="Times New Roman" w:eastAsiaTheme="minorEastAsia"/>
          <w:color w:val="000000" w:themeColor="text1"/>
          <w:sz w:val="24"/>
          <w:szCs w:val="24"/>
          <w:lang w:val="en-US"/>
          <w14:textFill>
            <w14:solidFill>
              <w14:schemeClr w14:val="tx1"/>
            </w14:solidFill>
          </w14:textFill>
        </w:rPr>
        <w:t>产生废水主要有锅炉定期排污水等工艺废水，主要污染物有：COD、氨氮、BOD、SS等。本项目产生废水及脱硫废水均回用于厂区除渣、脱硫、输煤系统抑尘、地面冲洗，不外排。对周围环境影响较小。</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3、噪声</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运行期噪声源主要为各类水泵及风机、对空排汽管等，对噪声进行治理主要采取以下措施：对机械设备，在设计过程中向制造厂家提出降噪要求，并且设计上对噪声较大的设备，如风机等设备加设隔声罩，并在各噪声较大的运转层设隔声值班室；为减轻锅炉点火或事故状态时短时间对空排汽所产生的强噪声对周围环境的影响，设计上在对空排汽管的管口加设消声装置；各类泵安装时采取基础减振措施；对</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各类机械</w:t>
      </w:r>
      <w:r>
        <w:rPr>
          <w:rFonts w:ascii="Times New Roman" w:hAnsi="Times New Roman" w:cs="Times New Roman" w:eastAsiaTheme="minorEastAsia"/>
          <w:color w:val="000000" w:themeColor="text1"/>
          <w:sz w:val="24"/>
          <w:szCs w:val="24"/>
          <w:lang w:val="en-US"/>
          <w14:textFill>
            <w14:solidFill>
              <w14:schemeClr w14:val="tx1"/>
            </w14:solidFill>
          </w14:textFill>
        </w:rPr>
        <w:t>采取隔声措施，在其外部安装隔声罩壳，同时，通过厂房隔声和距离衰减，本项目运营期，厂界噪声可满足《工业企业厂界环境噪声排放标准》（GB12348-2008）中</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类标准，经预测，对声环境产生的不利影响较小。</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4、固废</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w:t>
      </w:r>
      <w:r>
        <w:rPr>
          <w:rFonts w:ascii="Times New Roman" w:hAnsi="Times New Roman" w:cs="Times New Roman" w:eastAsiaTheme="minorEastAsia"/>
          <w:color w:val="000000" w:themeColor="text1"/>
          <w:sz w:val="24"/>
          <w:szCs w:val="24"/>
          <w:lang w:val="en-US"/>
          <w14:textFill>
            <w14:solidFill>
              <w14:schemeClr w14:val="tx1"/>
            </w14:solidFill>
          </w14:textFill>
        </w:rPr>
        <w:t>产生固废主要为新增锅炉产生的灰渣、除尘灰以及脱硫工序产生的脱硫渣</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、废脱硝剂（废催化剂）、废机油、废布袋</w:t>
      </w:r>
      <w:r>
        <w:rPr>
          <w:rFonts w:ascii="Times New Roman" w:hAnsi="Times New Roman" w:cs="Times New Roman" w:eastAsiaTheme="minorEastAsia"/>
          <w:color w:val="000000" w:themeColor="text1"/>
          <w:sz w:val="24"/>
          <w:szCs w:val="24"/>
          <w:lang w:val="en-US"/>
          <w14:textFill>
            <w14:solidFill>
              <w14:schemeClr w14:val="tx1"/>
            </w14:solidFill>
          </w14:textFill>
        </w:rPr>
        <w:t>、员工生活垃圾以及废树脂等。经分析，产生固废均可得到有效处置，综合利用，对周围环境影响较小。</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5、环境风险</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对照《建设项目环境风险评价技术导则》（HJ169-2018）附录B中重点关注的危险物质及临界量。本项目Q&lt;1，本项目环境风险潜势为I级。本项目环境风险物质存量有限，且针对风险事故采取了有效的减缓措施，环境风险影响很小。</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21" w:name="_Toc532974690"/>
      <w:bookmarkStart w:id="22" w:name="_Toc534544998"/>
      <w:bookmarkStart w:id="23" w:name="_Toc162605160"/>
      <w:bookmarkStart w:id="24" w:name="_Toc511500946"/>
      <w:r>
        <w:rPr>
          <w:rFonts w:ascii="Times New Roman" w:hAnsi="Times New Roman" w:cs="Times New Roman" w:eastAsiaTheme="minorEastAsia"/>
          <w:color w:val="000000" w:themeColor="text1"/>
          <w:szCs w:val="24"/>
          <w:lang w:val="en-US" w:bidi="ar-SA"/>
          <w14:textFill>
            <w14:solidFill>
              <w14:schemeClr w14:val="tx1"/>
            </w14:solidFill>
          </w14:textFill>
        </w:rPr>
        <w:t>1.5评价工作主要结论</w:t>
      </w:r>
      <w:bookmarkEnd w:id="21"/>
      <w:bookmarkEnd w:id="22"/>
      <w:bookmarkEnd w:id="23"/>
      <w:bookmarkEnd w:id="24"/>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本项目建设符合国家产业政策；项目选址位于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红兴隆管理局在管理局局直南侧</w:t>
      </w:r>
      <w:r>
        <w:rPr>
          <w:rFonts w:ascii="Times New Roman" w:hAnsi="Times New Roman" w:cs="Times New Roman" w:eastAsiaTheme="minorEastAsia"/>
          <w:color w:val="000000" w:themeColor="text1"/>
          <w:sz w:val="24"/>
          <w:szCs w:val="24"/>
          <w:lang w:val="en-US"/>
          <w14:textFill>
            <w14:solidFill>
              <w14:schemeClr w14:val="tx1"/>
            </w14:solidFill>
          </w14:textFill>
        </w:rPr>
        <w:t>。综合对本项目的建设概况、环境质量现状、污染物排放情况、主要环境影响、公众意见采纳情况、环境保护措施、环境影响经济损益分析、环境管理与监测计划等内容的分析论证，结合项目所在位置的环境质量现状和目标要求，各项污染防治措施合理且可行，在全面严格落实本报告书所提出各项污染防治措施的前提下，通过加强环境管理和环境监测，杜绝事故排放，所排污染物均能作到达标排放。在建设单位有效落实本次评价提出的事故防范措施的前提下，其生产对外界的风险影响不大，可满足环境风险的要求。本项目的实施可以使区域环境空气质量得到进一步改善，项目建设具有环境可行性。</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0" w:num="1"/>
          <w:docGrid w:type="linesAndChars" w:linePitch="312" w:charSpace="-551"/>
        </w:sectPr>
      </w:pPr>
    </w:p>
    <w:p>
      <w:pPr>
        <w:pStyle w:val="3"/>
        <w:ind w:firstLine="878"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25" w:name="_Toc162605161"/>
      <w:bookmarkStart w:id="26" w:name="_Toc511500947"/>
      <w:bookmarkStart w:id="27" w:name="_Toc532974691"/>
      <w:bookmarkStart w:id="28" w:name="_Toc534544999"/>
      <w:r>
        <w:rPr>
          <w:rFonts w:ascii="Times New Roman" w:hAnsi="Times New Roman" w:eastAsia="新宋体" w:cstheme="minorBidi"/>
          <w:color w:val="000000" w:themeColor="text1"/>
          <w:szCs w:val="24"/>
          <w:lang w:val="en-US" w:bidi="ar-SA"/>
          <w14:textFill>
            <w14:solidFill>
              <w14:schemeClr w14:val="tx1"/>
            </w14:solidFill>
          </w14:textFill>
        </w:rPr>
        <w:t>2总则</w:t>
      </w:r>
      <w:bookmarkEnd w:id="25"/>
      <w:bookmarkEnd w:id="26"/>
      <w:bookmarkEnd w:id="27"/>
      <w:bookmarkEnd w:id="28"/>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29" w:name="_Toc162605162"/>
      <w:bookmarkStart w:id="30" w:name="_Toc511500948"/>
      <w:bookmarkStart w:id="31" w:name="_Toc534545000"/>
      <w:bookmarkStart w:id="32" w:name="_Toc532974692"/>
      <w:r>
        <w:rPr>
          <w:rFonts w:ascii="Times New Roman" w:hAnsi="Times New Roman" w:cs="Times New Roman" w:eastAsiaTheme="minorEastAsia"/>
          <w:color w:val="000000" w:themeColor="text1"/>
          <w:szCs w:val="24"/>
          <w:lang w:val="en-US" w:bidi="ar-SA"/>
          <w14:textFill>
            <w14:solidFill>
              <w14:schemeClr w14:val="tx1"/>
            </w14:solidFill>
          </w14:textFill>
        </w:rPr>
        <w:t>2.1编制依据</w:t>
      </w:r>
      <w:bookmarkEnd w:id="29"/>
      <w:bookmarkEnd w:id="30"/>
      <w:bookmarkEnd w:id="31"/>
      <w:bookmarkEnd w:id="32"/>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3" w:name="_Toc454462655"/>
      <w:bookmarkStart w:id="34" w:name="_Toc534486399"/>
      <w:bookmarkStart w:id="35" w:name="_Toc454201484"/>
      <w:bookmarkStart w:id="36" w:name="_Toc532974693"/>
      <w:r>
        <w:rPr>
          <w:rFonts w:ascii="Times New Roman" w:hAnsi="Times New Roman" w:eastAsia="新宋体" w:cstheme="minorBidi"/>
          <w:color w:val="000000" w:themeColor="text1"/>
          <w:szCs w:val="24"/>
          <w:lang w:val="en-US" w:bidi="ar-SA"/>
          <w14:textFill>
            <w14:solidFill>
              <w14:schemeClr w14:val="tx1"/>
            </w14:solidFill>
          </w14:textFill>
        </w:rPr>
        <w:t>2.1.1相关法律、法规</w:t>
      </w:r>
      <w:bookmarkEnd w:id="33"/>
      <w:bookmarkEnd w:id="34"/>
      <w:bookmarkEnd w:id="35"/>
      <w:r>
        <w:rPr>
          <w:rFonts w:ascii="Times New Roman" w:hAnsi="Times New Roman" w:eastAsia="新宋体" w:cstheme="minorBidi"/>
          <w:color w:val="000000" w:themeColor="text1"/>
          <w:szCs w:val="24"/>
          <w:lang w:val="en-US" w:bidi="ar-SA"/>
          <w14:textFill>
            <w14:solidFill>
              <w14:schemeClr w14:val="tx1"/>
            </w14:solidFill>
          </w14:textFill>
        </w:rPr>
        <w:t>、文件</w:t>
      </w:r>
      <w:bookmarkEnd w:id="36"/>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37" w:name="_Toc120946865"/>
      <w:bookmarkStart w:id="38" w:name="_Toc158868407"/>
      <w:bookmarkStart w:id="39" w:name="_Toc120452260"/>
      <w:bookmarkStart w:id="40" w:name="_Toc88994278"/>
      <w:bookmarkStart w:id="41" w:name="_Toc33932247"/>
      <w:r>
        <w:rPr>
          <w:rFonts w:ascii="Times New Roman" w:hAnsi="Times New Roman" w:cs="Times New Roman" w:eastAsiaTheme="minorEastAsia"/>
          <w:color w:val="000000" w:themeColor="text1"/>
          <w:sz w:val="24"/>
          <w:szCs w:val="24"/>
          <w:lang w:val="en-US"/>
          <w14:textFill>
            <w14:solidFill>
              <w14:schemeClr w14:val="tx1"/>
            </w14:solidFill>
          </w14:textFill>
        </w:rPr>
        <w:t>（1）《中华人民共和国环境保护法》，2015年1月1日实施；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（2）《中华人民共和国环境影响评价法》，2018年12月29日修订并施行；</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（3）《中华人民共和国大气污染防治法》，2018年10月26日修订并施行；</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（4）《中华人民共和国水污染防治法》，2018年1月1日实施；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（5）《中华人民共和国噪声污染防治法》，20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22</w:t>
      </w:r>
      <w:r>
        <w:rPr>
          <w:rFonts w:ascii="Times New Roman" w:hAnsi="Times New Roman" w:cs="Times New Roman" w:eastAsiaTheme="minorEastAsia"/>
          <w:color w:val="000000" w:themeColor="text1"/>
          <w:sz w:val="24"/>
          <w:szCs w:val="24"/>
          <w:lang w:val="en-US"/>
          <w14:textFill>
            <w14:solidFill>
              <w14:schemeClr w14:val="tx1"/>
            </w14:solidFill>
          </w14:textFill>
        </w:rPr>
        <w:t>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6</w:t>
      </w:r>
      <w:r>
        <w:rPr>
          <w:rFonts w:ascii="Times New Roman" w:hAnsi="Times New Roman" w:cs="Times New Roman" w:eastAsiaTheme="minorEastAsia"/>
          <w:color w:val="000000" w:themeColor="text1"/>
          <w:sz w:val="24"/>
          <w:szCs w:val="24"/>
          <w:lang w:val="en-US"/>
          <w14:textFill>
            <w14:solidFill>
              <w14:schemeClr w14:val="tx1"/>
            </w14:solidFill>
          </w14:textFill>
        </w:rPr>
        <w:t>月</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w:t>
      </w:r>
      <w:r>
        <w:rPr>
          <w:rFonts w:ascii="Times New Roman" w:hAnsi="Times New Roman" w:cs="Times New Roman" w:eastAsiaTheme="minorEastAsia"/>
          <w:color w:val="000000" w:themeColor="text1"/>
          <w:sz w:val="24"/>
          <w:szCs w:val="24"/>
          <w:lang w:val="en-US"/>
          <w14:textFill>
            <w14:solidFill>
              <w14:schemeClr w14:val="tx1"/>
            </w14:solidFill>
          </w14:textFill>
        </w:rPr>
        <w:t>日；</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（6）《中华人民共和国固体废物污染环境防治法》，20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20</w:t>
      </w:r>
      <w:r>
        <w:rPr>
          <w:rFonts w:ascii="Times New Roman" w:hAnsi="Times New Roman" w:cs="Times New Roman" w:eastAsiaTheme="minorEastAsia"/>
          <w:color w:val="000000" w:themeColor="text1"/>
          <w:sz w:val="24"/>
          <w:szCs w:val="24"/>
          <w:lang w:val="en-US"/>
          <w14:textFill>
            <w14:solidFill>
              <w14:schemeClr w14:val="tx1"/>
            </w14:solidFill>
          </w14:textFill>
        </w:rPr>
        <w:t>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月</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w:t>
      </w:r>
      <w:r>
        <w:rPr>
          <w:rFonts w:ascii="Times New Roman" w:hAnsi="Times New Roman" w:cs="Times New Roman" w:eastAsiaTheme="minorEastAsia"/>
          <w:color w:val="000000" w:themeColor="text1"/>
          <w:sz w:val="24"/>
          <w:szCs w:val="24"/>
          <w:lang w:val="en-US"/>
          <w14:textFill>
            <w14:solidFill>
              <w14:schemeClr w14:val="tx1"/>
            </w14:solidFill>
          </w14:textFill>
        </w:rPr>
        <w:t>日修订；</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（7）《中华人民共和国土壤污染防治法》，2018年8月31日审议通过，2019年1月1日起施行；</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（8）《环境影响评价公众参与办法》（生态环境部部令第4号），2019年1月1日起施行；</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（9）《中华人民共和国清洁生产促进法》，2012年7月1日实施；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《建设项目环境影响评价分类管理名录（2021年版）》</w:t>
      </w:r>
      <w:r>
        <w:rPr>
          <w:rFonts w:ascii="Times New Roman" w:hAnsi="Times New Roman" w:cs="Times New Roman" w:eastAsiaTheme="minorEastAsia"/>
          <w:color w:val="000000" w:themeColor="text1"/>
          <w:sz w:val="24"/>
          <w:szCs w:val="24"/>
          <w:lang w:val="en-US"/>
          <w14:textFill>
            <w14:solidFill>
              <w14:schemeClr w14:val="tx1"/>
            </w14:solidFill>
          </w14:textFill>
        </w:rPr>
        <w:t>，20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21</w:t>
      </w:r>
      <w:r>
        <w:rPr>
          <w:rFonts w:ascii="Times New Roman" w:hAnsi="Times New Roman" w:cs="Times New Roman" w:eastAsiaTheme="minorEastAsia"/>
          <w:color w:val="000000" w:themeColor="text1"/>
          <w:sz w:val="24"/>
          <w:szCs w:val="24"/>
          <w:lang w:val="en-US"/>
          <w14:textFill>
            <w14:solidFill>
              <w14:schemeClr w14:val="tx1"/>
            </w14:solidFill>
          </w14:textFill>
        </w:rPr>
        <w:t>年1月1日实施；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"http://www.ndrc.gov.cn/zcfb/zcfbl/2011ling/W020110503596433815303.pdf" \t "_blank"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《产业结构调整指导目录（20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24</w:t>
      </w:r>
      <w:r>
        <w:rPr>
          <w:rFonts w:ascii="Times New Roman" w:hAnsi="Times New Roman" w:cs="Times New Roman" w:eastAsiaTheme="minorEastAsia"/>
          <w:color w:val="000000" w:themeColor="text1"/>
          <w:sz w:val="24"/>
          <w:szCs w:val="24"/>
          <w:lang w:val="en-US"/>
          <w14:textFill>
            <w14:solidFill>
              <w14:schemeClr w14:val="tx1"/>
            </w14:solidFill>
          </w14:textFill>
        </w:rPr>
        <w:t>年本）》</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）《水污染防治行动计划》（国发[2015]17号）；</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）《黑龙江省水污染防治实施方案》（黑政发〔2016〕3号）；</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（14）《黑龙江省水污染防治条例》（2023年12月1日实施）；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w:t>
      </w:r>
      <w:r>
        <w:rPr>
          <w:rFonts w:ascii="Times New Roman" w:hAnsi="Times New Roman" w:cs="Times New Roman" w:eastAsiaTheme="minorEastAsia"/>
          <w:color w:val="000000" w:themeColor="text1"/>
          <w:sz w:val="24"/>
          <w:szCs w:val="24"/>
          <w:lang w:val="en-US"/>
          <w14:textFill>
            <w14:solidFill>
              <w14:schemeClr w14:val="tx1"/>
            </w14:solidFill>
          </w14:textFill>
        </w:rPr>
        <w:t>）《</w:t>
      </w:r>
      <w:bookmarkStart w:id="42" w:name="OLE_LINK31"/>
      <w:bookmarkStart w:id="43" w:name="OLE_LINK30"/>
      <w:r>
        <w:rPr>
          <w:rFonts w:ascii="Times New Roman" w:hAnsi="Times New Roman" w:cs="Times New Roman" w:eastAsiaTheme="minorEastAsia"/>
          <w:color w:val="000000" w:themeColor="text1"/>
          <w:sz w:val="24"/>
          <w:szCs w:val="24"/>
          <w:lang w:val="en-US"/>
          <w14:textFill>
            <w14:solidFill>
              <w14:schemeClr w14:val="tx1"/>
            </w14:solidFill>
          </w14:textFill>
        </w:rPr>
        <w:t>黑龙江省主体功能区规划</w:t>
      </w:r>
      <w:bookmarkEnd w:id="42"/>
      <w:bookmarkEnd w:id="43"/>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（16）</w:t>
      </w:r>
      <w:r>
        <w:rPr>
          <w:rFonts w:ascii="Times New Roman" w:hAnsi="Times New Roman" w:cs="Times New Roman" w:eastAsiaTheme="minorEastAsia"/>
          <w:color w:val="000000" w:themeColor="text1"/>
          <w:sz w:val="24"/>
          <w:szCs w:val="24"/>
          <w:lang w:val="en-US"/>
          <w14:textFill>
            <w14:solidFill>
              <w14:schemeClr w14:val="tx1"/>
            </w14:solidFill>
          </w14:textFill>
        </w:rPr>
        <w:t>《黑龙江大气污染防治条例》</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（17）《黑龙江省空气质量持续改善行动计划实施方案》（黑政发〔2023〕19号）；</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（18）</w:t>
      </w:r>
      <w:r>
        <w:rPr>
          <w:rFonts w:ascii="Times New Roman" w:hAnsi="Times New Roman" w:cs="Times New Roman" w:eastAsiaTheme="minorEastAsia"/>
          <w:color w:val="000000" w:themeColor="text1"/>
          <w:sz w:val="24"/>
          <w:szCs w:val="24"/>
          <w:lang w:val="en-US"/>
          <w14:textFill>
            <w14:solidFill>
              <w14:schemeClr w14:val="tx1"/>
            </w14:solidFill>
          </w14:textFill>
        </w:rPr>
        <w:t>《黑龙江省大气污染防治行动计划实施细则》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）水利部国家发展和改革委员会环境保护部《全国重要江河湖泊水功能区划(2011-2030年)》；</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20</w:t>
      </w:r>
      <w:r>
        <w:rPr>
          <w:rFonts w:ascii="Times New Roman" w:hAnsi="Times New Roman" w:cs="Times New Roman" w:eastAsiaTheme="minorEastAsia"/>
          <w:color w:val="000000" w:themeColor="text1"/>
          <w:sz w:val="24"/>
          <w:szCs w:val="24"/>
          <w:lang w:val="en-US"/>
          <w14:textFill>
            <w14:solidFill>
              <w14:schemeClr w14:val="tx1"/>
            </w14:solidFill>
          </w14:textFill>
        </w:rPr>
        <w:t>）环境保护部文件（环发[2016]150号）《关于以改善环境质量为核心加强环境影响评价管理的通知》；</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44" w:name="_Toc39570059"/>
      <w:bookmarkStart w:id="45" w:name="_Toc39587298"/>
      <w:bookmarkStart w:id="46" w:name="_Toc40709236"/>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21</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双鸭山市</w:t>
      </w:r>
      <w:r>
        <w:rPr>
          <w:rFonts w:ascii="Times New Roman" w:hAnsi="Times New Roman" w:cs="Times New Roman" w:eastAsiaTheme="minorEastAsia"/>
          <w:color w:val="000000" w:themeColor="text1"/>
          <w:sz w:val="24"/>
          <w:szCs w:val="24"/>
          <w:lang w:val="en-US"/>
          <w14:textFill>
            <w14:solidFill>
              <w14:schemeClr w14:val="tx1"/>
            </w14:solidFill>
          </w14:textFill>
        </w:rPr>
        <w:t>国民经济和社会发展第十四个五年规划和二〇三五年远景目标纲要》；</w:t>
      </w:r>
      <w:bookmarkEnd w:id="44"/>
      <w:bookmarkEnd w:id="45"/>
      <w:bookmarkEnd w:id="46"/>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（22）《双鸭山市“十四五”生态环境保护规划》（双政规〔2022〕9号）；</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（23）《地下水管理条例》（国务院令第748号，2021年12月1日施行）；</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（24）《排污许可管理条例》（2021年3月1日施行）；</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（25）《黑龙江省人民政府关于实施“三线一单”生态环境分区管控的意见》(黑政发〔2020〕14号，2020年12月16日)；</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（26）《双鸭山市人民政府关于实施“三线一单”生态环境分区管控的意见》(双政规〔2021〕2号，2021年6月28日)；</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（27）《双鸭山市生态环境准入清单（2023年版）》；</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（28）《农垦红兴隆分局国土空间总体规划(2021-2035年)》；</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（29）《黑龙江省农垦红兴隆管理局城市总体（2014-2030年）》。</w:t>
      </w:r>
    </w:p>
    <w:bookmarkEnd w:id="37"/>
    <w:bookmarkEnd w:id="38"/>
    <w:bookmarkEnd w:id="39"/>
    <w:bookmarkEnd w:id="40"/>
    <w:bookmarkEnd w:id="41"/>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47" w:name="_Toc534486400"/>
      <w:bookmarkStart w:id="48" w:name="_Toc454201485"/>
      <w:bookmarkStart w:id="49" w:name="_Toc532974694"/>
      <w:bookmarkStart w:id="50" w:name="_Toc454462656"/>
      <w:r>
        <w:rPr>
          <w:rFonts w:ascii="Times New Roman" w:hAnsi="Times New Roman" w:eastAsia="新宋体" w:cstheme="minorBidi"/>
          <w:color w:val="000000" w:themeColor="text1"/>
          <w:szCs w:val="24"/>
          <w:lang w:val="en-US" w:bidi="ar-SA"/>
          <w14:textFill>
            <w14:solidFill>
              <w14:schemeClr w14:val="tx1"/>
            </w14:solidFill>
          </w14:textFill>
        </w:rPr>
        <w:t>2.1.2相关技术规范</w:t>
      </w:r>
      <w:bookmarkEnd w:id="47"/>
      <w:bookmarkEnd w:id="48"/>
      <w:bookmarkEnd w:id="49"/>
      <w:bookmarkEnd w:id="50"/>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（1）《建设项目环境影响评价技术导则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总纲》（HJ2.1-2016），2017年1月1日实施；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（2）《环境影响评价技术导则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大气环境》（HJ2.2-2018），2018年12月1日实施；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（3）《环境影响评价技术导则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地表水环境》（HJ2.3-2018），自2019年3月1日起实施；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（4）《环境影响评价技术导则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声环境》（HJ2.4-2021），20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22</w:t>
      </w:r>
      <w:r>
        <w:rPr>
          <w:rFonts w:ascii="Times New Roman" w:hAnsi="Times New Roman" w:cs="Times New Roman" w:eastAsiaTheme="minorEastAsia"/>
          <w:color w:val="000000" w:themeColor="text1"/>
          <w:sz w:val="24"/>
          <w:szCs w:val="24"/>
          <w:lang w:val="en-US"/>
          <w14:textFill>
            <w14:solidFill>
              <w14:schemeClr w14:val="tx1"/>
            </w14:solidFill>
          </w14:textFill>
        </w:rPr>
        <w:t>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w:t>
      </w:r>
      <w:r>
        <w:rPr>
          <w:rFonts w:ascii="Times New Roman" w:hAnsi="Times New Roman" w:cs="Times New Roman" w:eastAsiaTheme="minorEastAsia"/>
          <w:color w:val="000000" w:themeColor="text1"/>
          <w:sz w:val="24"/>
          <w:szCs w:val="24"/>
          <w:lang w:val="en-US"/>
          <w14:textFill>
            <w14:solidFill>
              <w14:schemeClr w14:val="tx1"/>
            </w14:solidFill>
          </w14:textFill>
        </w:rPr>
        <w:t>月1日实施；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（5）《环境影响评价技术导则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生态影响》（HJ19-20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22</w:t>
      </w:r>
      <w:r>
        <w:rPr>
          <w:rFonts w:ascii="Times New Roman" w:hAnsi="Times New Roman" w:cs="Times New Roman" w:eastAsiaTheme="minorEastAsia"/>
          <w:color w:val="000000" w:themeColor="text1"/>
          <w:sz w:val="24"/>
          <w:szCs w:val="24"/>
          <w:lang w:val="en-US"/>
          <w14:textFill>
            <w14:solidFill>
              <w14:schemeClr w14:val="tx1"/>
            </w14:solidFill>
          </w14:textFill>
        </w:rPr>
        <w:t>），20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22</w:t>
      </w:r>
      <w:r>
        <w:rPr>
          <w:rFonts w:ascii="Times New Roman" w:hAnsi="Times New Roman" w:cs="Times New Roman" w:eastAsiaTheme="minorEastAsia"/>
          <w:color w:val="000000" w:themeColor="text1"/>
          <w:sz w:val="24"/>
          <w:szCs w:val="24"/>
          <w:lang w:val="en-US"/>
          <w14:textFill>
            <w14:solidFill>
              <w14:schemeClr w14:val="tx1"/>
            </w14:solidFill>
          </w14:textFill>
        </w:rPr>
        <w:t>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w:t>
      </w:r>
      <w:r>
        <w:rPr>
          <w:rFonts w:ascii="Times New Roman" w:hAnsi="Times New Roman" w:cs="Times New Roman" w:eastAsiaTheme="minorEastAsia"/>
          <w:color w:val="000000" w:themeColor="text1"/>
          <w:sz w:val="24"/>
          <w:szCs w:val="24"/>
          <w:lang w:val="en-US"/>
          <w14:textFill>
            <w14:solidFill>
              <w14:schemeClr w14:val="tx1"/>
            </w14:solidFill>
          </w14:textFill>
        </w:rPr>
        <w:t>月</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w:t>
      </w:r>
      <w:r>
        <w:rPr>
          <w:rFonts w:ascii="Times New Roman" w:hAnsi="Times New Roman" w:cs="Times New Roman" w:eastAsiaTheme="minorEastAsia"/>
          <w:color w:val="000000" w:themeColor="text1"/>
          <w:sz w:val="24"/>
          <w:szCs w:val="24"/>
          <w:lang w:val="en-US"/>
          <w14:textFill>
            <w14:solidFill>
              <w14:schemeClr w14:val="tx1"/>
            </w14:solidFill>
          </w14:textFill>
        </w:rPr>
        <w:t>日实施；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（6）《环境影响评价技术导则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地下水环境》（HJ610-2016），2016年1月7日实施；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（7）《建设项目环境风险评价技术导则》（HJ169-2018），2019年3月1日实施；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（8）《环境影响评价技术导则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土壤环境（试行）》（HJ964-2018），2019年7月1日实施；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（9）</w:t>
      </w:r>
      <w:bookmarkStart w:id="51" w:name="_Toc40709225"/>
      <w:bookmarkStart w:id="52" w:name="_Toc39587292"/>
      <w:bookmarkStart w:id="53" w:name="_Toc39570053"/>
      <w:r>
        <w:rPr>
          <w:rFonts w:ascii="Times New Roman" w:hAnsi="Times New Roman" w:cs="Times New Roman" w:eastAsiaTheme="minorEastAsia"/>
          <w:color w:val="000000" w:themeColor="text1"/>
          <w:sz w:val="24"/>
          <w:szCs w:val="24"/>
          <w:lang w:val="en-US"/>
          <w14:textFill>
            <w14:solidFill>
              <w14:schemeClr w14:val="tx1"/>
            </w14:solidFill>
          </w14:textFill>
        </w:rPr>
        <w:t>《排污许可证申请与核发技术规范</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锅炉》（HJ953-2018）</w:t>
      </w:r>
      <w:bookmarkEnd w:id="51"/>
      <w:bookmarkEnd w:id="52"/>
      <w:bookmarkEnd w:id="53"/>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w:t>
      </w:r>
      <w:r>
        <w:rPr>
          <w:rFonts w:ascii="Times New Roman" w:hAnsi="Times New Roman" w:cs="Times New Roman" w:eastAsiaTheme="minorEastAsia"/>
          <w:color w:val="000000" w:themeColor="text1"/>
          <w:sz w:val="24"/>
          <w:szCs w:val="24"/>
          <w:lang w:val="en-US"/>
          <w14:textFill>
            <w14:solidFill>
              <w14:schemeClr w14:val="tx1"/>
            </w14:solidFill>
          </w14:textFill>
        </w:rPr>
        <w:t>）《污染源源强核算技术指南</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锅炉》(HJ 991-2018)；</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（11）《工业锅炉烟气治理工程技术规范》（HJ 462—2021）；</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（12）《工业锅炉污染防治可行技术指南》（HJ 1178—2021）；</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）《排污单位自行监测技术指南火力</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发电及锅炉》（HJ820-2017）</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（14）</w:t>
      </w:r>
      <w:r>
        <w:rPr>
          <w:rFonts w:ascii="Times New Roman" w:hAnsi="Times New Roman" w:cs="Times New Roman" w:eastAsiaTheme="minorEastAsia"/>
          <w:color w:val="000000" w:themeColor="text1"/>
          <w:sz w:val="24"/>
          <w:szCs w:val="24"/>
          <w:lang w:val="en-US"/>
          <w14:textFill>
            <w14:solidFill>
              <w14:schemeClr w14:val="tx1"/>
            </w14:solidFill>
          </w14:textFill>
        </w:rPr>
        <w:t>《关于印发&lt;全面实施燃煤电厂超低排放和节能改造工作方案&gt;的通知》（环发 [2015]164号）。</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2.1.3其他相关资料</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黑龙江省农垦总局红兴隆分局局直集中供热站</w:t>
      </w:r>
      <w:r>
        <w:rPr>
          <w:rFonts w:ascii="Times New Roman" w:hAnsi="Times New Roman" w:cs="Times New Roman" w:eastAsiaTheme="minorEastAsia"/>
          <w:color w:val="000000" w:themeColor="text1"/>
          <w:sz w:val="24"/>
          <w:szCs w:val="24"/>
          <w:lang w:val="en-US"/>
          <w14:textFill>
            <w14:solidFill>
              <w14:schemeClr w14:val="tx1"/>
            </w14:solidFill>
          </w14:textFill>
        </w:rPr>
        <w:t>环境影响报告书》；</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原黑龙江省环境保护厅垦区环境保护局批复文件《关于黑龙江省农垦总局红兴隆管理局供暖工程环境影响报告书审批意见的复函》（黑垦环函[2011]40号）</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（3）《黑龙江省农垦红兴隆管理局局直集中供热站项目建设项目竣工环境保护验收检测报告》；</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建设单位</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自行监测报告及环境质量现状监测报告；</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（5）黑龙江农泉兴隆热力有限公司排污许可证；</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（6）黑龙江农泉兴隆热力有限公司突发环境事件应急预案；</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w:t>
      </w:r>
      <w:r>
        <w:rPr>
          <w:rFonts w:ascii="Times New Roman" w:hAnsi="Times New Roman" w:cs="Times New Roman" w:eastAsiaTheme="minorEastAsia"/>
          <w:color w:val="000000" w:themeColor="text1"/>
          <w:sz w:val="24"/>
          <w:szCs w:val="24"/>
          <w:lang w:val="en-US"/>
          <w14:textFill>
            <w14:solidFill>
              <w14:schemeClr w14:val="tx1"/>
            </w14:solidFill>
          </w14:textFill>
        </w:rPr>
        <w:t>）建设单位提供的其他资料。</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2.1.</w:t>
      </w:r>
      <w:r>
        <w:rPr>
          <w:rFonts w:hint="eastAsia" w:ascii="Times New Roman" w:hAnsi="Times New Roman" w:eastAsia="新宋体" w:cstheme="minorBidi"/>
          <w:color w:val="000000" w:themeColor="text1"/>
          <w:szCs w:val="24"/>
          <w:lang w:val="en-US" w:bidi="ar-SA"/>
          <w14:textFill>
            <w14:solidFill>
              <w14:schemeClr w14:val="tx1"/>
            </w14:solidFill>
          </w14:textFill>
        </w:rPr>
        <w:t>4编制目的与评价原则</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54" w:name="_Toc511500949"/>
      <w:bookmarkStart w:id="55" w:name="_Toc532974695"/>
      <w:bookmarkStart w:id="56" w:name="_Toc534545001"/>
      <w:r>
        <w:rPr>
          <w:rFonts w:ascii="Times New Roman" w:hAnsi="Times New Roman" w:cs="Times New Roman" w:eastAsiaTheme="minorEastAsia"/>
          <w:color w:val="000000" w:themeColor="text1"/>
          <w:sz w:val="24"/>
          <w:szCs w:val="24"/>
          <w:lang w:val="en-US"/>
          <w14:textFill>
            <w14:solidFill>
              <w14:schemeClr w14:val="tx1"/>
            </w14:solidFill>
          </w14:textFill>
        </w:rPr>
        <w:t>突出环境影响评价的源头预防作用，坚持保护和改善环境质量。</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（1）依法评价</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贯彻执行我国环境保护相关法律法规、标准、政策和规划等，优化项目建设，服务环境管理。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（2）科学评价</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规范环境影响评价方法，科学分析项目建设对环境质量的影响。</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（3）突出重点</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根据建设项目的工程内容及其特点，明确与环境要素间的作用效应关系，根据规划环境影响评价结论和审查意见，充分利用符合时效的数据资料及成果，对建设项目主要环境影响予以重点分析和评价。</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57" w:name="_Toc162605163"/>
      <w:r>
        <w:rPr>
          <w:rFonts w:ascii="Times New Roman" w:hAnsi="Times New Roman" w:cs="Times New Roman" w:eastAsiaTheme="minorEastAsia"/>
          <w:color w:val="000000" w:themeColor="text1"/>
          <w:szCs w:val="24"/>
          <w:lang w:val="en-US" w:bidi="ar-SA"/>
          <w14:textFill>
            <w14:solidFill>
              <w14:schemeClr w14:val="tx1"/>
            </w14:solidFill>
          </w14:textFill>
        </w:rPr>
        <w:t>2.2评价因子与评价标准</w:t>
      </w:r>
      <w:bookmarkEnd w:id="54"/>
      <w:bookmarkEnd w:id="55"/>
      <w:bookmarkEnd w:id="56"/>
      <w:bookmarkEnd w:id="57"/>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58" w:name="_Toc482781931"/>
      <w:bookmarkStart w:id="59" w:name="_Toc532974696"/>
      <w:r>
        <w:rPr>
          <w:rFonts w:ascii="Times New Roman" w:hAnsi="Times New Roman" w:eastAsia="新宋体" w:cstheme="minorBidi"/>
          <w:color w:val="000000" w:themeColor="text1"/>
          <w:szCs w:val="24"/>
          <w:lang w:val="en-US" w:bidi="ar-SA"/>
          <w14:textFill>
            <w14:solidFill>
              <w14:schemeClr w14:val="tx1"/>
            </w14:solidFill>
          </w14:textFill>
        </w:rPr>
        <w:t>2.2.1</w:t>
      </w:r>
      <w:bookmarkEnd w:id="58"/>
      <w:bookmarkEnd w:id="59"/>
      <w:r>
        <w:rPr>
          <w:rFonts w:ascii="Times New Roman" w:hAnsi="Times New Roman" w:eastAsia="新宋体" w:cstheme="minorBidi"/>
          <w:color w:val="000000" w:themeColor="text1"/>
          <w:szCs w:val="24"/>
          <w:lang w:val="en-US" w:bidi="ar-SA"/>
          <w14:textFill>
            <w14:solidFill>
              <w14:schemeClr w14:val="tx1"/>
            </w14:solidFill>
          </w14:textFill>
        </w:rPr>
        <w:t>环境影响识别与评价因子筛选</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（1）环境影响因素识别</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根据本项目的主要污染源及其所排污染物的分析，施工期有少量土建工程，以及新增设备的安装工程，产生的影响主要为噪声以及少量的扬尘。</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根据区域环境特征及工程污染物排放情况对评价区所涉及到的环境要素进行识别，其结果见表2-2-1。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表2-2-1 环境影响因素识别矩阵表</w:t>
      </w:r>
    </w:p>
    <w:tbl>
      <w:tblPr>
        <w:tblStyle w:val="7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0"/>
        <w:gridCol w:w="912"/>
        <w:gridCol w:w="900"/>
        <w:gridCol w:w="900"/>
        <w:gridCol w:w="1063"/>
        <w:gridCol w:w="750"/>
        <w:gridCol w:w="687"/>
        <w:gridCol w:w="1074"/>
        <w:gridCol w:w="11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00" w:type="dxa"/>
            <w:vMerge w:val="restart"/>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类别</w:t>
            </w:r>
          </w:p>
        </w:tc>
        <w:tc>
          <w:tcPr>
            <w:tcW w:w="3775" w:type="dxa"/>
            <w:gridSpan w:val="4"/>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自然环境</w:t>
            </w:r>
          </w:p>
        </w:tc>
        <w:tc>
          <w:tcPr>
            <w:tcW w:w="1437" w:type="dxa"/>
            <w:gridSpan w:val="2"/>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生态环境</w:t>
            </w:r>
          </w:p>
        </w:tc>
        <w:tc>
          <w:tcPr>
            <w:tcW w:w="2210" w:type="dxa"/>
            <w:gridSpan w:val="2"/>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社会环境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00" w:type="dxa"/>
            <w:vMerge w:val="continue"/>
            <w:vAlign w:val="center"/>
          </w:tcPr>
          <w:p>
            <w:pPr>
              <w:spacing w:line="240" w:lineRule="auto"/>
              <w:ind w:firstLine="0" w:firstLineChars="0"/>
              <w:rPr>
                <w:color w:val="000000" w:themeColor="text1"/>
                <w:sz w:val="21"/>
                <w:szCs w:val="21"/>
                <w14:textFill>
                  <w14:solidFill>
                    <w14:schemeClr w14:val="tx1"/>
                  </w14:solidFill>
                </w14:textFill>
              </w:rPr>
            </w:pPr>
          </w:p>
        </w:tc>
        <w:tc>
          <w:tcPr>
            <w:tcW w:w="912"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地表水</w:t>
            </w:r>
          </w:p>
        </w:tc>
        <w:tc>
          <w:tcPr>
            <w:tcW w:w="90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地下水</w:t>
            </w:r>
          </w:p>
        </w:tc>
        <w:tc>
          <w:tcPr>
            <w:tcW w:w="90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声环境</w:t>
            </w:r>
          </w:p>
        </w:tc>
        <w:tc>
          <w:tcPr>
            <w:tcW w:w="1063"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空气质量</w:t>
            </w:r>
          </w:p>
        </w:tc>
        <w:tc>
          <w:tcPr>
            <w:tcW w:w="75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植被</w:t>
            </w:r>
          </w:p>
        </w:tc>
        <w:tc>
          <w:tcPr>
            <w:tcW w:w="687"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土壤</w:t>
            </w:r>
          </w:p>
        </w:tc>
        <w:tc>
          <w:tcPr>
            <w:tcW w:w="1074"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公众健康</w:t>
            </w:r>
          </w:p>
        </w:tc>
        <w:tc>
          <w:tcPr>
            <w:tcW w:w="1136"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经济发展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0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影响程度</w:t>
            </w:r>
          </w:p>
        </w:tc>
        <w:tc>
          <w:tcPr>
            <w:tcW w:w="912"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90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90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1063"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c>
          <w:tcPr>
            <w:tcW w:w="75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687"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074"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136"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0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影响性质</w:t>
            </w:r>
          </w:p>
        </w:tc>
        <w:tc>
          <w:tcPr>
            <w:tcW w:w="912"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直接</w:t>
            </w:r>
          </w:p>
        </w:tc>
        <w:tc>
          <w:tcPr>
            <w:tcW w:w="90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间接</w:t>
            </w:r>
          </w:p>
        </w:tc>
        <w:tc>
          <w:tcPr>
            <w:tcW w:w="90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直接</w:t>
            </w:r>
          </w:p>
        </w:tc>
        <w:tc>
          <w:tcPr>
            <w:tcW w:w="1063"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直接</w:t>
            </w:r>
          </w:p>
        </w:tc>
        <w:tc>
          <w:tcPr>
            <w:tcW w:w="75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直接</w:t>
            </w:r>
          </w:p>
        </w:tc>
        <w:tc>
          <w:tcPr>
            <w:tcW w:w="687"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间接</w:t>
            </w:r>
          </w:p>
        </w:tc>
        <w:tc>
          <w:tcPr>
            <w:tcW w:w="1074"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间接</w:t>
            </w:r>
          </w:p>
        </w:tc>
        <w:tc>
          <w:tcPr>
            <w:tcW w:w="1136"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间接</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0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影响范围</w:t>
            </w:r>
          </w:p>
        </w:tc>
        <w:tc>
          <w:tcPr>
            <w:tcW w:w="912"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90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90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063"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750"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687"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p>
        </w:tc>
        <w:tc>
          <w:tcPr>
            <w:tcW w:w="1074"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w:t>
            </w:r>
          </w:p>
        </w:tc>
        <w:tc>
          <w:tcPr>
            <w:tcW w:w="1136"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7" w:hRule="exact"/>
        </w:trPr>
        <w:tc>
          <w:tcPr>
            <w:tcW w:w="8522" w:type="dxa"/>
            <w:gridSpan w:val="9"/>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备注：1：影响较小；2：影响一般；3：影响较大；0 基本无影响。-：表示负面影响；+：表示正面影响。</w:t>
            </w: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本项目运营期环境影响识别结果见下表：</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表2-2-2 运营期环境影响识别结果</w:t>
      </w:r>
    </w:p>
    <w:tbl>
      <w:tblPr>
        <w:tblStyle w:val="7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57"/>
        <w:gridCol w:w="4024"/>
        <w:gridCol w:w="28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657"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环境要素</w:t>
            </w:r>
          </w:p>
        </w:tc>
        <w:tc>
          <w:tcPr>
            <w:tcW w:w="4024"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产生影响的主要内容</w:t>
            </w:r>
          </w:p>
        </w:tc>
        <w:tc>
          <w:tcPr>
            <w:tcW w:w="2841"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主要影响因素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57"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环境空气</w:t>
            </w:r>
          </w:p>
        </w:tc>
        <w:tc>
          <w:tcPr>
            <w:tcW w:w="4024"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锅炉燃烧产生废气，原料煤、灰渣等储存、装卸等过程产生的无组织粉尘，尿素储存过程中挥发的少量氨以及SNCR脱销过程中逃逸的氨</w:t>
            </w:r>
          </w:p>
        </w:tc>
        <w:tc>
          <w:tcPr>
            <w:tcW w:w="2841"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SO</w:t>
            </w:r>
            <w:r>
              <w:rPr>
                <w:color w:val="000000" w:themeColor="text1"/>
                <w:sz w:val="21"/>
                <w:szCs w:val="21"/>
                <w:vertAlign w:val="subscript"/>
                <w14:textFill>
                  <w14:solidFill>
                    <w14:schemeClr w14:val="tx1"/>
                  </w14:solidFill>
                </w14:textFill>
              </w:rPr>
              <w:t>2</w:t>
            </w:r>
            <w:r>
              <w:rPr>
                <w:color w:val="000000" w:themeColor="text1"/>
                <w:sz w:val="21"/>
                <w:szCs w:val="21"/>
                <w14:textFill>
                  <w14:solidFill>
                    <w14:schemeClr w14:val="tx1"/>
                  </w14:solidFill>
                </w14:textFill>
              </w:rPr>
              <w:t>、NO</w:t>
            </w:r>
            <w:r>
              <w:rPr>
                <w:color w:val="000000" w:themeColor="text1"/>
                <w:sz w:val="21"/>
                <w:szCs w:val="21"/>
                <w:vertAlign w:val="subscript"/>
                <w14:textFill>
                  <w14:solidFill>
                    <w14:schemeClr w14:val="tx1"/>
                  </w14:solidFill>
                </w14:textFill>
              </w:rPr>
              <w:t>X</w:t>
            </w:r>
            <w:r>
              <w:rPr>
                <w:color w:val="000000" w:themeColor="text1"/>
                <w:sz w:val="21"/>
                <w:szCs w:val="21"/>
                <w14:textFill>
                  <w14:solidFill>
                    <w14:schemeClr w14:val="tx1"/>
                  </w14:solidFill>
                </w14:textFill>
              </w:rPr>
              <w:t>、颗粒物、</w:t>
            </w:r>
            <w:r>
              <w:rPr>
                <w:rFonts w:hint="eastAsia"/>
                <w:color w:val="000000" w:themeColor="text1"/>
                <w:sz w:val="21"/>
                <w:szCs w:val="21"/>
                <w14:textFill>
                  <w14:solidFill>
                    <w14:schemeClr w14:val="tx1"/>
                  </w14:solidFill>
                </w14:textFill>
              </w:rPr>
              <w:t>汞及其化合物、烟气黑度、</w:t>
            </w:r>
            <w:r>
              <w:rPr>
                <w:color w:val="000000" w:themeColor="text1"/>
                <w:sz w:val="21"/>
                <w:szCs w:val="21"/>
                <w14:textFill>
                  <w14:solidFill>
                    <w14:schemeClr w14:val="tx1"/>
                  </w14:solidFill>
                </w14:textFill>
              </w:rPr>
              <w:t>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3" w:hRule="exact"/>
        </w:trPr>
        <w:tc>
          <w:tcPr>
            <w:tcW w:w="1657"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地表水</w:t>
            </w:r>
          </w:p>
        </w:tc>
        <w:tc>
          <w:tcPr>
            <w:tcW w:w="4024" w:type="dxa"/>
            <w:vAlign w:val="center"/>
          </w:tcPr>
          <w:p>
            <w:pPr>
              <w:spacing w:line="240" w:lineRule="auto"/>
              <w:ind w:firstLine="0" w:firstLineChars="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扩建项目锅炉排水用于冷渣器补水用于冲渣；反冲洗废水用于脱硫补水；软化系统产生的废水用于煤场喷洒降尘；</w:t>
            </w:r>
            <w:r>
              <w:rPr>
                <w:color w:val="000000" w:themeColor="text1"/>
                <w:sz w:val="21"/>
                <w:szCs w:val="21"/>
                <w14:textFill>
                  <w14:solidFill>
                    <w14:schemeClr w14:val="tx1"/>
                  </w14:solidFill>
                </w14:textFill>
              </w:rPr>
              <w:t>生活污水</w:t>
            </w:r>
            <w:r>
              <w:rPr>
                <w:rFonts w:hint="eastAsia"/>
                <w:color w:val="000000" w:themeColor="text1"/>
                <w:sz w:val="21"/>
                <w:szCs w:val="21"/>
                <w14:textFill>
                  <w14:solidFill>
                    <w14:schemeClr w14:val="tx1"/>
                  </w14:solidFill>
                </w14:textFill>
              </w:rPr>
              <w:t>等</w:t>
            </w:r>
          </w:p>
        </w:tc>
        <w:tc>
          <w:tcPr>
            <w:tcW w:w="2841"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COD</w:t>
            </w:r>
            <w:r>
              <w:rPr>
                <w:rFonts w:hAnsiTheme="minor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r>
              <w:rPr>
                <w:rFonts w:hAnsiTheme="minor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SS</w:t>
            </w:r>
            <w:r>
              <w:rPr>
                <w:rFonts w:hAnsiTheme="minorEastAsia"/>
                <w:color w:val="000000" w:themeColor="text1"/>
                <w:sz w:val="21"/>
                <w:szCs w:val="21"/>
                <w14:textFill>
                  <w14:solidFill>
                    <w14:schemeClr w14:val="tx1"/>
                  </w14:solidFill>
                </w14:textFill>
              </w:rPr>
              <w:t>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exact"/>
        </w:trPr>
        <w:tc>
          <w:tcPr>
            <w:tcW w:w="1657"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声环境</w:t>
            </w:r>
          </w:p>
        </w:tc>
        <w:tc>
          <w:tcPr>
            <w:tcW w:w="4024"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风机、水泵、车辆、机械设备等运行噪声</w:t>
            </w:r>
          </w:p>
        </w:tc>
        <w:tc>
          <w:tcPr>
            <w:tcW w:w="2841"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设备噪声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9" w:hRule="exact"/>
        </w:trPr>
        <w:tc>
          <w:tcPr>
            <w:tcW w:w="1657"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固体废物</w:t>
            </w:r>
          </w:p>
        </w:tc>
        <w:tc>
          <w:tcPr>
            <w:tcW w:w="4024"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生活垃圾、锅炉产生的炉渣、除尘灰、脱硫渣、软化水系统废树脂</w:t>
            </w:r>
            <w:r>
              <w:rPr>
                <w:rFonts w:hint="eastAsia"/>
                <w:color w:val="000000" w:themeColor="text1"/>
                <w:sz w:val="21"/>
                <w:szCs w:val="21"/>
                <w14:textFill>
                  <w14:solidFill>
                    <w14:schemeClr w14:val="tx1"/>
                  </w14:solidFill>
                </w14:textFill>
              </w:rPr>
              <w:t>、废催化剂</w:t>
            </w:r>
            <w:r>
              <w:rPr>
                <w:color w:val="000000" w:themeColor="text1"/>
                <w:sz w:val="21"/>
                <w:szCs w:val="21"/>
                <w14:textFill>
                  <w14:solidFill>
                    <w14:schemeClr w14:val="tx1"/>
                  </w14:solidFill>
                </w14:textFill>
              </w:rPr>
              <w:t>等</w:t>
            </w:r>
          </w:p>
        </w:tc>
        <w:tc>
          <w:tcPr>
            <w:tcW w:w="2841" w:type="dxa"/>
            <w:vAlign w:val="center"/>
          </w:tcPr>
          <w:p>
            <w:pPr>
              <w:spacing w:line="240" w:lineRule="auto"/>
              <w:ind w:firstLine="0" w:firstLineChars="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生活垃圾、锅炉炉渣、除尘灰、脱硫渣</w:t>
            </w:r>
            <w:r>
              <w:rPr>
                <w:rFonts w:hint="eastAsia"/>
                <w:color w:val="000000" w:themeColor="text1"/>
                <w:sz w:val="21"/>
                <w:szCs w:val="21"/>
                <w14:textFill>
                  <w14:solidFill>
                    <w14:schemeClr w14:val="tx1"/>
                  </w14:solidFill>
                </w14:textFill>
              </w:rPr>
              <w:t>、废催化剂</w:t>
            </w:r>
            <w:r>
              <w:rPr>
                <w:color w:val="000000" w:themeColor="text1"/>
                <w:sz w:val="21"/>
                <w:szCs w:val="21"/>
                <w14:textFill>
                  <w14:solidFill>
                    <w14:schemeClr w14:val="tx1"/>
                  </w14:solidFill>
                </w14:textFill>
              </w:rPr>
              <w:t>、废树脂</w:t>
            </w: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（2）评价因子筛选</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通过对本项目施工期及运营期产生的环境污染因素及污染因子进行分析，根据项目所在区域环境特征，筛选确定环境影响评价因子，具体见表2-2-3。</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表2-2-3评价因子一览表</w:t>
      </w:r>
    </w:p>
    <w:tbl>
      <w:tblPr>
        <w:tblStyle w:val="70"/>
        <w:tblW w:w="8522"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693"/>
        <w:gridCol w:w="2298"/>
        <w:gridCol w:w="453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tblHeader/>
          <w:jc w:val="center"/>
        </w:trPr>
        <w:tc>
          <w:tcPr>
            <w:tcW w:w="1693"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环境要素</w:t>
            </w:r>
          </w:p>
        </w:tc>
        <w:tc>
          <w:tcPr>
            <w:tcW w:w="2298"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项目</w:t>
            </w:r>
          </w:p>
        </w:tc>
        <w:tc>
          <w:tcPr>
            <w:tcW w:w="4531"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影响评价因子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14" w:hRule="exact"/>
          <w:jc w:val="center"/>
        </w:trPr>
        <w:tc>
          <w:tcPr>
            <w:tcW w:w="1693" w:type="dxa"/>
            <w:vMerge w:val="restar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环境空气</w:t>
            </w:r>
          </w:p>
        </w:tc>
        <w:tc>
          <w:tcPr>
            <w:tcW w:w="2298"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现状评价</w:t>
            </w:r>
          </w:p>
        </w:tc>
        <w:tc>
          <w:tcPr>
            <w:tcW w:w="4531"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SO</w:t>
            </w:r>
            <w:r>
              <w:rPr>
                <w:rFonts w:ascii="Times New Roman" w:hAnsi="Times New Roman" w:cs="Times New Roman" w:eastAsiaTheme="minorEastAsia"/>
                <w:color w:val="000000" w:themeColor="text1"/>
                <w:sz w:val="21"/>
                <w:szCs w:val="21"/>
                <w:vertAlign w:val="subscript"/>
                <w14:textFill>
                  <w14:solidFill>
                    <w14:schemeClr w14:val="tx1"/>
                  </w14:solidFill>
                </w14:textFill>
              </w:rPr>
              <w:t>2</w:t>
            </w:r>
            <w:r>
              <w:rPr>
                <w:rFonts w:ascii="Times New Roman" w:hAnsi="Times New Roman" w:cs="Times New Roman" w:eastAsiaTheme="minorEastAsia"/>
                <w:color w:val="000000" w:themeColor="text1"/>
                <w:sz w:val="21"/>
                <w:szCs w:val="21"/>
                <w14:textFill>
                  <w14:solidFill>
                    <w14:schemeClr w14:val="tx1"/>
                  </w14:solidFill>
                </w14:textFill>
              </w:rPr>
              <w:t>、NO</w:t>
            </w:r>
            <w:r>
              <w:rPr>
                <w:rFonts w:ascii="Times New Roman" w:hAnsi="Times New Roman" w:cs="Times New Roman" w:eastAsiaTheme="minorEastAsia"/>
                <w:color w:val="000000" w:themeColor="text1"/>
                <w:sz w:val="21"/>
                <w:szCs w:val="21"/>
                <w:vertAlign w:val="subscript"/>
                <w14:textFill>
                  <w14:solidFill>
                    <w14:schemeClr w14:val="tx1"/>
                  </w14:solidFill>
                </w14:textFill>
              </w:rPr>
              <w:t>2</w:t>
            </w:r>
            <w:r>
              <w:rPr>
                <w:rFonts w:ascii="Times New Roman" w:hAnsi="Times New Roman" w:cs="Times New Roman" w:eastAsiaTheme="minorEastAsia"/>
                <w:color w:val="000000" w:themeColor="text1"/>
                <w:sz w:val="21"/>
                <w:szCs w:val="21"/>
                <w14:textFill>
                  <w14:solidFill>
                    <w14:schemeClr w14:val="tx1"/>
                  </w14:solidFill>
                </w14:textFill>
              </w:rPr>
              <w:t>、PM</w:t>
            </w:r>
            <w:r>
              <w:rPr>
                <w:rFonts w:ascii="Times New Roman" w:hAnsi="Times New Roman" w:cs="Times New Roman" w:eastAsiaTheme="minorEastAsia"/>
                <w:color w:val="000000" w:themeColor="text1"/>
                <w:sz w:val="21"/>
                <w:szCs w:val="21"/>
                <w:vertAlign w:val="subscript"/>
                <w14:textFill>
                  <w14:solidFill>
                    <w14:schemeClr w14:val="tx1"/>
                  </w14:solidFill>
                </w14:textFill>
              </w:rPr>
              <w:t>10</w:t>
            </w:r>
            <w:r>
              <w:rPr>
                <w:rFonts w:ascii="Times New Roman" w:hAnsi="Times New Roman" w:cs="Times New Roman" w:eastAsiaTheme="minorEastAsia"/>
                <w:color w:val="000000" w:themeColor="text1"/>
                <w:sz w:val="21"/>
                <w:szCs w:val="21"/>
                <w14:textFill>
                  <w14:solidFill>
                    <w14:schemeClr w14:val="tx1"/>
                  </w14:solidFill>
                </w14:textFill>
              </w:rPr>
              <w:t>、PM</w:t>
            </w:r>
            <w:r>
              <w:rPr>
                <w:rFonts w:ascii="Times New Roman" w:hAnsi="Times New Roman" w:cs="Times New Roman" w:eastAsiaTheme="minorEastAsia"/>
                <w:color w:val="000000" w:themeColor="text1"/>
                <w:sz w:val="21"/>
                <w:szCs w:val="21"/>
                <w:vertAlign w:val="subscript"/>
                <w14:textFill>
                  <w14:solidFill>
                    <w14:schemeClr w14:val="tx1"/>
                  </w14:solidFill>
                </w14:textFill>
              </w:rPr>
              <w:t>2.5</w:t>
            </w:r>
            <w:r>
              <w:rPr>
                <w:rFonts w:ascii="Times New Roman" w:hAnsi="Times New Roman" w:cs="Times New Roman" w:eastAsiaTheme="minorEastAsia"/>
                <w:color w:val="000000" w:themeColor="text1"/>
                <w:sz w:val="21"/>
                <w:szCs w:val="21"/>
                <w14:textFill>
                  <w14:solidFill>
                    <w14:schemeClr w14:val="tx1"/>
                  </w14:solidFill>
                </w14:textFill>
              </w:rPr>
              <w:t>、CO、O</w:t>
            </w:r>
            <w:r>
              <w:rPr>
                <w:rFonts w:ascii="Times New Roman" w:hAnsi="Times New Roman" w:cs="Times New Roman" w:eastAsiaTheme="minorEastAsia"/>
                <w:color w:val="000000" w:themeColor="text1"/>
                <w:sz w:val="21"/>
                <w:szCs w:val="21"/>
                <w:vertAlign w:val="subscript"/>
                <w14:textFill>
                  <w14:solidFill>
                    <w14:schemeClr w14:val="tx1"/>
                  </w14:solidFill>
                </w14:textFill>
              </w:rPr>
              <w:t>3</w:t>
            </w:r>
            <w:r>
              <w:rPr>
                <w:rFonts w:ascii="Times New Roman" w:hAnsi="Times New Roman" w:cs="Times New Roman" w:eastAsiaTheme="minorEastAsia"/>
                <w:color w:val="000000" w:themeColor="text1"/>
                <w:sz w:val="21"/>
                <w:szCs w:val="21"/>
                <w14:textFill>
                  <w14:solidFill>
                    <w14:schemeClr w14:val="tx1"/>
                  </w14:solidFill>
                </w14:textFill>
              </w:rPr>
              <w:t>、氨、TSP、汞及其化合物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29" w:hRule="exact"/>
          <w:jc w:val="center"/>
        </w:trPr>
        <w:tc>
          <w:tcPr>
            <w:tcW w:w="1693" w:type="dxa"/>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2298"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预测评价</w:t>
            </w:r>
          </w:p>
        </w:tc>
        <w:tc>
          <w:tcPr>
            <w:tcW w:w="4531"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PM</w:t>
            </w:r>
            <w:r>
              <w:rPr>
                <w:rFonts w:ascii="Times New Roman" w:hAnsi="Times New Roman" w:cs="Times New Roman" w:eastAsiaTheme="minorEastAsia"/>
                <w:color w:val="000000" w:themeColor="text1"/>
                <w:sz w:val="21"/>
                <w:szCs w:val="21"/>
                <w:vertAlign w:val="subscript"/>
                <w14:textFill>
                  <w14:solidFill>
                    <w14:schemeClr w14:val="tx1"/>
                  </w14:solidFill>
                </w14:textFill>
              </w:rPr>
              <w:t>10</w:t>
            </w:r>
            <w:r>
              <w:rPr>
                <w:rFonts w:ascii="Times New Roman" w:hAnsi="Times New Roman" w:cs="Times New Roman" w:eastAsiaTheme="minorEastAsia"/>
                <w:color w:val="000000" w:themeColor="text1"/>
                <w:sz w:val="21"/>
                <w:szCs w:val="21"/>
                <w14:textFill>
                  <w14:solidFill>
                    <w14:schemeClr w14:val="tx1"/>
                  </w14:solidFill>
                </w14:textFill>
              </w:rPr>
              <w:t>、PM</w:t>
            </w:r>
            <w:r>
              <w:rPr>
                <w:rFonts w:ascii="Times New Roman" w:hAnsi="Times New Roman" w:cs="Times New Roman" w:eastAsiaTheme="minorEastAsia"/>
                <w:color w:val="000000" w:themeColor="text1"/>
                <w:sz w:val="21"/>
                <w:szCs w:val="21"/>
                <w:vertAlign w:val="subscript"/>
                <w14:textFill>
                  <w14:solidFill>
                    <w14:schemeClr w14:val="tx1"/>
                  </w14:solidFill>
                </w14:textFill>
              </w:rPr>
              <w:t>2.5</w:t>
            </w:r>
            <w:r>
              <w:rPr>
                <w:rFonts w:ascii="Times New Roman" w:hAnsi="Times New Roman" w:cs="Times New Roman" w:eastAsiaTheme="minorEastAsia"/>
                <w:color w:val="000000" w:themeColor="text1"/>
                <w:sz w:val="21"/>
                <w:szCs w:val="21"/>
                <w14:textFill>
                  <w14:solidFill>
                    <w14:schemeClr w14:val="tx1"/>
                  </w14:solidFill>
                </w14:textFill>
              </w:rPr>
              <w:t>、SO</w:t>
            </w:r>
            <w:r>
              <w:rPr>
                <w:rFonts w:ascii="Times New Roman" w:hAnsi="Times New Roman" w:cs="Times New Roman" w:eastAsiaTheme="minorEastAsia"/>
                <w:color w:val="000000" w:themeColor="text1"/>
                <w:sz w:val="21"/>
                <w:szCs w:val="21"/>
                <w:vertAlign w:val="subscript"/>
                <w14:textFill>
                  <w14:solidFill>
                    <w14:schemeClr w14:val="tx1"/>
                  </w14:solidFill>
                </w14:textFill>
              </w:rPr>
              <w:t>2</w:t>
            </w:r>
            <w:r>
              <w:rPr>
                <w:rFonts w:ascii="Times New Roman" w:hAnsi="Times New Roman" w:cs="Times New Roman" w:eastAsiaTheme="minorEastAsia"/>
                <w:color w:val="000000" w:themeColor="text1"/>
                <w:sz w:val="21"/>
                <w:szCs w:val="21"/>
                <w14:textFill>
                  <w14:solidFill>
                    <w14:schemeClr w14:val="tx1"/>
                  </w14:solidFill>
                </w14:textFill>
              </w:rPr>
              <w:t>、NO</w:t>
            </w:r>
            <w:r>
              <w:rPr>
                <w:rFonts w:ascii="Times New Roman" w:hAnsi="Times New Roman" w:cs="Times New Roman" w:eastAsiaTheme="minorEastAsia"/>
                <w:color w:val="000000" w:themeColor="text1"/>
                <w:sz w:val="21"/>
                <w:szCs w:val="21"/>
                <w:vertAlign w:val="subscript"/>
                <w14:textFill>
                  <w14:solidFill>
                    <w14:schemeClr w14:val="tx1"/>
                  </w14:solidFill>
                </w14:textFill>
              </w:rPr>
              <w:t>2</w:t>
            </w:r>
            <w:r>
              <w:rPr>
                <w:rFonts w:ascii="Times New Roman" w:hAnsi="Times New Roman" w:cs="Times New Roman" w:eastAsiaTheme="minorEastAsia"/>
                <w:color w:val="000000" w:themeColor="text1"/>
                <w:sz w:val="21"/>
                <w:szCs w:val="21"/>
                <w14:textFill>
                  <w14:solidFill>
                    <w14:schemeClr w14:val="tx1"/>
                  </w14:solidFill>
                </w14:textFill>
              </w:rPr>
              <w:t>、TSP、氨、汞及其化合物</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59" w:hRule="exact"/>
          <w:jc w:val="center"/>
        </w:trPr>
        <w:tc>
          <w:tcPr>
            <w:tcW w:w="1693" w:type="dxa"/>
            <w:vMerge w:val="restar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地表水</w:t>
            </w:r>
          </w:p>
        </w:tc>
        <w:tc>
          <w:tcPr>
            <w:tcW w:w="2298"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现状评价</w:t>
            </w:r>
          </w:p>
        </w:tc>
        <w:tc>
          <w:tcPr>
            <w:tcW w:w="4531"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PH、溶解氧、高锰酸盐指数、COD、BOD</w:t>
            </w:r>
            <w:r>
              <w:rPr>
                <w:rFonts w:ascii="Times New Roman" w:hAnsi="Times New Roman" w:cs="Times New Roman" w:eastAsiaTheme="minorEastAsia"/>
                <w:color w:val="000000" w:themeColor="text1"/>
                <w:sz w:val="21"/>
                <w:szCs w:val="21"/>
                <w:vertAlign w:val="subscript"/>
                <w14:textFill>
                  <w14:solidFill>
                    <w14:schemeClr w14:val="tx1"/>
                  </w14:solidFill>
                </w14:textFill>
              </w:rPr>
              <w:t>5</w:t>
            </w:r>
            <w:r>
              <w:rPr>
                <w:rFonts w:ascii="Times New Roman" w:hAnsi="Times New Roman" w:cs="Times New Roman" w:eastAsiaTheme="minorEastAsia"/>
                <w:color w:val="000000" w:themeColor="text1"/>
                <w:sz w:val="21"/>
                <w:szCs w:val="21"/>
                <w14:textFill>
                  <w14:solidFill>
                    <w14:schemeClr w14:val="tx1"/>
                  </w14:solidFill>
                </w14:textFill>
              </w:rPr>
              <w:t>、氨氮、挥发酚、氰化物、总砷、六价铬、氟化物、总磷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1693" w:type="dxa"/>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2298"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影响评价因子</w:t>
            </w:r>
          </w:p>
        </w:tc>
        <w:tc>
          <w:tcPr>
            <w:tcW w:w="4531"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1693" w:type="dxa"/>
            <w:vMerge w:val="restar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声环境</w:t>
            </w:r>
          </w:p>
        </w:tc>
        <w:tc>
          <w:tcPr>
            <w:tcW w:w="2298"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现状评价</w:t>
            </w:r>
          </w:p>
        </w:tc>
        <w:tc>
          <w:tcPr>
            <w:tcW w:w="4531"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Leq[dB(A)]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1693" w:type="dxa"/>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2298"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影响分析</w:t>
            </w:r>
          </w:p>
        </w:tc>
        <w:tc>
          <w:tcPr>
            <w:tcW w:w="4531"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Leq[dB(A)]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81" w:hRule="exact"/>
          <w:jc w:val="center"/>
        </w:trPr>
        <w:tc>
          <w:tcPr>
            <w:tcW w:w="1693" w:type="dxa"/>
            <w:vMerge w:val="restar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土壤环境</w:t>
            </w:r>
          </w:p>
        </w:tc>
        <w:tc>
          <w:tcPr>
            <w:tcW w:w="2298"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现状评价</w:t>
            </w:r>
          </w:p>
        </w:tc>
        <w:tc>
          <w:tcPr>
            <w:tcW w:w="4531" w:type="dxa"/>
            <w:vAlign w:val="center"/>
          </w:tcPr>
          <w:p>
            <w:pPr>
              <w:pStyle w:val="1406"/>
              <w:spacing w:line="240" w:lineRule="auto"/>
              <w:ind w:firstLine="0" w:firstLineChars="0"/>
              <w:rPr>
                <w:rFonts w:ascii="Times New Roman" w:hAnsi="Times New Roman"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pH、砷、镉、铬（六价）、铜、铅、汞、镍、石油烃、四氯化碳、氯仿、氯甲烷、1,1-二氯乙烷、1,2-二氯乙烷、1,1-二氯乙烯、1,2-顺式-二氯乙烯、1,2-反式-二氯乙烯、二氯甲烷、1,2-二氯丙烷、1,1,2,2-四氯乙烷、四氯乙烯、1,1,1-三氯乙烷、1,1,2-三氯乙烷、三氯乙烯、1,1,2-三氯丙烷、1,2,3-三氯丙烷、氯乙烯、苯、氯苯、1,2-二氯苯(邻二氯苯)、1,4-二氯苯(对二氯苯)、乙苯、苯乙烯、甲苯、间/对二甲苯、邻二甲苯、苯胺、2-氯酚、硝基苯、萘、苯并(a)蒽、䓛、苯并(b)荧蒽、苯并(k)荧蒽、苯并(a)芘、茚并(1,2,3-cd)芘、二苯并(a,h)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1693" w:type="dxa"/>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2298"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影响评价因子</w:t>
            </w:r>
          </w:p>
        </w:tc>
        <w:tc>
          <w:tcPr>
            <w:tcW w:w="4531" w:type="dxa"/>
            <w:vAlign w:val="center"/>
          </w:tcPr>
          <w:p>
            <w:pPr>
              <w:pStyle w:val="1406"/>
              <w:spacing w:line="240" w:lineRule="auto"/>
              <w:ind w:firstLine="0" w:firstLineChars="0"/>
              <w:rPr>
                <w:rFonts w:ascii="Times New Roman" w:hAnsi="Times New Roman"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汞</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84" w:hRule="exact"/>
          <w:jc w:val="center"/>
        </w:trPr>
        <w:tc>
          <w:tcPr>
            <w:tcW w:w="1693"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固体废物</w:t>
            </w:r>
          </w:p>
        </w:tc>
        <w:tc>
          <w:tcPr>
            <w:tcW w:w="2298"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污染源</w:t>
            </w:r>
          </w:p>
        </w:tc>
        <w:tc>
          <w:tcPr>
            <w:tcW w:w="4531"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生活垃圾、锅炉炉渣、除尘灰、脱硫渣、废催化剂、废树脂、废机油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84" w:hRule="exact"/>
          <w:jc w:val="center"/>
        </w:trPr>
        <w:tc>
          <w:tcPr>
            <w:tcW w:w="1693" w:type="dxa"/>
            <w:vAlign w:val="center"/>
          </w:tcPr>
          <w:p>
            <w:pPr>
              <w:pStyle w:val="27"/>
              <w:spacing w:line="240" w:lineRule="auto"/>
              <w:ind w:left="355"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风险评价</w:t>
            </w:r>
          </w:p>
        </w:tc>
        <w:tc>
          <w:tcPr>
            <w:tcW w:w="2298" w:type="dxa"/>
            <w:vAlign w:val="center"/>
          </w:tcPr>
          <w:p>
            <w:pPr>
              <w:pStyle w:val="600"/>
              <w:ind w:firstLine="0" w:firstLineChars="0"/>
              <w:rPr>
                <w:rFonts w:ascii="Times New Roman" w:hAnsi="Times New Roman" w:eastAsiaTheme="minorEastAsia"/>
                <w:color w:val="000000" w:themeColor="text1"/>
                <w:sz w:val="21"/>
                <w:szCs w:val="21"/>
                <w14:textFill>
                  <w14:solidFill>
                    <w14:schemeClr w14:val="tx1"/>
                  </w14:solidFill>
                </w14:textFill>
              </w:rPr>
            </w:pPr>
            <w:r>
              <w:rPr>
                <w:rFonts w:ascii="Times New Roman" w:hAnsi="Times New Roman" w:eastAsiaTheme="minorEastAsia"/>
                <w:color w:val="000000" w:themeColor="text1"/>
                <w:sz w:val="21"/>
                <w:szCs w:val="21"/>
                <w14:textFill>
                  <w14:solidFill>
                    <w14:schemeClr w14:val="tx1"/>
                  </w14:solidFill>
                </w14:textFill>
              </w:rPr>
              <w:t>开展简单分析</w:t>
            </w:r>
          </w:p>
        </w:tc>
        <w:tc>
          <w:tcPr>
            <w:tcW w:w="4531" w:type="dxa"/>
            <w:vAlign w:val="center"/>
          </w:tcPr>
          <w:p>
            <w:pPr>
              <w:pStyle w:val="600"/>
              <w:ind w:firstLine="0" w:firstLineChars="0"/>
              <w:rPr>
                <w:rFonts w:ascii="Times New Roman" w:hAnsi="Times New Roman" w:eastAsiaTheme="minorEastAsia"/>
                <w:color w:val="000000" w:themeColor="text1"/>
                <w:kern w:val="2"/>
                <w:sz w:val="21"/>
                <w:szCs w:val="21"/>
                <w14:textFill>
                  <w14:solidFill>
                    <w14:schemeClr w14:val="tx1"/>
                  </w14:solidFill>
                </w14:textFill>
              </w:rPr>
            </w:pPr>
            <w:r>
              <w:rPr>
                <w:rFonts w:ascii="Times New Roman" w:hAnsi="Times New Roman" w:eastAsiaTheme="minorEastAsia"/>
                <w:color w:val="000000" w:themeColor="text1"/>
                <w:sz w:val="21"/>
                <w:szCs w:val="21"/>
                <w14:textFill>
                  <w14:solidFill>
                    <w14:schemeClr w14:val="tx1"/>
                  </w14:solidFill>
                </w14:textFill>
              </w:rPr>
              <w:t>环境风险简单分析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84" w:hRule="exact"/>
          <w:jc w:val="center"/>
        </w:trPr>
        <w:tc>
          <w:tcPr>
            <w:tcW w:w="1693"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生态环境</w:t>
            </w:r>
          </w:p>
        </w:tc>
        <w:tc>
          <w:tcPr>
            <w:tcW w:w="2298"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简单分析</w:t>
            </w:r>
          </w:p>
        </w:tc>
        <w:tc>
          <w:tcPr>
            <w:tcW w:w="4531" w:type="dxa"/>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植被覆盖度、生物量、生态系统功能等</w:t>
            </w: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60" w:name="_Toc532974697"/>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2.2.2评价标准</w:t>
      </w:r>
      <w:bookmarkEnd w:id="60"/>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2.2.2.1区域环境功能区划</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本项目位于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黑龙江省友谊县红兴隆管理局在管理局局直南侧</w:t>
      </w:r>
      <w:r>
        <w:rPr>
          <w:rFonts w:ascii="Times New Roman" w:hAnsi="Times New Roman" w:cs="Times New Roman" w:eastAsiaTheme="minorEastAsia"/>
          <w:color w:val="000000" w:themeColor="text1"/>
          <w:sz w:val="24"/>
          <w:szCs w:val="24"/>
          <w:lang w:val="en-US"/>
          <w14:textFill>
            <w14:solidFill>
              <w14:schemeClr w14:val="tx1"/>
            </w14:solidFill>
          </w14:textFill>
        </w:rPr>
        <w:t>，根据环境空气质量功能区划，本评价范围内环境空气质量功能均为二类区。另外，本项目所在区域不在酸雨和SO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控制区内。</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本项目声环境功能区执行《声环境质量标准》(GB3096-2008)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类标准。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本项目所在区域地表水体为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扁石河，扁石河为挠力河支流，根据</w:t>
      </w:r>
      <w:r>
        <w:rPr>
          <w:rFonts w:ascii="Times New Roman" w:hAnsi="Times New Roman" w:cs="Times New Roman" w:eastAsiaTheme="minorEastAsia"/>
          <w:color w:val="000000" w:themeColor="text1"/>
          <w:sz w:val="24"/>
          <w:szCs w:val="24"/>
          <w:lang w:val="en-US"/>
          <w14:textFill>
            <w14:solidFill>
              <w14:schemeClr w14:val="tx1"/>
            </w14:solidFill>
          </w14:textFill>
        </w:rPr>
        <w:t>《国务院关于全国重要江河湖泊水功能区划（2010-2030年）的批复》国函[2011]167号文件，</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挠力河（大、小挠力河汇合至炮台亮子断面）为</w:t>
      </w:r>
      <w:r>
        <w:rPr>
          <w:rFonts w:ascii="Times New Roman" w:hAnsi="Times New Roman" w:cs="Times New Roman" w:eastAsiaTheme="minorEastAsia"/>
          <w:color w:val="000000" w:themeColor="text1"/>
          <w:sz w:val="24"/>
          <w:szCs w:val="24"/>
          <w:lang w:val="en-US"/>
          <w14:textFill>
            <w14:solidFill>
              <w14:schemeClr w14:val="tx1"/>
            </w14:solidFill>
          </w14:textFill>
        </w:rPr>
        <w:t>Ⅲ类</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水体</w:t>
      </w:r>
      <w:r>
        <w:rPr>
          <w:rFonts w:ascii="Times New Roman" w:hAnsi="Times New Roman" w:cs="Times New Roman" w:eastAsiaTheme="minorEastAsia"/>
          <w:color w:val="000000" w:themeColor="text1"/>
          <w:sz w:val="24"/>
          <w:szCs w:val="24"/>
          <w:lang w:val="en-US"/>
          <w14:textFill>
            <w14:solidFill>
              <w14:schemeClr w14:val="tx1"/>
            </w14:solidFill>
          </w14:textFill>
        </w:rPr>
        <w:t>，该断面执行国家《地表水环境质量标准》（GB3838-2002）中的Ⅲ类标准。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本项目为公用设施用地</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并且本项目</w:t>
      </w:r>
      <w:r>
        <w:rPr>
          <w:rFonts w:ascii="Times New Roman" w:hAnsi="Times New Roman" w:cs="Times New Roman" w:eastAsiaTheme="minorEastAsia"/>
          <w:color w:val="000000" w:themeColor="text1"/>
          <w:sz w:val="24"/>
          <w:szCs w:val="24"/>
          <w:lang w:val="en-US"/>
          <w14:textFill>
            <w14:solidFill>
              <w14:schemeClr w14:val="tx1"/>
            </w14:solidFill>
          </w14:textFill>
        </w:rPr>
        <w:t>在原有厂区内进行建设。</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土壤环境执行《土壤环境质量建设用地土壤污染风险管控标准（试行）》（</w:t>
      </w:r>
      <w:r>
        <w:rPr>
          <w:rFonts w:ascii="Times New Roman" w:hAnsi="Times New Roman" w:cs="Times New Roman" w:eastAsiaTheme="minorEastAsia"/>
          <w:color w:val="000000" w:themeColor="text1"/>
          <w:sz w:val="24"/>
          <w:szCs w:val="24"/>
          <w:lang w:val="en-US"/>
          <w14:textFill>
            <w14:solidFill>
              <w14:schemeClr w14:val="tx1"/>
            </w14:solidFill>
          </w14:textFill>
        </w:rPr>
        <w:t>GB36600-2018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第二类用地筛选值标准</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评价区环境质量功能区划见表2-2-4。</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表2-2-4环境功能区划一览表</w:t>
      </w:r>
    </w:p>
    <w:tbl>
      <w:tblPr>
        <w:tblStyle w:val="7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2"/>
        <w:gridCol w:w="1242"/>
        <w:gridCol w:w="2492"/>
        <w:gridCol w:w="1134"/>
        <w:gridCol w:w="26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序号</w:t>
            </w:r>
          </w:p>
        </w:tc>
        <w:tc>
          <w:tcPr>
            <w:tcW w:w="1242"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环境要素</w:t>
            </w:r>
          </w:p>
        </w:tc>
        <w:tc>
          <w:tcPr>
            <w:tcW w:w="2492"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所属区域</w:t>
            </w:r>
          </w:p>
        </w:tc>
        <w:tc>
          <w:tcPr>
            <w:tcW w:w="1134"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功能区划</w:t>
            </w:r>
          </w:p>
        </w:tc>
        <w:tc>
          <w:tcPr>
            <w:tcW w:w="2636"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划分依据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1</w:t>
            </w:r>
          </w:p>
        </w:tc>
        <w:tc>
          <w:tcPr>
            <w:tcW w:w="1242"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地表水</w:t>
            </w:r>
          </w:p>
        </w:tc>
        <w:tc>
          <w:tcPr>
            <w:tcW w:w="2492" w:type="dxa"/>
            <w:vAlign w:val="center"/>
          </w:tcPr>
          <w:p>
            <w:pPr>
              <w:pStyle w:val="95"/>
              <w:jc w:val="center"/>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本项目所处地表水系为挠力河（起始断面：大小挠力河汇合，终止断面：炮台亮子）</w:t>
            </w:r>
          </w:p>
        </w:tc>
        <w:tc>
          <w:tcPr>
            <w:tcW w:w="1134" w:type="dxa"/>
            <w:vAlign w:val="center"/>
          </w:tcPr>
          <w:p>
            <w:pPr>
              <w:pStyle w:val="95"/>
              <w:jc w:val="center"/>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Ⅲ类</w:t>
            </w:r>
          </w:p>
        </w:tc>
        <w:tc>
          <w:tcPr>
            <w:tcW w:w="2636"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《全国重要江河湖泊水功能区划（2011-2030年）》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2</w:t>
            </w:r>
          </w:p>
        </w:tc>
        <w:tc>
          <w:tcPr>
            <w:tcW w:w="1242"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环境空气</w:t>
            </w:r>
          </w:p>
        </w:tc>
        <w:tc>
          <w:tcPr>
            <w:tcW w:w="2492"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居住商业工业混合区，不属于风景名胜区、自然保护区等</w:t>
            </w:r>
          </w:p>
        </w:tc>
        <w:tc>
          <w:tcPr>
            <w:tcW w:w="1134"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二类区</w:t>
            </w:r>
          </w:p>
        </w:tc>
        <w:tc>
          <w:tcPr>
            <w:tcW w:w="2636"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《环境空气质量标准》（GB3095-2012）及其修改单</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3</w:t>
            </w:r>
          </w:p>
        </w:tc>
        <w:tc>
          <w:tcPr>
            <w:tcW w:w="1242"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噪声</w:t>
            </w:r>
          </w:p>
        </w:tc>
        <w:tc>
          <w:tcPr>
            <w:tcW w:w="2492"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2类声环境功能区</w:t>
            </w:r>
          </w:p>
        </w:tc>
        <w:tc>
          <w:tcPr>
            <w:tcW w:w="1134"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2类</w:t>
            </w:r>
          </w:p>
        </w:tc>
        <w:tc>
          <w:tcPr>
            <w:tcW w:w="2636"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《声环境质量标准》（GB3096-2008）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2"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4</w:t>
            </w:r>
          </w:p>
        </w:tc>
        <w:tc>
          <w:tcPr>
            <w:tcW w:w="1242" w:type="dxa"/>
            <w:vAlign w:val="center"/>
          </w:tcPr>
          <w:p>
            <w:pPr>
              <w:pStyle w:val="93"/>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14:textFill>
                  <w14:solidFill>
                    <w14:schemeClr w14:val="tx1"/>
                  </w14:solidFill>
                </w14:textFill>
              </w:rPr>
              <w:t>土壤</w:t>
            </w:r>
          </w:p>
        </w:tc>
        <w:tc>
          <w:tcPr>
            <w:tcW w:w="2492" w:type="dxa"/>
            <w:vAlign w:val="center"/>
          </w:tcPr>
          <w:p>
            <w:pPr>
              <w:pStyle w:val="1406"/>
              <w:spacing w:line="240" w:lineRule="auto"/>
              <w:ind w:firstLine="0" w:firstLineChars="0"/>
              <w:rPr>
                <w:rFonts w:ascii="Times New Roman" w:hAnsi="Times New Roman"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建设用地</w:t>
            </w:r>
          </w:p>
        </w:tc>
        <w:tc>
          <w:tcPr>
            <w:tcW w:w="1134" w:type="dxa"/>
            <w:vAlign w:val="center"/>
          </w:tcPr>
          <w:p>
            <w:pPr>
              <w:pStyle w:val="1406"/>
              <w:spacing w:line="240" w:lineRule="auto"/>
              <w:ind w:firstLine="0" w:firstLineChars="0"/>
              <w:rPr>
                <w:rFonts w:ascii="Times New Roman" w:hAnsi="Times New Roman"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第二类用地筛选值</w:t>
            </w:r>
          </w:p>
        </w:tc>
        <w:tc>
          <w:tcPr>
            <w:tcW w:w="2636" w:type="dxa"/>
            <w:vAlign w:val="center"/>
          </w:tcPr>
          <w:p>
            <w:pPr>
              <w:pStyle w:val="1406"/>
              <w:spacing w:line="240" w:lineRule="auto"/>
              <w:ind w:firstLine="0" w:firstLineChars="0"/>
              <w:rPr>
                <w:rFonts w:ascii="Times New Roman" w:hAnsi="Times New Roman" w:eastAsiaTheme="minorEastAsia"/>
                <w:color w:val="000000" w:themeColor="text1"/>
                <w14:textFill>
                  <w14:solidFill>
                    <w14:schemeClr w14:val="tx1"/>
                  </w14:solidFill>
                </w14:textFill>
              </w:rPr>
            </w:pPr>
            <w:r>
              <w:rPr>
                <w:rFonts w:ascii="Times New Roman" w:hAnsi="Times New Roman" w:eastAsiaTheme="minorEastAsia"/>
                <w:color w:val="000000" w:themeColor="text1"/>
                <w14:textFill>
                  <w14:solidFill>
                    <w14:schemeClr w14:val="tx1"/>
                  </w14:solidFill>
                </w14:textFill>
              </w:rPr>
              <w:t>《土壤环境质量建设用地土壤污染风险管控标准（试行）》（GB36600-2018）</w:t>
            </w:r>
          </w:p>
        </w:tc>
      </w:tr>
    </w:tbl>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2.2.2.2环境质量标准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本次评价采用的环境质量标准和污染物排放标准</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一览表</w:t>
      </w:r>
      <w:r>
        <w:rPr>
          <w:rFonts w:ascii="Times New Roman" w:hAnsi="Times New Roman" w:cs="Times New Roman" w:eastAsiaTheme="minorEastAsia"/>
          <w:color w:val="000000" w:themeColor="text1"/>
          <w:sz w:val="24"/>
          <w:szCs w:val="24"/>
          <w:lang w:val="en-US"/>
          <w14:textFill>
            <w14:solidFill>
              <w14:schemeClr w14:val="tx1"/>
            </w14:solidFill>
          </w14:textFill>
        </w:rPr>
        <w:t>见表2-2-5；采用的环境质量标准各标准限值详见表2-2-6</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至表2-2-8</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89"/>
        <w:ind w:firstLine="177"/>
        <w:rPr>
          <w:color w:val="000000" w:themeColor="text1"/>
          <w:lang w:val="en-US"/>
          <w14:textFill>
            <w14:solidFill>
              <w14:schemeClr w14:val="tx1"/>
            </w14:solidFill>
          </w14:textFill>
        </w:rPr>
      </w:pPr>
    </w:p>
    <w:p>
      <w:pPr>
        <w:pStyle w:val="90"/>
        <w:ind w:firstLine="207"/>
        <w:rPr>
          <w:color w:val="000000" w:themeColor="text1"/>
          <w:lang w:val="en-US"/>
          <w14:textFill>
            <w14:solidFill>
              <w14:schemeClr w14:val="tx1"/>
            </w14:solidFill>
          </w14:textFill>
        </w:rPr>
      </w:pPr>
    </w:p>
    <w:p>
      <w:pPr>
        <w:ind w:firstLine="177"/>
        <w:rPr>
          <w:color w:val="000000" w:themeColor="text1"/>
          <w:lang w:val="en-US"/>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表2-2-5评价标准一览表</w:t>
      </w:r>
    </w:p>
    <w:tbl>
      <w:tblPr>
        <w:tblStyle w:val="7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63"/>
        <w:gridCol w:w="1299"/>
        <w:gridCol w:w="3523"/>
        <w:gridCol w:w="1684"/>
        <w:gridCol w:w="125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210" w:type="pct"/>
            <w:gridSpan w:val="2"/>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项目</w:t>
            </w:r>
          </w:p>
        </w:tc>
        <w:tc>
          <w:tcPr>
            <w:tcW w:w="2067"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标准名称</w:t>
            </w:r>
          </w:p>
        </w:tc>
        <w:tc>
          <w:tcPr>
            <w:tcW w:w="988"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标准号</w:t>
            </w:r>
          </w:p>
        </w:tc>
        <w:tc>
          <w:tcPr>
            <w:tcW w:w="735"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执行级别/类别</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448" w:type="pct"/>
            <w:vMerge w:val="restar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环境</w:t>
            </w:r>
          </w:p>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质量</w:t>
            </w:r>
          </w:p>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标准</w:t>
            </w:r>
          </w:p>
        </w:tc>
        <w:tc>
          <w:tcPr>
            <w:tcW w:w="762" w:type="pct"/>
            <w:vMerge w:val="restar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环境空气</w:t>
            </w:r>
          </w:p>
        </w:tc>
        <w:tc>
          <w:tcPr>
            <w:tcW w:w="2067"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《环境空气质量标准》</w:t>
            </w:r>
          </w:p>
        </w:tc>
        <w:tc>
          <w:tcPr>
            <w:tcW w:w="988"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 xml:space="preserve">GB3095-2012 </w:t>
            </w:r>
          </w:p>
        </w:tc>
        <w:tc>
          <w:tcPr>
            <w:tcW w:w="735"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二级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33" w:hRule="exact"/>
          <w:jc w:val="center"/>
        </w:trPr>
        <w:tc>
          <w:tcPr>
            <w:tcW w:w="448"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762"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2067"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《环境影响评价技术导则大气环境》</w:t>
            </w:r>
          </w:p>
        </w:tc>
        <w:tc>
          <w:tcPr>
            <w:tcW w:w="988"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HJ2.2-2018</w:t>
            </w:r>
          </w:p>
        </w:tc>
        <w:tc>
          <w:tcPr>
            <w:tcW w:w="735"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附录D</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448"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762"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地表水环境</w:t>
            </w:r>
          </w:p>
        </w:tc>
        <w:tc>
          <w:tcPr>
            <w:tcW w:w="2067"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《地表水环境质量标准》</w:t>
            </w:r>
          </w:p>
        </w:tc>
        <w:tc>
          <w:tcPr>
            <w:tcW w:w="988"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GB3838-2002</w:t>
            </w:r>
          </w:p>
        </w:tc>
        <w:tc>
          <w:tcPr>
            <w:tcW w:w="735"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Ⅲ类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448"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762"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声环境</w:t>
            </w:r>
          </w:p>
        </w:tc>
        <w:tc>
          <w:tcPr>
            <w:tcW w:w="2067"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《声环境质量标准》</w:t>
            </w:r>
          </w:p>
        </w:tc>
        <w:tc>
          <w:tcPr>
            <w:tcW w:w="988"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GB3096-2008</w:t>
            </w:r>
          </w:p>
        </w:tc>
        <w:tc>
          <w:tcPr>
            <w:tcW w:w="735"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2类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68" w:hRule="exact"/>
          <w:jc w:val="center"/>
        </w:trPr>
        <w:tc>
          <w:tcPr>
            <w:tcW w:w="448"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762" w:type="pct"/>
            <w:vMerge w:val="restar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土壤环境</w:t>
            </w:r>
          </w:p>
        </w:tc>
        <w:tc>
          <w:tcPr>
            <w:tcW w:w="2067"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《土壤环境质量建设用地土壤污染风险管控标准（试行）》</w:t>
            </w:r>
          </w:p>
        </w:tc>
        <w:tc>
          <w:tcPr>
            <w:tcW w:w="988"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GB36600-2018</w:t>
            </w:r>
          </w:p>
        </w:tc>
        <w:tc>
          <w:tcPr>
            <w:tcW w:w="735"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第二类用地筛选值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48" w:hRule="exact"/>
          <w:jc w:val="center"/>
        </w:trPr>
        <w:tc>
          <w:tcPr>
            <w:tcW w:w="448"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762"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2067"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《土壤环境质量 农用地土壤污染风险管控标准（试行）》</w:t>
            </w:r>
          </w:p>
        </w:tc>
        <w:tc>
          <w:tcPr>
            <w:tcW w:w="988"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GB15618-2018</w:t>
            </w:r>
          </w:p>
        </w:tc>
        <w:tc>
          <w:tcPr>
            <w:tcW w:w="735"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农用地土壤污染风险筛选值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379" w:hRule="exact"/>
          <w:jc w:val="center"/>
        </w:trPr>
        <w:tc>
          <w:tcPr>
            <w:tcW w:w="448" w:type="pct"/>
            <w:vMerge w:val="restar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污染物排放标准</w:t>
            </w:r>
          </w:p>
        </w:tc>
        <w:tc>
          <w:tcPr>
            <w:tcW w:w="762" w:type="pct"/>
            <w:vMerge w:val="restar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废气</w:t>
            </w:r>
          </w:p>
        </w:tc>
        <w:tc>
          <w:tcPr>
            <w:tcW w:w="3790" w:type="pct"/>
            <w:gridSpan w:val="3"/>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1"/>
                <w:szCs w:val="21"/>
                <w:vertAlign w:val="subscript"/>
                <w14:textFill>
                  <w14:solidFill>
                    <w14:schemeClr w14:val="tx1"/>
                  </w14:solidFill>
                </w14:textFill>
              </w:rPr>
              <w:t>2</w:t>
            </w:r>
            <w:r>
              <w:rPr>
                <w:rFonts w:ascii="Times New Roman" w:hAnsi="Times New Roman" w:cs="Times New Roman" w:eastAsiaTheme="minorEastAsia"/>
                <w:color w:val="000000" w:themeColor="text1"/>
                <w:sz w:val="21"/>
                <w:szCs w:val="21"/>
                <w14:textFill>
                  <w14:solidFill>
                    <w14:schemeClr w14:val="tx1"/>
                  </w14:solidFill>
                </w14:textFill>
              </w:rPr>
              <w:t>、NOx排放浓度分别不高于10mg/m</w:t>
            </w:r>
            <w:r>
              <w:rPr>
                <w:rFonts w:ascii="Times New Roman" w:hAnsi="Times New Roman" w:cs="Times New Roman" w:eastAsiaTheme="minorEastAsia"/>
                <w:color w:val="000000" w:themeColor="text1"/>
                <w:sz w:val="21"/>
                <w:szCs w:val="21"/>
                <w:vertAlign w:val="superscript"/>
                <w14:textFill>
                  <w14:solidFill>
                    <w14:schemeClr w14:val="tx1"/>
                  </w14:solidFill>
                </w14:textFill>
              </w:rPr>
              <w:t>3</w:t>
            </w:r>
            <w:r>
              <w:rPr>
                <w:rFonts w:ascii="Times New Roman" w:hAnsi="Times New Roman" w:cs="Times New Roman" w:eastAsiaTheme="minorEastAsia"/>
                <w:color w:val="000000" w:themeColor="text1"/>
                <w:sz w:val="21"/>
                <w:szCs w:val="21"/>
                <w14:textFill>
                  <w14:solidFill>
                    <w14:schemeClr w14:val="tx1"/>
                  </w14:solidFill>
                </w14:textFill>
              </w:rPr>
              <w:t>、35mg/m</w:t>
            </w:r>
            <w:r>
              <w:rPr>
                <w:rFonts w:ascii="Times New Roman" w:hAnsi="Times New Roman" w:cs="Times New Roman" w:eastAsiaTheme="minorEastAsia"/>
                <w:color w:val="000000" w:themeColor="text1"/>
                <w:sz w:val="21"/>
                <w:szCs w:val="21"/>
                <w:vertAlign w:val="superscript"/>
                <w14:textFill>
                  <w14:solidFill>
                    <w14:schemeClr w14:val="tx1"/>
                  </w14:solidFill>
                </w14:textFill>
              </w:rPr>
              <w:t>3</w:t>
            </w:r>
            <w:r>
              <w:rPr>
                <w:rFonts w:ascii="Times New Roman" w:hAnsi="Times New Roman" w:cs="Times New Roman" w:eastAsiaTheme="minorEastAsia"/>
                <w:color w:val="000000" w:themeColor="text1"/>
                <w:sz w:val="21"/>
                <w:szCs w:val="21"/>
                <w14:textFill>
                  <w14:solidFill>
                    <w14:schemeClr w14:val="tx1"/>
                  </w14:solidFill>
                </w14:textFill>
              </w:rPr>
              <w:t>、50mg/m</w:t>
            </w:r>
            <w:r>
              <w:rPr>
                <w:rFonts w:ascii="Times New Roman" w:hAnsi="Times New Roman" w:cs="Times New Roman" w:eastAsiaTheme="minorEastAsia"/>
                <w:color w:val="000000" w:themeColor="text1"/>
                <w:sz w:val="21"/>
                <w:szCs w:val="21"/>
                <w:vertAlign w:val="superscript"/>
                <w14:textFill>
                  <w14:solidFill>
                    <w14:schemeClr w14:val="tx1"/>
                  </w14:solidFill>
                </w14:textFill>
              </w:rPr>
              <w:t>3</w:t>
            </w:r>
            <w:r>
              <w:rPr>
                <w:rFonts w:ascii="Times New Roman" w:hAnsi="Times New Roman" w:cs="Times New Roman" w:eastAsiaTheme="minorEastAsia"/>
                <w:color w:val="000000" w:themeColor="text1"/>
                <w:sz w:val="21"/>
                <w:szCs w:val="2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448"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762"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2067"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《锅炉大气污染物排放标准》</w:t>
            </w:r>
          </w:p>
        </w:tc>
        <w:tc>
          <w:tcPr>
            <w:tcW w:w="988"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GB13271-2014</w:t>
            </w:r>
          </w:p>
        </w:tc>
        <w:tc>
          <w:tcPr>
            <w:tcW w:w="735"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表2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448"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762"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2067"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《大气污染物综合排放标准》</w:t>
            </w:r>
          </w:p>
        </w:tc>
        <w:tc>
          <w:tcPr>
            <w:tcW w:w="988"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GB16297-1996</w:t>
            </w:r>
          </w:p>
        </w:tc>
        <w:tc>
          <w:tcPr>
            <w:tcW w:w="735"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表2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448"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762"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2067"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《恶臭污染物排放标准》</w:t>
            </w:r>
          </w:p>
        </w:tc>
        <w:tc>
          <w:tcPr>
            <w:tcW w:w="988"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GB14554-93</w:t>
            </w:r>
          </w:p>
        </w:tc>
        <w:tc>
          <w:tcPr>
            <w:tcW w:w="735"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24" w:hRule="exact"/>
          <w:jc w:val="center"/>
        </w:trPr>
        <w:tc>
          <w:tcPr>
            <w:tcW w:w="448"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762" w:type="pct"/>
            <w:vMerge w:val="restar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噪声</w:t>
            </w:r>
          </w:p>
        </w:tc>
        <w:tc>
          <w:tcPr>
            <w:tcW w:w="2067"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《建筑施工场界环境噪声排放标准》</w:t>
            </w:r>
          </w:p>
        </w:tc>
        <w:tc>
          <w:tcPr>
            <w:tcW w:w="988"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GB12523-2011</w:t>
            </w:r>
          </w:p>
        </w:tc>
        <w:tc>
          <w:tcPr>
            <w:tcW w:w="735"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表1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18" w:hRule="exact"/>
          <w:jc w:val="center"/>
        </w:trPr>
        <w:tc>
          <w:tcPr>
            <w:tcW w:w="448"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762"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2067"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《工业企业厂界环境噪声排放标准》</w:t>
            </w:r>
          </w:p>
        </w:tc>
        <w:tc>
          <w:tcPr>
            <w:tcW w:w="988"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GB12348-2008</w:t>
            </w:r>
          </w:p>
        </w:tc>
        <w:tc>
          <w:tcPr>
            <w:tcW w:w="735"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2类</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700" w:hRule="exact"/>
          <w:jc w:val="center"/>
        </w:trPr>
        <w:tc>
          <w:tcPr>
            <w:tcW w:w="448"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762"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废水</w:t>
            </w:r>
          </w:p>
        </w:tc>
        <w:tc>
          <w:tcPr>
            <w:tcW w:w="3790" w:type="pct"/>
            <w:gridSpan w:val="3"/>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本项目无新增工作人员，无新增生活污水；营运期新增的锅炉排污水、脱硫废水等均回用于厂区除渣、脱硫、降尘等，不外排。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80" w:hRule="exact"/>
          <w:jc w:val="center"/>
        </w:trPr>
        <w:tc>
          <w:tcPr>
            <w:tcW w:w="448"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762"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固体废物</w:t>
            </w:r>
          </w:p>
        </w:tc>
        <w:tc>
          <w:tcPr>
            <w:tcW w:w="3790" w:type="pct"/>
            <w:gridSpan w:val="3"/>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《一般工业固体废物贮存和填埋污染控制标准》(GB18599-2020)、《固体废物分类与代码目录》(公告 2024年 第4号)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15" w:hRule="exact"/>
          <w:jc w:val="center"/>
        </w:trPr>
        <w:tc>
          <w:tcPr>
            <w:tcW w:w="448" w:type="pct"/>
            <w:vMerge w:val="continue"/>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p>
        </w:tc>
        <w:tc>
          <w:tcPr>
            <w:tcW w:w="762"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危险废物</w:t>
            </w:r>
          </w:p>
        </w:tc>
        <w:tc>
          <w:tcPr>
            <w:tcW w:w="3790" w:type="pct"/>
            <w:gridSpan w:val="3"/>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《危险废物贮存污染控制标准》（GB18597-2023）</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表2-2-6本项目环境空气质量标准一览表</w:t>
      </w:r>
    </w:p>
    <w:tbl>
      <w:tblPr>
        <w:tblStyle w:val="7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60"/>
        <w:gridCol w:w="3092"/>
        <w:gridCol w:w="1277"/>
        <w:gridCol w:w="1416"/>
        <w:gridCol w:w="1287"/>
        <w:gridCol w:w="8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类别</w:t>
            </w:r>
          </w:p>
        </w:tc>
        <w:tc>
          <w:tcPr>
            <w:tcW w:w="181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标准名称及级（类）别</w:t>
            </w:r>
          </w:p>
        </w:tc>
        <w:tc>
          <w:tcPr>
            <w:tcW w:w="74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因子</w:t>
            </w:r>
          </w:p>
        </w:tc>
        <w:tc>
          <w:tcPr>
            <w:tcW w:w="2108"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86"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单位</w:t>
            </w:r>
          </w:p>
        </w:tc>
        <w:tc>
          <w:tcPr>
            <w:tcW w:w="52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数值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环境空气</w:t>
            </w:r>
          </w:p>
        </w:tc>
        <w:tc>
          <w:tcPr>
            <w:tcW w:w="181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《环境空气质量标准》</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（GB3095-2012）</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中二级标准</w:t>
            </w:r>
          </w:p>
        </w:tc>
        <w:tc>
          <w:tcPr>
            <w:tcW w:w="74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小时平均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日平均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2</w:t>
            </w: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小时平均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日平均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x</w:t>
            </w: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小时平均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日平均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CO</w:t>
            </w: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小时平均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日平均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O</w:t>
            </w:r>
            <w:r>
              <w:rPr>
                <w:rFonts w:ascii="Times New Roman" w:eastAsiaTheme="minorEastAsia"/>
                <w:color w:val="000000" w:themeColor="text1"/>
                <w:sz w:val="21"/>
                <w:szCs w:val="21"/>
                <w:vertAlign w:val="subscript"/>
                <w14:textFill>
                  <w14:solidFill>
                    <w14:schemeClr w14:val="tx1"/>
                  </w14:solidFill>
                </w14:textFill>
              </w:rPr>
              <w:t>3</w:t>
            </w: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小时平均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日平均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w:t>
            </w:r>
            <w:r>
              <w:rPr>
                <w:rFonts w:ascii="Times New Roman" w:eastAsiaTheme="minorEastAsia"/>
                <w:color w:val="000000" w:themeColor="text1"/>
                <w:sz w:val="21"/>
                <w:szCs w:val="21"/>
                <w:vertAlign w:val="subscript"/>
                <w14:textFill>
                  <w14:solidFill>
                    <w14:schemeClr w14:val="tx1"/>
                  </w14:solidFill>
                </w14:textFill>
              </w:rPr>
              <w:t>10</w:t>
            </w: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日平均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w:t>
            </w:r>
            <w:r>
              <w:rPr>
                <w:rFonts w:ascii="Times New Roman" w:eastAsiaTheme="minorEastAsia"/>
                <w:color w:val="000000" w:themeColor="text1"/>
                <w:sz w:val="21"/>
                <w:szCs w:val="21"/>
                <w:vertAlign w:val="subscript"/>
                <w14:textFill>
                  <w14:solidFill>
                    <w14:schemeClr w14:val="tx1"/>
                  </w14:solidFill>
                </w14:textFill>
              </w:rPr>
              <w:t>2.5</w:t>
            </w: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日平均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TSP</w:t>
            </w: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日平均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μg/Nm</w:t>
            </w:r>
            <w:r>
              <w:rPr>
                <w:rFonts w:ascii="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96"/>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2"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《环境影响评价技术导则大气环境附录D》（HJ2.2-2018）</w:t>
            </w:r>
          </w:p>
        </w:tc>
        <w:tc>
          <w:tcPr>
            <w:tcW w:w="749"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NH</w:t>
            </w:r>
            <w:r>
              <w:rPr>
                <w:rFonts w:ascii="Times New Roman" w:hAnsi="Times New Roman" w:cs="Times New Roman" w:eastAsiaTheme="minorEastAsia"/>
                <w:color w:val="000000" w:themeColor="text1"/>
                <w:sz w:val="21"/>
                <w:szCs w:val="21"/>
                <w:vertAlign w:val="subscript"/>
                <w14:textFill>
                  <w14:solidFill>
                    <w14:schemeClr w14:val="tx1"/>
                  </w14:solidFill>
                </w14:textFill>
              </w:rPr>
              <w:t>3</w:t>
            </w:r>
          </w:p>
        </w:tc>
        <w:tc>
          <w:tcPr>
            <w:tcW w:w="831"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1h平均</w:t>
            </w:r>
          </w:p>
        </w:tc>
        <w:tc>
          <w:tcPr>
            <w:tcW w:w="755"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μg/Nm</w:t>
            </w:r>
            <w:r>
              <w:rPr>
                <w:rFonts w:ascii="Times New Roman" w:hAnsi="Times New Roman" w:cs="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8" w:hRule="exact"/>
        </w:trPr>
        <w:tc>
          <w:tcPr>
            <w:tcW w:w="3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14"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《环境空气质量标准》（GB3095-2012）附录A.1</w:t>
            </w:r>
          </w:p>
        </w:tc>
        <w:tc>
          <w:tcPr>
            <w:tcW w:w="749"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Hg</w:t>
            </w:r>
          </w:p>
        </w:tc>
        <w:tc>
          <w:tcPr>
            <w:tcW w:w="831"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年平均</w:t>
            </w:r>
          </w:p>
        </w:tc>
        <w:tc>
          <w:tcPr>
            <w:tcW w:w="755" w:type="pct"/>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μg/Nm</w:t>
            </w:r>
            <w:r>
              <w:rPr>
                <w:rFonts w:ascii="Times New Roman" w:hAnsi="Times New Roman" w:cs="Times New Roman" w:eastAsiaTheme="minorEastAsia"/>
                <w:color w:val="000000" w:themeColor="text1"/>
                <w:sz w:val="21"/>
                <w:szCs w:val="21"/>
                <w:vertAlign w:val="superscript"/>
                <w14:textFill>
                  <w14:solidFill>
                    <w14:schemeClr w14:val="tx1"/>
                  </w14:solidFill>
                </w14:textFill>
              </w:rPr>
              <w:t>3</w:t>
            </w:r>
          </w:p>
        </w:tc>
        <w:tc>
          <w:tcPr>
            <w:tcW w:w="522" w:type="pct"/>
            <w:vAlign w:val="center"/>
          </w:tcPr>
          <w:p>
            <w:pPr>
              <w:pStyle w:val="1411"/>
              <w:adjustRightInd/>
              <w:spacing w:line="240" w:lineRule="auto"/>
              <w:jc w:val="center"/>
              <w:textAlignment w:val="auto"/>
              <w:rPr>
                <w:rFonts w:ascii="Times New Roman" w:eastAsiaTheme="minorEastAsia"/>
                <w:color w:val="000000" w:themeColor="text1"/>
                <w:kern w:val="2"/>
                <w:sz w:val="21"/>
                <w:szCs w:val="21"/>
                <w14:textFill>
                  <w14:solidFill>
                    <w14:schemeClr w14:val="tx1"/>
                  </w14:solidFill>
                </w14:textFill>
              </w:rPr>
            </w:pPr>
            <w:r>
              <w:rPr>
                <w:rFonts w:ascii="Times New Roman" w:eastAsiaTheme="minorEastAsia"/>
                <w:color w:val="000000" w:themeColor="text1"/>
                <w:kern w:val="2"/>
                <w:sz w:val="21"/>
                <w:szCs w:val="21"/>
                <w14:textFill>
                  <w14:solidFill>
                    <w14:schemeClr w14:val="tx1"/>
                  </w14:solidFill>
                </w14:textFill>
              </w:rPr>
              <w:t>0.05</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表2-2-7</w:t>
      </w:r>
      <w:r>
        <w:rPr>
          <w:rFonts w:ascii="Times New Roman" w:hAnsiTheme="minorEastAsia" w:eastAsiaTheme="minorEastAsia"/>
          <w:b/>
          <w:bCs/>
          <w:color w:val="000000" w:themeColor="text1"/>
          <w:szCs w:val="24"/>
          <w14:textFill>
            <w14:solidFill>
              <w14:schemeClr w14:val="tx1"/>
            </w14:solidFill>
          </w14:textFill>
        </w:rPr>
        <w:t>本项目</w:t>
      </w:r>
      <w:r>
        <w:rPr>
          <w:rFonts w:hint="eastAsia" w:ascii="Times New Roman" w:hAnsiTheme="minorEastAsia" w:eastAsiaTheme="minorEastAsia"/>
          <w:b/>
          <w:bCs/>
          <w:color w:val="000000" w:themeColor="text1"/>
          <w:szCs w:val="24"/>
          <w14:textFill>
            <w14:solidFill>
              <w14:schemeClr w14:val="tx1"/>
            </w14:solidFill>
          </w14:textFill>
        </w:rPr>
        <w:t>地表水</w:t>
      </w:r>
      <w:r>
        <w:rPr>
          <w:rFonts w:ascii="Times New Roman" w:hAnsiTheme="minorEastAsia" w:eastAsiaTheme="minorEastAsia"/>
          <w:b/>
          <w:bCs/>
          <w:color w:val="000000" w:themeColor="text1"/>
          <w:szCs w:val="24"/>
          <w14:textFill>
            <w14:solidFill>
              <w14:schemeClr w14:val="tx1"/>
            </w14:solidFill>
          </w14:textFill>
        </w:rPr>
        <w:t>环境质量标准一览表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15"/>
        <w:gridCol w:w="2913"/>
        <w:gridCol w:w="1958"/>
        <w:gridCol w:w="253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193"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单位</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Ⅲ</w:t>
            </w:r>
            <w:r>
              <w:rPr>
                <w:rFonts w:ascii="Times New Roman" w:eastAsiaTheme="minorEastAsia"/>
                <w:color w:val="000000" w:themeColor="text1"/>
                <w:sz w:val="21"/>
                <w:szCs w:val="21"/>
                <w14:textFill>
                  <w14:solidFill>
                    <w14:schemeClr w14:val="tx1"/>
                  </w14:solidFill>
                </w14:textFill>
              </w:rPr>
              <w:t>类标准限值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pH</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无量纲</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溶解氧</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高锰酸盐指数</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化学需氧量</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生化需氧量</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氨氮</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总磷</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砷</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汞</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镉</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六价铬</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铅</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挥发酚</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石油类</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硫化物</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5" w:hRule="atLeast"/>
          <w:jc w:val="center"/>
        </w:trPr>
        <w:tc>
          <w:tcPr>
            <w:tcW w:w="6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16</w:t>
            </w:r>
          </w:p>
        </w:tc>
        <w:tc>
          <w:tcPr>
            <w:tcW w:w="1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粪大肠菌群</w:t>
            </w:r>
          </w:p>
        </w:tc>
        <w:tc>
          <w:tcPr>
            <w:tcW w:w="11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mg/L</w:t>
            </w:r>
          </w:p>
        </w:tc>
        <w:tc>
          <w:tcPr>
            <w:tcW w:w="14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≤10000</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表2-2-8本项目声环境质量标准一览表</w:t>
      </w:r>
    </w:p>
    <w:tbl>
      <w:tblPr>
        <w:tblStyle w:val="70"/>
        <w:tblW w:w="8528" w:type="dxa"/>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108" w:type="dxa"/>
          <w:bottom w:w="0" w:type="dxa"/>
          <w:right w:w="108" w:type="dxa"/>
        </w:tblCellMar>
      </w:tblPr>
      <w:tblGrid>
        <w:gridCol w:w="678"/>
        <w:gridCol w:w="2835"/>
        <w:gridCol w:w="1556"/>
        <w:gridCol w:w="1008"/>
        <w:gridCol w:w="902"/>
        <w:gridCol w:w="1549"/>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16" w:hRule="atLeast"/>
          <w:tblHeader/>
          <w:jc w:val="center"/>
        </w:trPr>
        <w:tc>
          <w:tcPr>
            <w:tcW w:w="67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要素</w:t>
            </w:r>
          </w:p>
        </w:tc>
        <w:tc>
          <w:tcPr>
            <w:tcW w:w="2835"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标准名称及级（类）别</w:t>
            </w:r>
          </w:p>
        </w:tc>
        <w:tc>
          <w:tcPr>
            <w:tcW w:w="1556"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3459" w:type="dxa"/>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标准值</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74" w:hRule="atLeast"/>
          <w:tblHeader/>
          <w:jc w:val="center"/>
        </w:trPr>
        <w:tc>
          <w:tcPr>
            <w:tcW w:w="67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83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56"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0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单位</w:t>
            </w:r>
          </w:p>
        </w:tc>
        <w:tc>
          <w:tcPr>
            <w:tcW w:w="2451"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数值</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324" w:hRule="atLeast"/>
          <w:jc w:val="center"/>
        </w:trPr>
        <w:tc>
          <w:tcPr>
            <w:tcW w:w="67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声环境</w:t>
            </w:r>
          </w:p>
        </w:tc>
        <w:tc>
          <w:tcPr>
            <w:tcW w:w="2835"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《声环境质量标准》（GB3096-2008）中</w:t>
            </w: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类标准</w:t>
            </w:r>
          </w:p>
        </w:tc>
        <w:tc>
          <w:tcPr>
            <w:tcW w:w="1556"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100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dB(A)</w:t>
            </w:r>
          </w:p>
        </w:tc>
        <w:tc>
          <w:tcPr>
            <w:tcW w:w="90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昼间</w:t>
            </w:r>
          </w:p>
        </w:tc>
        <w:tc>
          <w:tcPr>
            <w:tcW w:w="154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60</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108" w:type="dxa"/>
            <w:bottom w:w="0" w:type="dxa"/>
            <w:right w:w="108" w:type="dxa"/>
          </w:tblCellMar>
        </w:tblPrEx>
        <w:trPr>
          <w:trHeight w:val="281" w:hRule="atLeast"/>
          <w:jc w:val="center"/>
        </w:trPr>
        <w:tc>
          <w:tcPr>
            <w:tcW w:w="67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83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56"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0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0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夜间</w:t>
            </w:r>
          </w:p>
        </w:tc>
        <w:tc>
          <w:tcPr>
            <w:tcW w:w="154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续表2-2-8建设用地土壤污染风险筛选值（基本项目） 单位：mg/kg</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91"/>
        <w:gridCol w:w="2691"/>
        <w:gridCol w:w="2277"/>
        <w:gridCol w:w="266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tblHeader/>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检测项目</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CAS 编号</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筛选值第二类用地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砷</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7440-38-2</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60</w:t>
            </w:r>
            <w:r>
              <w:rPr>
                <w:rFonts w:hint="eastAsia" w:ascii="Times New Roman" w:eastAsiaTheme="minorEastAsia"/>
                <w:color w:val="000000" w:themeColor="text1"/>
                <w:sz w:val="21"/>
                <w:szCs w:val="21"/>
                <w14:textFill>
                  <w14:solidFill>
                    <w14:schemeClr w14:val="tx1"/>
                  </w14:solidFill>
                </w14:textFill>
              </w:rPr>
              <w:t>①</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镉</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7440-43-9</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铬（六价）</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18540-29-9</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铜</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7440-50-8</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铅</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7439-92-1</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汞</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7439-97-6</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镍</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7440-02-0</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四氯化碳</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56-23-5</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氯仿</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67-66-3</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氯甲烷</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74-87-3</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1,1-二氯乙烷</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75-34-3</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1,2-二氯乙烷</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107-06-2</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1,1-二氯乙烯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75-35-4</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顺-1,2-二氯乙烯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156-59-2</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反-1,2-二氯乙烯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156-60-5</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16</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二氯甲烷</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75-09-2</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17</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1,2-二氯丙烷</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78-87-5</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1,1,1,2-四氯乙烷</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630-20-6</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19</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1,1,2,2-四氯乙烷</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79-34-5</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四氯乙烯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127-18-4</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21</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1,1,1-三氯乙烷</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71-55-6</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22</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1,1,2-三氯乙烷</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79-00-5</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23</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三氯乙烯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79-01-6</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1,2,3-三氯丙烷</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96-18-4</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25</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氯乙烯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75-01-4</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26</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71-43-2</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27</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氯苯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180-90-7</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1,2-二氯苯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95-50-1</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29</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1,4-二氯苯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106-46-7</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乙苯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100-41-4</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31</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苯乙烯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100-42-5</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32</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甲苯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108-88-3</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33</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间-二甲苯+对-二甲苯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108-38-3，106-42-3</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34</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邻-二甲苯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95-47-6</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35</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硝基苯</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98-95-3</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36</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苯胺</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62-53-3</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37</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2-氯酚</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95-57-8</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2256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38</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苯并[a]蒽</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56-55-3</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39</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苯并[a]芘</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50-32-8</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40</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苯并[b]荧蒽</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205-99-2</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41</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苯并[k]荧蒽</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207-08-9</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42</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䓛</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218-01-9</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1293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43</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二苯并[a, h]蒽</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53-70-3</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44</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茚并[1,2,3-cd]芘</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193-39-5</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0" w:hRule="atLeast"/>
          <w:jc w:val="center"/>
        </w:trPr>
        <w:tc>
          <w:tcPr>
            <w:tcW w:w="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45</w:t>
            </w:r>
          </w:p>
        </w:tc>
        <w:tc>
          <w:tcPr>
            <w:tcW w:w="1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萘</w:t>
            </w:r>
          </w:p>
        </w:tc>
        <w:tc>
          <w:tcPr>
            <w:tcW w:w="13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91-20-3</w:t>
            </w:r>
          </w:p>
        </w:tc>
        <w:tc>
          <w:tcPr>
            <w:tcW w:w="1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续表2-2-8 《土壤环境质量 农用地土壤污染风险管控标准（试行）》</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26"/>
        <w:gridCol w:w="1868"/>
        <w:gridCol w:w="1471"/>
        <w:gridCol w:w="1871"/>
        <w:gridCol w:w="198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tblHeader/>
          <w:jc w:val="center"/>
        </w:trPr>
        <w:tc>
          <w:tcPr>
            <w:tcW w:w="77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序号</w:t>
            </w:r>
          </w:p>
        </w:tc>
        <w:tc>
          <w:tcPr>
            <w:tcW w:w="1959" w:type="pct"/>
            <w:gridSpan w:val="2"/>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污染物项目</w:t>
            </w:r>
          </w:p>
        </w:tc>
        <w:tc>
          <w:tcPr>
            <w:tcW w:w="2263" w:type="pct"/>
            <w:gridSpan w:val="2"/>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筛选值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tblHeader/>
          <w:jc w:val="center"/>
        </w:trPr>
        <w:tc>
          <w:tcPr>
            <w:tcW w:w="77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9" w:type="pct"/>
            <w:gridSpan w:val="2"/>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w:t>
            </w:r>
            <w:r>
              <w:rPr>
                <w:rFonts w:ascii="Times New Roman" w:eastAsiaTheme="minorEastAsia"/>
                <w:color w:val="000000" w:themeColor="text1"/>
                <w:sz w:val="21"/>
                <w:szCs w:val="21"/>
                <w14:textFill>
                  <w14:solidFill>
                    <w14:schemeClr w14:val="tx1"/>
                  </w14:solidFill>
                </w14:textFill>
              </w:rPr>
              <w:t>.5</w:t>
            </w:r>
            <w:r>
              <w:rPr>
                <w:rFonts w:hint="eastAsia" w:ascii="Times New Roman" w:eastAsiaTheme="minorEastAsia"/>
                <w:color w:val="000000" w:themeColor="text1"/>
                <w:sz w:val="21"/>
                <w:szCs w:val="21"/>
                <w14:textFill>
                  <w14:solidFill>
                    <w14:schemeClr w14:val="tx1"/>
                  </w14:solidFill>
                </w14:textFill>
              </w:rPr>
              <w:t>＜p</w:t>
            </w:r>
            <w:r>
              <w:rPr>
                <w:rFonts w:ascii="Times New Roman" w:eastAsiaTheme="minorEastAsia"/>
                <w:color w:val="000000" w:themeColor="text1"/>
                <w:sz w:val="21"/>
                <w:szCs w:val="21"/>
                <w14:textFill>
                  <w14:solidFill>
                    <w14:schemeClr w14:val="tx1"/>
                  </w14:solidFill>
                </w14:textFill>
              </w:rPr>
              <w:t>H</w:t>
            </w:r>
            <w:r>
              <w:rPr>
                <w:rFonts w:hint="eastAsia" w:ascii="Times New Roman" w:eastAsiaTheme="minorEastAsia"/>
                <w:color w:val="000000" w:themeColor="text1"/>
                <w:sz w:val="21"/>
                <w:szCs w:val="21"/>
                <w14:textFill>
                  <w14:solidFill>
                    <w14:schemeClr w14:val="tx1"/>
                  </w14:solidFill>
                </w14:textFill>
              </w:rPr>
              <w:t>≦7</w:t>
            </w:r>
            <w:r>
              <w:rPr>
                <w:rFonts w:ascii="Times New Roman" w:eastAsiaTheme="minorEastAsia"/>
                <w:color w:val="000000" w:themeColor="text1"/>
                <w:sz w:val="21"/>
                <w:szCs w:val="21"/>
                <w14:textFill>
                  <w14:solidFill>
                    <w14:schemeClr w14:val="tx1"/>
                  </w14:solidFill>
                </w14:textFill>
              </w:rPr>
              <w:t>.5</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p</w:t>
            </w:r>
            <w:r>
              <w:rPr>
                <w:rFonts w:ascii="Times New Roman" w:eastAsiaTheme="minorEastAsia"/>
                <w:color w:val="000000" w:themeColor="text1"/>
                <w:sz w:val="21"/>
                <w:szCs w:val="21"/>
                <w14:textFill>
                  <w14:solidFill>
                    <w14:schemeClr w14:val="tx1"/>
                  </w14:solidFill>
                </w14:textFill>
              </w:rPr>
              <w:t>H</w:t>
            </w:r>
            <w:r>
              <w:rPr>
                <w:rFonts w:hint="eastAsia" w:ascii="Times New Roman" w:eastAsiaTheme="minorEastAsia"/>
                <w:color w:val="000000" w:themeColor="text1"/>
                <w:sz w:val="21"/>
                <w:szCs w:val="21"/>
                <w14:textFill>
                  <w14:solidFill>
                    <w14:schemeClr w14:val="tx1"/>
                  </w14:solidFill>
                </w14:textFill>
              </w:rPr>
              <w:t>＞7</w:t>
            </w:r>
            <w:r>
              <w:rPr>
                <w:rFonts w:ascii="Times New Roman" w:eastAsiaTheme="minorEastAsia"/>
                <w:color w:val="000000" w:themeColor="text1"/>
                <w:sz w:val="21"/>
                <w:szCs w:val="21"/>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77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109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砷</w:t>
            </w:r>
          </w:p>
        </w:tc>
        <w:tc>
          <w:tcPr>
            <w:tcW w:w="86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水田</w:t>
            </w: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5</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77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9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其他</w:t>
            </w: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0</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77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p>
        </w:tc>
        <w:tc>
          <w:tcPr>
            <w:tcW w:w="109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镉</w:t>
            </w:r>
          </w:p>
        </w:tc>
        <w:tc>
          <w:tcPr>
            <w:tcW w:w="86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水田</w:t>
            </w: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w:t>
            </w:r>
            <w:r>
              <w:rPr>
                <w:rFonts w:ascii="Times New Roman" w:eastAsiaTheme="minorEastAsia"/>
                <w:color w:val="000000" w:themeColor="text1"/>
                <w:sz w:val="21"/>
                <w:szCs w:val="21"/>
                <w14:textFill>
                  <w14:solidFill>
                    <w14:schemeClr w14:val="tx1"/>
                  </w14:solidFill>
                </w14:textFill>
              </w:rPr>
              <w:t>.6</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w:t>
            </w:r>
            <w:r>
              <w:rPr>
                <w:rFonts w:ascii="Times New Roman" w:eastAsiaTheme="minorEastAsia"/>
                <w:color w:val="000000" w:themeColor="text1"/>
                <w:sz w:val="21"/>
                <w:szCs w:val="21"/>
                <w14:textFill>
                  <w14:solidFill>
                    <w14:schemeClr w14:val="tx1"/>
                  </w14:solidFill>
                </w14:textFill>
              </w:rPr>
              <w:t>.8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77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9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其他</w:t>
            </w: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w:t>
            </w:r>
            <w:r>
              <w:rPr>
                <w:rFonts w:ascii="Times New Roman" w:eastAsiaTheme="minorEastAsia"/>
                <w:color w:val="000000" w:themeColor="text1"/>
                <w:sz w:val="21"/>
                <w:szCs w:val="21"/>
                <w14:textFill>
                  <w14:solidFill>
                    <w14:schemeClr w14:val="tx1"/>
                  </w14:solidFill>
                </w14:textFill>
              </w:rPr>
              <w:t>.3</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w:t>
            </w:r>
            <w:r>
              <w:rPr>
                <w:rFonts w:ascii="Times New Roman" w:eastAsiaTheme="minorEastAsia"/>
                <w:color w:val="000000" w:themeColor="text1"/>
                <w:sz w:val="21"/>
                <w:szCs w:val="21"/>
                <w14:textFill>
                  <w14:solidFill>
                    <w14:schemeClr w14:val="tx1"/>
                  </w14:solidFill>
                </w14:textFill>
              </w:rPr>
              <w:t>.6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77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p>
        </w:tc>
        <w:tc>
          <w:tcPr>
            <w:tcW w:w="109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铬（六价）</w:t>
            </w:r>
          </w:p>
        </w:tc>
        <w:tc>
          <w:tcPr>
            <w:tcW w:w="86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水田</w:t>
            </w: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00</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77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9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其他</w:t>
            </w: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00</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77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109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铜</w:t>
            </w:r>
          </w:p>
        </w:tc>
        <w:tc>
          <w:tcPr>
            <w:tcW w:w="86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水田</w:t>
            </w: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00</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77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9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其他</w:t>
            </w: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00</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77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w:t>
            </w:r>
          </w:p>
        </w:tc>
        <w:tc>
          <w:tcPr>
            <w:tcW w:w="109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铅</w:t>
            </w:r>
          </w:p>
        </w:tc>
        <w:tc>
          <w:tcPr>
            <w:tcW w:w="86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水田</w:t>
            </w: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40</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77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9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其他</w:t>
            </w: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20</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77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w:t>
            </w:r>
          </w:p>
        </w:tc>
        <w:tc>
          <w:tcPr>
            <w:tcW w:w="109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w:t>
            </w:r>
          </w:p>
        </w:tc>
        <w:tc>
          <w:tcPr>
            <w:tcW w:w="86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水田</w:t>
            </w: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w:t>
            </w:r>
            <w:r>
              <w:rPr>
                <w:rFonts w:ascii="Times New Roman" w:eastAsiaTheme="minorEastAsia"/>
                <w:color w:val="000000" w:themeColor="text1"/>
                <w:sz w:val="21"/>
                <w:szCs w:val="21"/>
                <w14:textFill>
                  <w14:solidFill>
                    <w14:schemeClr w14:val="tx1"/>
                  </w14:solidFill>
                </w14:textFill>
              </w:rPr>
              <w:t>.6</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77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9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其他</w:t>
            </w: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.4</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77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w:t>
            </w:r>
          </w:p>
        </w:tc>
        <w:tc>
          <w:tcPr>
            <w:tcW w:w="1959" w:type="pct"/>
            <w:gridSpan w:val="2"/>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镍</w:t>
            </w: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00</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7" w:hRule="atLeast"/>
          <w:jc w:val="center"/>
        </w:trPr>
        <w:tc>
          <w:tcPr>
            <w:tcW w:w="77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9" w:type="pct"/>
            <w:gridSpan w:val="2"/>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锌</w:t>
            </w:r>
          </w:p>
        </w:tc>
        <w:tc>
          <w:tcPr>
            <w:tcW w:w="10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50</w:t>
            </w:r>
          </w:p>
        </w:tc>
        <w:tc>
          <w:tcPr>
            <w:tcW w:w="11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00</w:t>
            </w:r>
          </w:p>
        </w:tc>
      </w:tr>
    </w:tbl>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2.2.2.3污染物排放标准</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表2-2-</w:t>
      </w:r>
      <w:r>
        <w:rPr>
          <w:rFonts w:hint="eastAsia" w:ascii="Times New Roman" w:hAnsiTheme="minorEastAsia" w:eastAsiaTheme="minorEastAsia"/>
          <w:b/>
          <w:bCs/>
          <w:color w:val="000000" w:themeColor="text1"/>
          <w:szCs w:val="24"/>
          <w14:textFill>
            <w14:solidFill>
              <w14:schemeClr w14:val="tx1"/>
            </w14:solidFill>
          </w14:textFill>
        </w:rPr>
        <w:t>9</w:t>
      </w:r>
      <w:r>
        <w:rPr>
          <w:rFonts w:ascii="Times New Roman" w:hAnsiTheme="minorEastAsia" w:eastAsiaTheme="minorEastAsia"/>
          <w:b/>
          <w:bCs/>
          <w:color w:val="000000" w:themeColor="text1"/>
          <w:szCs w:val="24"/>
          <w14:textFill>
            <w14:solidFill>
              <w14:schemeClr w14:val="tx1"/>
            </w14:solidFill>
          </w14:textFill>
        </w:rPr>
        <w:t>污染物排放标准一览表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659"/>
        <w:gridCol w:w="2182"/>
        <w:gridCol w:w="1730"/>
        <w:gridCol w:w="612"/>
        <w:gridCol w:w="1314"/>
        <w:gridCol w:w="2025"/>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blHeader/>
          <w:jc w:val="center"/>
        </w:trPr>
        <w:tc>
          <w:tcPr>
            <w:tcW w:w="38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类别</w:t>
            </w:r>
          </w:p>
        </w:tc>
        <w:tc>
          <w:tcPr>
            <w:tcW w:w="128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标准名称及级（类）别</w:t>
            </w:r>
          </w:p>
        </w:tc>
        <w:tc>
          <w:tcPr>
            <w:tcW w:w="101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污染因子</w:t>
            </w:r>
          </w:p>
        </w:tc>
        <w:tc>
          <w:tcPr>
            <w:tcW w:w="1130"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标准值</w:t>
            </w:r>
          </w:p>
        </w:tc>
        <w:tc>
          <w:tcPr>
            <w:tcW w:w="11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污染物监控位置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废气</w:t>
            </w:r>
          </w:p>
        </w:tc>
        <w:tc>
          <w:tcPr>
            <w:tcW w:w="1280"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《关于印发&lt;全面实施燃煤电厂超低排放和节能改造工作方案&gt;的通知》（环发 [2015]164号）</w:t>
            </w:r>
          </w:p>
        </w:tc>
        <w:tc>
          <w:tcPr>
            <w:tcW w:w="101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p>
        </w:tc>
        <w:tc>
          <w:tcPr>
            <w:tcW w:w="1130"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0 mg/m</w:t>
            </w:r>
            <w:r>
              <w:rPr>
                <w:rFonts w:ascii="Times New Roman" w:eastAsiaTheme="minorEastAsia"/>
                <w:color w:val="000000" w:themeColor="text1"/>
                <w:sz w:val="21"/>
                <w:szCs w:val="21"/>
                <w:vertAlign w:val="superscript"/>
                <w14:textFill>
                  <w14:solidFill>
                    <w14:schemeClr w14:val="tx1"/>
                  </w14:solidFill>
                </w14:textFill>
              </w:rPr>
              <w:t>3</w:t>
            </w:r>
          </w:p>
        </w:tc>
        <w:tc>
          <w:tcPr>
            <w:tcW w:w="118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烟囱及烟道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80"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p>
        </w:tc>
        <w:tc>
          <w:tcPr>
            <w:tcW w:w="1130"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5</w:t>
            </w:r>
            <w:r>
              <w:rPr>
                <w:rFonts w:ascii="Times New Roman" w:eastAsiaTheme="minorEastAsia"/>
                <w:color w:val="000000" w:themeColor="text1"/>
                <w:sz w:val="21"/>
                <w:szCs w:val="21"/>
                <w14:textFill>
                  <w14:solidFill>
                    <w14:schemeClr w14:val="tx1"/>
                  </w14:solidFill>
                </w14:textFill>
              </w:rPr>
              <w:t xml:space="preserve"> mg/m</w:t>
            </w:r>
            <w:r>
              <w:rPr>
                <w:rFonts w:ascii="Times New Roman" w:eastAsiaTheme="minorEastAsia"/>
                <w:color w:val="000000" w:themeColor="text1"/>
                <w:sz w:val="21"/>
                <w:szCs w:val="21"/>
                <w:vertAlign w:val="superscript"/>
                <w14:textFill>
                  <w14:solidFill>
                    <w14:schemeClr w14:val="tx1"/>
                  </w14:solidFill>
                </w14:textFill>
              </w:rPr>
              <w:t>3</w:t>
            </w:r>
          </w:p>
        </w:tc>
        <w:tc>
          <w:tcPr>
            <w:tcW w:w="118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80"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NOx</w:t>
            </w:r>
          </w:p>
        </w:tc>
        <w:tc>
          <w:tcPr>
            <w:tcW w:w="1130"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w:t>
            </w:r>
            <w:r>
              <w:rPr>
                <w:rFonts w:ascii="Times New Roman" w:eastAsiaTheme="minorEastAsia"/>
                <w:color w:val="000000" w:themeColor="text1"/>
                <w:sz w:val="21"/>
                <w:szCs w:val="21"/>
                <w14:textFill>
                  <w14:solidFill>
                    <w14:schemeClr w14:val="tx1"/>
                  </w14:solidFill>
                </w14:textFill>
              </w:rPr>
              <w:t>0 mg/m</w:t>
            </w:r>
            <w:r>
              <w:rPr>
                <w:rFonts w:ascii="Times New Roman" w:eastAsiaTheme="minorEastAsia"/>
                <w:color w:val="000000" w:themeColor="text1"/>
                <w:sz w:val="21"/>
                <w:szCs w:val="21"/>
                <w:vertAlign w:val="superscript"/>
                <w14:textFill>
                  <w14:solidFill>
                    <w14:schemeClr w14:val="tx1"/>
                  </w14:solidFill>
                </w14:textFill>
              </w:rPr>
              <w:t>3</w:t>
            </w:r>
          </w:p>
        </w:tc>
        <w:tc>
          <w:tcPr>
            <w:tcW w:w="118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80"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新建锅炉执行《锅炉大气污染物排放标准》（GB13271-2014）表2</w:t>
            </w:r>
          </w:p>
        </w:tc>
        <w:tc>
          <w:tcPr>
            <w:tcW w:w="101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汞及其化合物</w:t>
            </w:r>
          </w:p>
        </w:tc>
        <w:tc>
          <w:tcPr>
            <w:tcW w:w="1130"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0.05 mg/m</w:t>
            </w:r>
            <w:r>
              <w:rPr>
                <w:rFonts w:ascii="Times New Roman" w:eastAsiaTheme="minorEastAsia"/>
                <w:color w:val="000000" w:themeColor="text1"/>
                <w:sz w:val="21"/>
                <w:szCs w:val="21"/>
                <w:vertAlign w:val="superscript"/>
                <w14:textFill>
                  <w14:solidFill>
                    <w14:schemeClr w14:val="tx1"/>
                  </w14:solidFill>
                </w14:textFill>
              </w:rPr>
              <w:t>3</w:t>
            </w:r>
          </w:p>
        </w:tc>
        <w:tc>
          <w:tcPr>
            <w:tcW w:w="118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烟囱及烟道</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80"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烟气黑度</w:t>
            </w:r>
          </w:p>
        </w:tc>
        <w:tc>
          <w:tcPr>
            <w:tcW w:w="1130"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格林曼黑度，≤1级</w:t>
            </w:r>
          </w:p>
        </w:tc>
        <w:tc>
          <w:tcPr>
            <w:tcW w:w="118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8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《大气污染物综合排放标准》(GB16297-1996)</w:t>
            </w:r>
          </w:p>
        </w:tc>
        <w:tc>
          <w:tcPr>
            <w:tcW w:w="101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p>
        </w:tc>
        <w:tc>
          <w:tcPr>
            <w:tcW w:w="1130"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1.0mg/m</w:t>
            </w:r>
            <w:r>
              <w:rPr>
                <w:rFonts w:ascii="Times New Roman" w:eastAsiaTheme="minorEastAsia"/>
                <w:color w:val="000000" w:themeColor="text1"/>
                <w:sz w:val="21"/>
                <w:szCs w:val="21"/>
                <w:vertAlign w:val="superscript"/>
                <w14:textFill>
                  <w14:solidFill>
                    <w14:schemeClr w14:val="tx1"/>
                  </w14:solidFill>
                </w14:textFill>
              </w:rPr>
              <w:t>3</w:t>
            </w:r>
          </w:p>
        </w:tc>
        <w:tc>
          <w:tcPr>
            <w:tcW w:w="11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周界外浓度最高点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8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《恶臭污染物排放标准》（GB14554-93）</w:t>
            </w:r>
          </w:p>
        </w:tc>
        <w:tc>
          <w:tcPr>
            <w:tcW w:w="101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NH</w:t>
            </w:r>
            <w:r>
              <w:rPr>
                <w:rFonts w:ascii="Times New Roman" w:eastAsiaTheme="minorEastAsia"/>
                <w:color w:val="000000" w:themeColor="text1"/>
                <w:sz w:val="21"/>
                <w:szCs w:val="21"/>
                <w:vertAlign w:val="subscript"/>
                <w14:textFill>
                  <w14:solidFill>
                    <w14:schemeClr w14:val="tx1"/>
                  </w14:solidFill>
                </w14:textFill>
              </w:rPr>
              <w:t>3</w:t>
            </w:r>
          </w:p>
        </w:tc>
        <w:tc>
          <w:tcPr>
            <w:tcW w:w="1130"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1.5mg/m</w:t>
            </w:r>
            <w:r>
              <w:rPr>
                <w:rFonts w:ascii="Times New Roman" w:eastAsiaTheme="minorEastAsia"/>
                <w:color w:val="000000" w:themeColor="text1"/>
                <w:sz w:val="21"/>
                <w:szCs w:val="21"/>
                <w:vertAlign w:val="superscript"/>
                <w14:textFill>
                  <w14:solidFill>
                    <w14:schemeClr w14:val="tx1"/>
                  </w14:solidFill>
                </w14:textFill>
              </w:rPr>
              <w:t>3</w:t>
            </w:r>
          </w:p>
        </w:tc>
        <w:tc>
          <w:tcPr>
            <w:tcW w:w="11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周界外浓度最高点</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28" w:hRule="atLeast"/>
          <w:jc w:val="center"/>
        </w:trPr>
        <w:tc>
          <w:tcPr>
            <w:tcW w:w="38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8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《火电厂烟气脱硝工程技术规范选择性催化还原法》（HJ562-2010）</w:t>
            </w:r>
          </w:p>
        </w:tc>
        <w:tc>
          <w:tcPr>
            <w:tcW w:w="101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氨逃逸</w:t>
            </w:r>
          </w:p>
        </w:tc>
        <w:tc>
          <w:tcPr>
            <w:tcW w:w="1130"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w:t>
            </w: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p>
        </w:tc>
        <w:tc>
          <w:tcPr>
            <w:tcW w:w="118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脱硝过程中氨逃逸执行《火电厂烟气脱硝工程技术规范选择性催化还原法》（HJ562-2010）要求脱硝系统氨逃逸质量浓度应控制在2.5mg/m</w:t>
            </w:r>
            <w:r>
              <w:rPr>
                <w:rFonts w:hint="eastAsia" w:ascii="Times New Roman" w:eastAsiaTheme="minorEastAsia"/>
                <w:color w:val="000000" w:themeColor="text1"/>
                <w:sz w:val="21"/>
                <w:szCs w:val="21"/>
                <w:vertAlign w:val="superscript"/>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的要求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1280"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《工业企业厂界环境噪声排放标准》（GB12348-2008）</w:t>
            </w: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类标准</w:t>
            </w:r>
          </w:p>
        </w:tc>
        <w:tc>
          <w:tcPr>
            <w:tcW w:w="1015"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3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昼间</w:t>
            </w:r>
          </w:p>
        </w:tc>
        <w:tc>
          <w:tcPr>
            <w:tcW w:w="77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60</w:t>
            </w:r>
            <w:r>
              <w:rPr>
                <w:rFonts w:ascii="Times New Roman" w:eastAsiaTheme="minorEastAsia"/>
                <w:color w:val="000000" w:themeColor="text1"/>
                <w:sz w:val="21"/>
                <w:szCs w:val="21"/>
                <w14:textFill>
                  <w14:solidFill>
                    <w14:schemeClr w14:val="tx1"/>
                  </w14:solidFill>
                </w14:textFill>
              </w:rPr>
              <w:t>dB（A）</w:t>
            </w:r>
          </w:p>
        </w:tc>
        <w:tc>
          <w:tcPr>
            <w:tcW w:w="118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锅炉房厂界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80" w:type="pct"/>
            <w:vMerge w:val="continue"/>
            <w:tcBorders>
              <w:bottom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5"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夜间</w:t>
            </w:r>
          </w:p>
        </w:tc>
        <w:tc>
          <w:tcPr>
            <w:tcW w:w="77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w:t>
            </w:r>
            <w:r>
              <w:rPr>
                <w:rFonts w:ascii="Times New Roman" w:eastAsiaTheme="minorEastAsia"/>
                <w:color w:val="000000" w:themeColor="text1"/>
                <w:sz w:val="21"/>
                <w:szCs w:val="21"/>
                <w14:textFill>
                  <w14:solidFill>
                    <w14:schemeClr w14:val="tx1"/>
                  </w14:solidFill>
                </w14:textFill>
              </w:rPr>
              <w:t>dB（A）</w:t>
            </w:r>
          </w:p>
        </w:tc>
        <w:tc>
          <w:tcPr>
            <w:tcW w:w="118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80"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《建筑施工场界环境噪声排放标准》（GB12523-2011）</w:t>
            </w:r>
          </w:p>
        </w:tc>
        <w:tc>
          <w:tcPr>
            <w:tcW w:w="1015"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昼间</w:t>
            </w:r>
          </w:p>
        </w:tc>
        <w:tc>
          <w:tcPr>
            <w:tcW w:w="77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 dB（A）</w:t>
            </w:r>
          </w:p>
        </w:tc>
        <w:tc>
          <w:tcPr>
            <w:tcW w:w="118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锅炉房厂界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80"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5"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夜间</w:t>
            </w:r>
          </w:p>
        </w:tc>
        <w:tc>
          <w:tcPr>
            <w:tcW w:w="77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 dB（A）</w:t>
            </w:r>
          </w:p>
        </w:tc>
        <w:tc>
          <w:tcPr>
            <w:tcW w:w="118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固废</w:t>
            </w:r>
          </w:p>
        </w:tc>
        <w:tc>
          <w:tcPr>
            <w:tcW w:w="4613" w:type="pct"/>
            <w:gridSpan w:val="5"/>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《一般工业固体废物贮存和填埋污染控制标准》</w:t>
            </w:r>
            <w:r>
              <w:rPr>
                <w:rFonts w:ascii="Times New Roman" w:eastAsiaTheme="minorEastAsia"/>
                <w:color w:val="000000" w:themeColor="text1"/>
                <w:sz w:val="21"/>
                <w:szCs w:val="21"/>
                <w14:textFill>
                  <w14:solidFill>
                    <w14:schemeClr w14:val="tx1"/>
                  </w14:solidFill>
                </w14:textFill>
              </w:rPr>
              <w:t>(GB18599-2020)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38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危废</w:t>
            </w:r>
          </w:p>
        </w:tc>
        <w:tc>
          <w:tcPr>
            <w:tcW w:w="4613" w:type="pct"/>
            <w:gridSpan w:val="5"/>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《危险废物贮存污染控制标准》（</w:t>
            </w:r>
            <w:r>
              <w:rPr>
                <w:rFonts w:ascii="Times New Roman" w:eastAsiaTheme="minorEastAsia"/>
                <w:color w:val="000000" w:themeColor="text1"/>
                <w:sz w:val="21"/>
                <w:szCs w:val="21"/>
                <w14:textFill>
                  <w14:solidFill>
                    <w14:schemeClr w14:val="tx1"/>
                  </w14:solidFill>
                </w14:textFill>
              </w:rPr>
              <w:t>GB18597-20</w:t>
            </w:r>
            <w:r>
              <w:rPr>
                <w:rFonts w:hint="eastAsia" w:ascii="Times New Roman" w:eastAsiaTheme="minorEastAsia"/>
                <w:color w:val="000000" w:themeColor="text1"/>
                <w:sz w:val="21"/>
                <w:szCs w:val="21"/>
                <w14:textFill>
                  <w14:solidFill>
                    <w14:schemeClr w14:val="tx1"/>
                  </w14:solidFill>
                </w14:textFill>
              </w:rPr>
              <w:t>23）</w:t>
            </w:r>
          </w:p>
        </w:tc>
      </w:tr>
    </w:tbl>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61" w:name="_Toc534545002"/>
      <w:bookmarkStart w:id="62" w:name="_Toc162605164"/>
      <w:bookmarkStart w:id="63" w:name="_Toc532974698"/>
      <w:bookmarkStart w:id="64" w:name="_Toc511500950"/>
      <w:r>
        <w:rPr>
          <w:rFonts w:ascii="Times New Roman" w:hAnsi="Times New Roman" w:cs="Times New Roman" w:eastAsiaTheme="minorEastAsia"/>
          <w:color w:val="000000" w:themeColor="text1"/>
          <w:szCs w:val="24"/>
          <w:lang w:val="en-US" w:bidi="ar-SA"/>
          <w14:textFill>
            <w14:solidFill>
              <w14:schemeClr w14:val="tx1"/>
            </w14:solidFill>
          </w14:textFill>
        </w:rPr>
        <w:t>2.3评价工作等级、评价范围</w:t>
      </w:r>
      <w:bookmarkEnd w:id="61"/>
      <w:bookmarkEnd w:id="62"/>
      <w:bookmarkEnd w:id="63"/>
      <w:bookmarkEnd w:id="64"/>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65" w:name="_Toc532974699"/>
      <w:r>
        <w:rPr>
          <w:rFonts w:ascii="Times New Roman" w:hAnsi="Times New Roman" w:eastAsia="新宋体" w:cstheme="minorBidi"/>
          <w:color w:val="000000" w:themeColor="text1"/>
          <w:szCs w:val="24"/>
          <w:lang w:val="en-US" w:bidi="ar-SA"/>
          <w14:textFill>
            <w14:solidFill>
              <w14:schemeClr w14:val="tx1"/>
            </w14:solidFill>
          </w14:textFill>
        </w:rPr>
        <w:t>2.3.1评价等级</w:t>
      </w:r>
      <w:bookmarkEnd w:id="65"/>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2.3.1.1环境空气评价等级</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66" w:name="_Toc186283736"/>
      <w:bookmarkStart w:id="67" w:name="_Toc188855707"/>
      <w:r>
        <w:rPr>
          <w:rFonts w:ascii="Times New Roman" w:hAnsi="Times New Roman" w:cs="Times New Roman" w:eastAsiaTheme="minorEastAsia"/>
          <w:color w:val="000000" w:themeColor="text1"/>
          <w:sz w:val="24"/>
          <w:szCs w:val="24"/>
          <w:lang w:val="en-US"/>
          <w14:textFill>
            <w14:solidFill>
              <w14:schemeClr w14:val="tx1"/>
            </w14:solidFill>
          </w14:textFill>
        </w:rPr>
        <w:t>1、大气环境影响评价工作等级的确定</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依据《环境影响评价技术导则-大气环境》(HJ2.2-2018)中5.3节工作等级的确定方法，结合项目工程分析结果，选择正常排放的主要污染物及排放参数，采用附录A推荐模型中的AERSCREEN模式计算项目污染源的最大环境影响，然后按评价工作分级判据进行分级。</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（1）Pmax的确定</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依据《环境影响评价技术导则大气环境》(HJ2.2-2018)中最大地面浓度占标率Pi定义如下：</w:t>
      </w:r>
    </w:p>
    <w:p>
      <w:pPr>
        <w:pStyle w:val="26"/>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m:oMathPara>
        <m:oMath>
          <m:sSub>
            <m:sSubPr>
              <m:ctrlPr>
                <w:rPr>
                  <w:rFonts w:ascii="Cambria Math" w:hAnsi="Cambria Math" w:cs="Times New Roman" w:eastAsiaTheme="minorEastAsia"/>
                  <w:color w:val="000000" w:themeColor="text1"/>
                  <w:sz w:val="24"/>
                  <w:szCs w:val="24"/>
                  <w:lang w:val="en-US"/>
                  <w14:textFill>
                    <w14:solidFill>
                      <w14:schemeClr w14:val="tx1"/>
                    </w14:solidFill>
                  </w14:textFill>
                </w:rPr>
              </m:ctrlPr>
            </m:sSubPr>
            <m:e>
              <m:r>
                <m:rPr/>
                <w:rPr>
                  <w:rFonts w:ascii="Cambria Math" w:hAnsi="Cambria Math" w:cs="Times New Roman" w:eastAsiaTheme="minorEastAsia"/>
                  <w:color w:val="000000" w:themeColor="text1"/>
                  <w:sz w:val="24"/>
                  <w:szCs w:val="24"/>
                  <w:lang w:val="en-US"/>
                  <w14:textFill>
                    <w14:solidFill>
                      <w14:schemeClr w14:val="tx1"/>
                    </w14:solidFill>
                  </w14:textFill>
                </w:rPr>
                <m:t>P</m:t>
              </m:r>
              <m:ctrlPr>
                <w:rPr>
                  <w:rFonts w:ascii="Cambria Math" w:hAnsi="Cambria Math" w:cs="Times New Roman" w:eastAsiaTheme="minorEastAsia"/>
                  <w:color w:val="000000" w:themeColor="text1"/>
                  <w:sz w:val="24"/>
                  <w:szCs w:val="24"/>
                  <w:lang w:val="en-US"/>
                  <w14:textFill>
                    <w14:solidFill>
                      <w14:schemeClr w14:val="tx1"/>
                    </w14:solidFill>
                  </w14:textFill>
                </w:rPr>
              </m:ctrlPr>
            </m:e>
            <m:sub>
              <m:r>
                <m:rPr/>
                <w:rPr>
                  <w:rFonts w:ascii="Cambria Math" w:hAnsi="Cambria Math" w:cs="Times New Roman" w:eastAsiaTheme="minorEastAsia"/>
                  <w:color w:val="000000" w:themeColor="text1"/>
                  <w:sz w:val="24"/>
                  <w:szCs w:val="24"/>
                  <w:lang w:val="en-US"/>
                  <w14:textFill>
                    <w14:solidFill>
                      <w14:schemeClr w14:val="tx1"/>
                    </w14:solidFill>
                  </w14:textFill>
                </w:rPr>
                <m:t>i</m:t>
              </m:r>
              <m:ctrlPr>
                <w:rPr>
                  <w:rFonts w:ascii="Cambria Math" w:hAnsi="Cambria Math" w:cs="Times New Roman" w:eastAsiaTheme="minorEastAsia"/>
                  <w:color w:val="000000" w:themeColor="text1"/>
                  <w:sz w:val="24"/>
                  <w:szCs w:val="24"/>
                  <w:lang w:val="en-US"/>
                  <w14:textFill>
                    <w14:solidFill>
                      <w14:schemeClr w14:val="tx1"/>
                    </w14:solidFill>
                  </w14:textFill>
                </w:rPr>
              </m:ctrlPr>
            </m:sub>
          </m:sSub>
          <m:r>
            <m:rPr>
              <m:sty m:val="p"/>
            </m:rPr>
            <w:rPr>
              <w:rFonts w:ascii="Cambria Math" w:hAnsi="Cambria Math" w:cs="Times New Roman" w:eastAsiaTheme="minorEastAsia"/>
              <w:color w:val="000000" w:themeColor="text1"/>
              <w:sz w:val="24"/>
              <w:szCs w:val="24"/>
              <w:lang w:val="en-US"/>
              <w14:textFill>
                <w14:solidFill>
                  <w14:schemeClr w14:val="tx1"/>
                </w14:solidFill>
              </w14:textFill>
            </w:rPr>
            <m:t>=</m:t>
          </m:r>
          <m:f>
            <m:fPr>
              <m:ctrlPr>
                <w:rPr>
                  <w:rFonts w:ascii="Cambria Math" w:hAnsi="Cambria Math" w:cs="Times New Roman" w:eastAsiaTheme="minorEastAsia"/>
                  <w:color w:val="000000" w:themeColor="text1"/>
                  <w:sz w:val="24"/>
                  <w:szCs w:val="24"/>
                  <w:lang w:val="en-US"/>
                  <w14:textFill>
                    <w14:solidFill>
                      <w14:schemeClr w14:val="tx1"/>
                    </w14:solidFill>
                  </w14:textFill>
                </w:rPr>
              </m:ctrlPr>
            </m:fPr>
            <m:num>
              <m:sSub>
                <m:sSubPr>
                  <m:ctrlPr>
                    <w:rPr>
                      <w:rFonts w:ascii="Cambria Math" w:hAnsi="Cambria Math" w:cs="Times New Roman" w:eastAsiaTheme="minorEastAsia"/>
                      <w:color w:val="000000" w:themeColor="text1"/>
                      <w:sz w:val="24"/>
                      <w:szCs w:val="24"/>
                      <w:lang w:val="en-US"/>
                      <w14:textFill>
                        <w14:solidFill>
                          <w14:schemeClr w14:val="tx1"/>
                        </w14:solidFill>
                      </w14:textFill>
                    </w:rPr>
                  </m:ctrlPr>
                </m:sSubPr>
                <m:e>
                  <m:r>
                    <m:rPr/>
                    <w:rPr>
                      <w:rFonts w:ascii="Cambria Math" w:hAnsi="Cambria Math" w:cs="Times New Roman" w:eastAsiaTheme="minorEastAsia"/>
                      <w:color w:val="000000" w:themeColor="text1"/>
                      <w:sz w:val="24"/>
                      <w:szCs w:val="24"/>
                      <w:lang w:val="en-US"/>
                      <w14:textFill>
                        <w14:solidFill>
                          <w14:schemeClr w14:val="tx1"/>
                        </w14:solidFill>
                      </w14:textFill>
                    </w:rPr>
                    <m:t>C</m:t>
                  </m:r>
                  <m:ctrlPr>
                    <w:rPr>
                      <w:rFonts w:ascii="Cambria Math" w:hAnsi="Cambria Math" w:cs="Times New Roman" w:eastAsiaTheme="minorEastAsia"/>
                      <w:color w:val="000000" w:themeColor="text1"/>
                      <w:sz w:val="24"/>
                      <w:szCs w:val="24"/>
                      <w:lang w:val="en-US"/>
                      <w14:textFill>
                        <w14:solidFill>
                          <w14:schemeClr w14:val="tx1"/>
                        </w14:solidFill>
                      </w14:textFill>
                    </w:rPr>
                  </m:ctrlPr>
                </m:e>
                <m:sub>
                  <m:r>
                    <m:rPr/>
                    <w:rPr>
                      <w:rFonts w:ascii="Cambria Math" w:hAnsi="Cambria Math" w:cs="Times New Roman" w:eastAsiaTheme="minorEastAsia"/>
                      <w:color w:val="000000" w:themeColor="text1"/>
                      <w:sz w:val="24"/>
                      <w:szCs w:val="24"/>
                      <w:lang w:val="en-US"/>
                      <w14:textFill>
                        <w14:solidFill>
                          <w14:schemeClr w14:val="tx1"/>
                        </w14:solidFill>
                      </w14:textFill>
                    </w:rPr>
                    <m:t>i</m:t>
                  </m:r>
                  <m:ctrlPr>
                    <w:rPr>
                      <w:rFonts w:ascii="Cambria Math" w:hAnsi="Cambria Math" w:cs="Times New Roman" w:eastAsiaTheme="minorEastAsia"/>
                      <w:color w:val="000000" w:themeColor="text1"/>
                      <w:sz w:val="24"/>
                      <w:szCs w:val="24"/>
                      <w:lang w:val="en-US"/>
                      <w14:textFill>
                        <w14:solidFill>
                          <w14:schemeClr w14:val="tx1"/>
                        </w14:solidFill>
                      </w14:textFill>
                    </w:rPr>
                  </m:ctrlPr>
                </m:sub>
              </m:sSub>
              <m:ctrlPr>
                <w:rPr>
                  <w:rFonts w:ascii="Cambria Math" w:hAnsi="Cambria Math" w:cs="Times New Roman" w:eastAsiaTheme="minorEastAsia"/>
                  <w:color w:val="000000" w:themeColor="text1"/>
                  <w:sz w:val="24"/>
                  <w:szCs w:val="24"/>
                  <w:lang w:val="en-US"/>
                  <w14:textFill>
                    <w14:solidFill>
                      <w14:schemeClr w14:val="tx1"/>
                    </w14:solidFill>
                  </w14:textFill>
                </w:rPr>
              </m:ctrlPr>
            </m:num>
            <m:den>
              <m:sSub>
                <m:sSubPr>
                  <m:ctrlPr>
                    <w:rPr>
                      <w:rFonts w:ascii="Cambria Math" w:hAnsi="Cambria Math" w:cs="Times New Roman" w:eastAsiaTheme="minorEastAsia"/>
                      <w:color w:val="000000" w:themeColor="text1"/>
                      <w:sz w:val="24"/>
                      <w:szCs w:val="24"/>
                      <w:lang w:val="en-US"/>
                      <w14:textFill>
                        <w14:solidFill>
                          <w14:schemeClr w14:val="tx1"/>
                        </w14:solidFill>
                      </w14:textFill>
                    </w:rPr>
                  </m:ctrlPr>
                </m:sSubPr>
                <m:e>
                  <m:r>
                    <m:rPr/>
                    <w:rPr>
                      <w:rFonts w:ascii="Cambria Math" w:hAnsi="Cambria Math" w:cs="Times New Roman" w:eastAsiaTheme="minorEastAsia"/>
                      <w:color w:val="000000" w:themeColor="text1"/>
                      <w:sz w:val="24"/>
                      <w:szCs w:val="24"/>
                      <w:lang w:val="en-US"/>
                      <w14:textFill>
                        <w14:solidFill>
                          <w14:schemeClr w14:val="tx1"/>
                        </w14:solidFill>
                      </w14:textFill>
                    </w:rPr>
                    <m:t>C</m:t>
                  </m:r>
                  <m:ctrlPr>
                    <w:rPr>
                      <w:rFonts w:ascii="Cambria Math" w:hAnsi="Cambria Math" w:cs="Times New Roman" w:eastAsiaTheme="minorEastAsia"/>
                      <w:color w:val="000000" w:themeColor="text1"/>
                      <w:sz w:val="24"/>
                      <w:szCs w:val="24"/>
                      <w:lang w:val="en-US"/>
                      <w14:textFill>
                        <w14:solidFill>
                          <w14:schemeClr w14:val="tx1"/>
                        </w14:solidFill>
                      </w14:textFill>
                    </w:rPr>
                  </m:ctrlPr>
                </m:e>
                <m:sub>
                  <m:r>
                    <m:rPr>
                      <m:sty m:val="p"/>
                    </m:rPr>
                    <w:rPr>
                      <w:rFonts w:ascii="Cambria Math" w:hAnsi="Cambria Math" w:cs="Times New Roman" w:eastAsiaTheme="minorEastAsia"/>
                      <w:color w:val="000000" w:themeColor="text1"/>
                      <w:sz w:val="24"/>
                      <w:szCs w:val="24"/>
                      <w:lang w:val="en-US"/>
                      <w14:textFill>
                        <w14:solidFill>
                          <w14:schemeClr w14:val="tx1"/>
                        </w14:solidFill>
                      </w14:textFill>
                    </w:rPr>
                    <m:t>0</m:t>
                  </m:r>
                  <m:r>
                    <m:rPr/>
                    <w:rPr>
                      <w:rFonts w:ascii="Cambria Math" w:hAnsi="Cambria Math" w:cs="Times New Roman" w:eastAsiaTheme="minorEastAsia"/>
                      <w:color w:val="000000" w:themeColor="text1"/>
                      <w:sz w:val="24"/>
                      <w:szCs w:val="24"/>
                      <w:lang w:val="en-US"/>
                      <w14:textFill>
                        <w14:solidFill>
                          <w14:schemeClr w14:val="tx1"/>
                        </w14:solidFill>
                      </w14:textFill>
                    </w:rPr>
                    <m:t>i</m:t>
                  </m:r>
                  <m:ctrlPr>
                    <w:rPr>
                      <w:rFonts w:ascii="Cambria Math" w:hAnsi="Cambria Math" w:cs="Times New Roman" w:eastAsiaTheme="minorEastAsia"/>
                      <w:color w:val="000000" w:themeColor="text1"/>
                      <w:sz w:val="24"/>
                      <w:szCs w:val="24"/>
                      <w:lang w:val="en-US"/>
                      <w14:textFill>
                        <w14:solidFill>
                          <w14:schemeClr w14:val="tx1"/>
                        </w14:solidFill>
                      </w14:textFill>
                    </w:rPr>
                  </m:ctrlPr>
                </m:sub>
              </m:sSub>
              <m:ctrlPr>
                <w:rPr>
                  <w:rFonts w:ascii="Cambria Math" w:hAnsi="Cambria Math" w:cs="Times New Roman" w:eastAsiaTheme="minorEastAsia"/>
                  <w:color w:val="000000" w:themeColor="text1"/>
                  <w:sz w:val="24"/>
                  <w:szCs w:val="24"/>
                  <w:lang w:val="en-US"/>
                  <w14:textFill>
                    <w14:solidFill>
                      <w14:schemeClr w14:val="tx1"/>
                    </w14:solidFill>
                  </w14:textFill>
                </w:rPr>
              </m:ctrlPr>
            </m:den>
          </m:f>
          <m:r>
            <m:rPr>
              <m:sty m:val="p"/>
            </m:rPr>
            <w:rPr>
              <w:rFonts w:ascii="Cambria Math" w:hAnsi="Cambria Math" w:cs="Times New Roman" w:eastAsiaTheme="minorEastAsia"/>
              <w:color w:val="000000" w:themeColor="text1"/>
              <w:sz w:val="24"/>
              <w:szCs w:val="24"/>
              <w:lang w:val="en-US"/>
              <w14:textFill>
                <w14:solidFill>
                  <w14:schemeClr w14:val="tx1"/>
                </w14:solidFill>
              </w14:textFill>
            </w:rPr>
            <m:t>×100%</m:t>
          </m:r>
        </m:oMath>
      </m:oMathPara>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m:oMath>
        <m:sSub>
          <m:sSubPr>
            <m:ctrlPr>
              <w:rPr>
                <w:rFonts w:ascii="Cambria Math" w:hAnsi="Cambria Math" w:cs="Times New Roman" w:eastAsiaTheme="minorEastAsia"/>
                <w:color w:val="000000" w:themeColor="text1"/>
                <w:sz w:val="24"/>
                <w:szCs w:val="24"/>
                <w:lang w:val="en-US"/>
                <w14:textFill>
                  <w14:solidFill>
                    <w14:schemeClr w14:val="tx1"/>
                  </w14:solidFill>
                </w14:textFill>
              </w:rPr>
            </m:ctrlPr>
          </m:sSubPr>
          <m:e>
            <m:r>
              <m:rPr/>
              <w:rPr>
                <w:rFonts w:ascii="Cambria Math" w:hAnsi="Times New Roman" w:cs="Times New Roman" w:eastAsiaTheme="minorEastAsia"/>
                <w:color w:val="000000" w:themeColor="text1"/>
                <w:sz w:val="24"/>
                <w:szCs w:val="24"/>
                <w:lang w:val="en-US"/>
                <w14:textFill>
                  <w14:solidFill>
                    <w14:schemeClr w14:val="tx1"/>
                  </w14:solidFill>
                </w14:textFill>
              </w:rPr>
              <m:t>P</m:t>
            </m:r>
            <m:ctrlPr>
              <w:rPr>
                <w:rFonts w:ascii="Cambria Math" w:hAnsi="Cambria Math" w:cs="Times New Roman" w:eastAsiaTheme="minorEastAsia"/>
                <w:color w:val="000000" w:themeColor="text1"/>
                <w:sz w:val="24"/>
                <w:szCs w:val="24"/>
                <w:lang w:val="en-US"/>
                <w14:textFill>
                  <w14:solidFill>
                    <w14:schemeClr w14:val="tx1"/>
                  </w14:solidFill>
                </w14:textFill>
              </w:rPr>
            </m:ctrlPr>
          </m:e>
          <m:sub>
            <m:r>
              <m:rPr/>
              <w:rPr>
                <w:rFonts w:ascii="Cambria Math" w:hAnsi="Times New Roman" w:cs="Times New Roman" w:eastAsiaTheme="minorEastAsia"/>
                <w:color w:val="000000" w:themeColor="text1"/>
                <w:sz w:val="24"/>
                <w:szCs w:val="24"/>
                <w:lang w:val="en-US"/>
                <w14:textFill>
                  <w14:solidFill>
                    <w14:schemeClr w14:val="tx1"/>
                  </w14:solidFill>
                </w14:textFill>
              </w:rPr>
              <m:t>i</m:t>
            </m:r>
            <m:ctrlPr>
              <w:rPr>
                <w:rFonts w:ascii="Cambria Math" w:hAnsi="Cambria Math" w:cs="Times New Roman" w:eastAsiaTheme="minorEastAsia"/>
                <w:color w:val="000000" w:themeColor="text1"/>
                <w:sz w:val="24"/>
                <w:szCs w:val="24"/>
                <w:lang w:val="en-US"/>
                <w14:textFill>
                  <w14:solidFill>
                    <w14:schemeClr w14:val="tx1"/>
                  </w14:solidFill>
                </w14:textFill>
              </w:rPr>
            </m:ctrlPr>
          </m:sub>
        </m:sSub>
      </m:oMath>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——第i个污染物的最大地面空气质量浓度占标率，%；</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m:oMath>
        <m:sSub>
          <m:sSubPr>
            <m:ctrlPr>
              <w:rPr>
                <w:rFonts w:ascii="Cambria Math" w:hAnsi="Cambria Math" w:cs="Times New Roman" w:eastAsiaTheme="minorEastAsia"/>
                <w:color w:val="000000" w:themeColor="text1"/>
                <w:sz w:val="24"/>
                <w:szCs w:val="24"/>
                <w:lang w:val="en-US"/>
                <w14:textFill>
                  <w14:solidFill>
                    <w14:schemeClr w14:val="tx1"/>
                  </w14:solidFill>
                </w14:textFill>
              </w:rPr>
            </m:ctrlPr>
          </m:sSubPr>
          <m:e>
            <m:r>
              <m:rPr/>
              <w:rPr>
                <w:rFonts w:ascii="Cambria Math" w:hAnsi="Times New Roman" w:cs="Times New Roman" w:eastAsiaTheme="minorEastAsia"/>
                <w:color w:val="000000" w:themeColor="text1"/>
                <w:sz w:val="24"/>
                <w:szCs w:val="24"/>
                <w:lang w:val="en-US"/>
                <w14:textFill>
                  <w14:solidFill>
                    <w14:schemeClr w14:val="tx1"/>
                  </w14:solidFill>
                </w14:textFill>
              </w:rPr>
              <m:t>C</m:t>
            </m:r>
            <m:ctrlPr>
              <w:rPr>
                <w:rFonts w:ascii="Cambria Math" w:hAnsi="Cambria Math" w:cs="Times New Roman" w:eastAsiaTheme="minorEastAsia"/>
                <w:color w:val="000000" w:themeColor="text1"/>
                <w:sz w:val="24"/>
                <w:szCs w:val="24"/>
                <w:lang w:val="en-US"/>
                <w14:textFill>
                  <w14:solidFill>
                    <w14:schemeClr w14:val="tx1"/>
                  </w14:solidFill>
                </w14:textFill>
              </w:rPr>
            </m:ctrlPr>
          </m:e>
          <m:sub>
            <m:r>
              <m:rPr/>
              <w:rPr>
                <w:rFonts w:ascii="Cambria Math" w:hAnsi="Times New Roman" w:cs="Times New Roman" w:eastAsiaTheme="minorEastAsia"/>
                <w:color w:val="000000" w:themeColor="text1"/>
                <w:sz w:val="24"/>
                <w:szCs w:val="24"/>
                <w:lang w:val="en-US"/>
                <w14:textFill>
                  <w14:solidFill>
                    <w14:schemeClr w14:val="tx1"/>
                  </w14:solidFill>
                </w14:textFill>
              </w:rPr>
              <m:t>i</m:t>
            </m:r>
            <m:ctrlPr>
              <w:rPr>
                <w:rFonts w:ascii="Cambria Math" w:hAnsi="Cambria Math" w:cs="Times New Roman" w:eastAsiaTheme="minorEastAsia"/>
                <w:color w:val="000000" w:themeColor="text1"/>
                <w:sz w:val="24"/>
                <w:szCs w:val="24"/>
                <w:lang w:val="en-US"/>
                <w14:textFill>
                  <w14:solidFill>
                    <w14:schemeClr w14:val="tx1"/>
                  </w14:solidFill>
                </w14:textFill>
              </w:rPr>
            </m:ctrlPr>
          </m:sub>
        </m:sSub>
      </m:oMath>
      <w:r>
        <w:rPr>
          <w:rFonts w:ascii="Times New Roman" w:hAnsi="Times New Roman" w:cs="Times New Roman" w:eastAsiaTheme="minorEastAsia"/>
          <w:color w:val="000000" w:themeColor="text1"/>
          <w:sz w:val="24"/>
          <w:szCs w:val="24"/>
          <w:lang w:val="en-US"/>
          <w14:textFill>
            <w14:solidFill>
              <w14:schemeClr w14:val="tx1"/>
            </w14:solidFill>
          </w14:textFill>
        </w:rPr>
        <w:t>——采用估算模型计算出的第i个污染物的最大1h地面空气质量浓度，μg/m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m:oMath>
        <m:sSub>
          <m:sSubPr>
            <m:ctrlPr>
              <w:rPr>
                <w:rFonts w:ascii="Cambria Math" w:hAnsi="Cambria Math" w:cs="Times New Roman" w:eastAsiaTheme="minorEastAsia"/>
                <w:color w:val="000000" w:themeColor="text1"/>
                <w:sz w:val="24"/>
                <w:szCs w:val="24"/>
                <w:lang w:val="en-US"/>
                <w14:textFill>
                  <w14:solidFill>
                    <w14:schemeClr w14:val="tx1"/>
                  </w14:solidFill>
                </w14:textFill>
              </w:rPr>
            </m:ctrlPr>
          </m:sSubPr>
          <m:e>
            <m:r>
              <m:rPr/>
              <w:rPr>
                <w:rFonts w:ascii="Cambria Math" w:hAnsi="Times New Roman" w:cs="Times New Roman" w:eastAsiaTheme="minorEastAsia"/>
                <w:color w:val="000000" w:themeColor="text1"/>
                <w:sz w:val="24"/>
                <w:szCs w:val="24"/>
                <w:lang w:val="en-US"/>
                <w14:textFill>
                  <w14:solidFill>
                    <w14:schemeClr w14:val="tx1"/>
                  </w14:solidFill>
                </w14:textFill>
              </w:rPr>
              <m:t>C</m:t>
            </m:r>
            <m:ctrlPr>
              <w:rPr>
                <w:rFonts w:ascii="Cambria Math" w:hAnsi="Cambria Math" w:cs="Times New Roman" w:eastAsiaTheme="minorEastAsia"/>
                <w:color w:val="000000" w:themeColor="text1"/>
                <w:sz w:val="24"/>
                <w:szCs w:val="24"/>
                <w:lang w:val="en-US"/>
                <w14:textFill>
                  <w14:solidFill>
                    <w14:schemeClr w14:val="tx1"/>
                  </w14:solidFill>
                </w14:textFill>
              </w:rPr>
            </m:ctrlPr>
          </m:e>
          <m:sub>
            <m:r>
              <m:rPr>
                <m:sty m:val="p"/>
              </m:rPr>
              <w:rPr>
                <w:rFonts w:ascii="Cambria Math" w:hAnsi="Times New Roman" w:cs="Times New Roman" w:eastAsiaTheme="minorEastAsia"/>
                <w:color w:val="000000" w:themeColor="text1"/>
                <w:sz w:val="24"/>
                <w:szCs w:val="24"/>
                <w:lang w:val="en-US"/>
                <w14:textFill>
                  <w14:solidFill>
                    <w14:schemeClr w14:val="tx1"/>
                  </w14:solidFill>
                </w14:textFill>
              </w:rPr>
              <m:t>0</m:t>
            </m:r>
            <m:r>
              <m:rPr/>
              <w:rPr>
                <w:rFonts w:ascii="Cambria Math" w:hAnsi="Times New Roman" w:cs="Times New Roman" w:eastAsiaTheme="minorEastAsia"/>
                <w:color w:val="000000" w:themeColor="text1"/>
                <w:sz w:val="24"/>
                <w:szCs w:val="24"/>
                <w:lang w:val="en-US"/>
                <w14:textFill>
                  <w14:solidFill>
                    <w14:schemeClr w14:val="tx1"/>
                  </w14:solidFill>
                </w14:textFill>
              </w:rPr>
              <m:t>i</m:t>
            </m:r>
            <m:ctrlPr>
              <w:rPr>
                <w:rFonts w:ascii="Cambria Math" w:hAnsi="Cambria Math" w:cs="Times New Roman" w:eastAsiaTheme="minorEastAsia"/>
                <w:color w:val="000000" w:themeColor="text1"/>
                <w:sz w:val="24"/>
                <w:szCs w:val="24"/>
                <w:lang w:val="en-US"/>
                <w14:textFill>
                  <w14:solidFill>
                    <w14:schemeClr w14:val="tx1"/>
                  </w14:solidFill>
                </w14:textFill>
              </w:rPr>
            </m:ctrlPr>
          </m:sub>
        </m:sSub>
      </m:oMath>
      <w:r>
        <w:rPr>
          <w:rFonts w:ascii="Times New Roman" w:hAnsi="Times New Roman" w:cs="Times New Roman" w:eastAsiaTheme="minorEastAsia"/>
          <w:color w:val="000000" w:themeColor="text1"/>
          <w:sz w:val="24"/>
          <w:szCs w:val="24"/>
          <w:lang w:val="en-US"/>
          <w14:textFill>
            <w14:solidFill>
              <w14:schemeClr w14:val="tx1"/>
            </w14:solidFill>
          </w14:textFill>
        </w:rPr>
        <w:t>——第i个污染物的环境空气质量浓度标准，μg/m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（2）评价等级判别表</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评价等级按下表的分级判据进行划分</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表2-3-1  评价等级判别表</w:t>
      </w:r>
    </w:p>
    <w:tbl>
      <w:tblPr>
        <w:tblStyle w:val="7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评价工作等级</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评价工作分级判据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一级评价</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Pmax</w:t>
            </w:r>
            <w:r>
              <w:rPr>
                <w:rFonts w:hint="eastAsia" w:hAnsi="宋体" w:cs="宋体"/>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二级评价</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r>
              <w:rPr>
                <w:rFonts w:hint="eastAsia" w:hAnsi="宋体" w:cs="宋体"/>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Pmax&lt;10%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三级评价</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Pmax&lt;1%</w:t>
            </w: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本项目扩建燃煤锅炉产生的大气污染物SO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、NOx、颗粒物通过1根</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100</w:t>
      </w:r>
      <w:r>
        <w:rPr>
          <w:rFonts w:ascii="Times New Roman" w:hAnsi="Times New Roman" w:cs="Times New Roman" w:eastAsiaTheme="minorEastAsia"/>
          <w:color w:val="000000" w:themeColor="text1"/>
          <w:sz w:val="24"/>
          <w:szCs w:val="24"/>
          <w:lang w:val="en-US"/>
          <w14:textFill>
            <w14:solidFill>
              <w14:schemeClr w14:val="tx1"/>
            </w14:solidFill>
          </w14:textFill>
        </w:rPr>
        <w:t>m高烟囱进入大气环境，属于有组织排放。</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本项目SO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+NOx排放量=14.622</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＜500t/a，因此本项目不预测二次PM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2、污染源参数</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通过初步工程分析选取如下污染源和评价因子：有组织及无组织排放的颗粒物。本项目大气评价等级估算AERSCREEN选用的估算模型参数见表2-3-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。本项目建成后污染物排放源强见表2-3-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，各污染因子的估算模式预测结果见表2-3-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。本项目等高线示意图见图2-3-1。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表2-3-</w:t>
      </w:r>
      <w:r>
        <w:rPr>
          <w:rFonts w:hint="eastAsia" w:ascii="Times New Roman" w:hAnsiTheme="minorEastAsia" w:eastAsiaTheme="minorEastAsia"/>
          <w:b/>
          <w:bCs/>
          <w:color w:val="000000" w:themeColor="text1"/>
          <w:szCs w:val="24"/>
          <w14:textFill>
            <w14:solidFill>
              <w14:schemeClr w14:val="tx1"/>
            </w14:solidFill>
          </w14:textFill>
        </w:rPr>
        <w:t>2</w:t>
      </w:r>
      <w:r>
        <w:rPr>
          <w:rFonts w:ascii="Times New Roman" w:hAnsiTheme="minorEastAsia" w:eastAsiaTheme="minorEastAsia"/>
          <w:b/>
          <w:bCs/>
          <w:color w:val="000000" w:themeColor="text1"/>
          <w:szCs w:val="24"/>
          <w14:textFill>
            <w14:solidFill>
              <w14:schemeClr w14:val="tx1"/>
            </w14:solidFill>
          </w14:textFill>
        </w:rPr>
        <w:t>估算模型参数表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23"/>
        <w:gridCol w:w="68"/>
        <w:gridCol w:w="2120"/>
        <w:gridCol w:w="1842"/>
        <w:gridCol w:w="31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60"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参数</w:t>
            </w:r>
          </w:p>
        </w:tc>
        <w:tc>
          <w:tcPr>
            <w:tcW w:w="10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取值</w:t>
            </w:r>
          </w:p>
        </w:tc>
        <w:tc>
          <w:tcPr>
            <w:tcW w:w="18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取值依据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7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城市/农村选项</w:t>
            </w:r>
          </w:p>
        </w:tc>
        <w:tc>
          <w:tcPr>
            <w:tcW w:w="1284"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城市/农村</w:t>
            </w:r>
          </w:p>
        </w:tc>
        <w:tc>
          <w:tcPr>
            <w:tcW w:w="10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农村</w:t>
            </w:r>
          </w:p>
        </w:tc>
        <w:tc>
          <w:tcPr>
            <w:tcW w:w="18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3km范围内以农村为主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7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84"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人口数（城市选项时）</w:t>
            </w:r>
          </w:p>
        </w:tc>
        <w:tc>
          <w:tcPr>
            <w:tcW w:w="10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18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60"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最高环境温度/℃</w:t>
            </w:r>
          </w:p>
        </w:tc>
        <w:tc>
          <w:tcPr>
            <w:tcW w:w="10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38.7</w:t>
            </w:r>
            <w:r>
              <w:rPr>
                <w:rFonts w:ascii="Times New Roman" w:eastAsiaTheme="minorEastAsia"/>
                <w:color w:val="000000" w:themeColor="text1"/>
                <w:sz w:val="21"/>
                <w:szCs w:val="21"/>
                <w14:textFill>
                  <w14:solidFill>
                    <w14:schemeClr w14:val="tx1"/>
                  </w14:solidFill>
                </w14:textFill>
              </w:rPr>
              <w:t>℃</w:t>
            </w:r>
          </w:p>
        </w:tc>
        <w:tc>
          <w:tcPr>
            <w:tcW w:w="18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60"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最低环境温度/℃</w:t>
            </w:r>
          </w:p>
        </w:tc>
        <w:tc>
          <w:tcPr>
            <w:tcW w:w="10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5.6</w:t>
            </w:r>
            <w:r>
              <w:rPr>
                <w:rFonts w:ascii="Times New Roman" w:eastAsiaTheme="minorEastAsia"/>
                <w:color w:val="000000" w:themeColor="text1"/>
                <w:sz w:val="21"/>
                <w:szCs w:val="21"/>
                <w14:textFill>
                  <w14:solidFill>
                    <w14:schemeClr w14:val="tx1"/>
                  </w14:solidFill>
                </w14:textFill>
              </w:rPr>
              <w:t>℃</w:t>
            </w:r>
          </w:p>
        </w:tc>
        <w:tc>
          <w:tcPr>
            <w:tcW w:w="18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60"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土地利用类型</w:t>
            </w:r>
          </w:p>
        </w:tc>
        <w:tc>
          <w:tcPr>
            <w:tcW w:w="10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耕地</w:t>
            </w:r>
          </w:p>
        </w:tc>
        <w:tc>
          <w:tcPr>
            <w:tcW w:w="18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厂址 3km 半径范围内用地性质以耕地为主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2060"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区域湿度条件</w:t>
            </w:r>
          </w:p>
        </w:tc>
        <w:tc>
          <w:tcPr>
            <w:tcW w:w="10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湿润</w:t>
            </w:r>
          </w:p>
        </w:tc>
        <w:tc>
          <w:tcPr>
            <w:tcW w:w="18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根据中国干湿地区划分，本项目厂址区域属于湿润地区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16" w:type="pct"/>
            <w:gridSpan w:val="2"/>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是否考虑地形</w:t>
            </w:r>
          </w:p>
        </w:tc>
        <w:tc>
          <w:tcPr>
            <w:tcW w:w="12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考虑地形</w:t>
            </w:r>
          </w:p>
        </w:tc>
        <w:tc>
          <w:tcPr>
            <w:tcW w:w="10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■是   □否</w:t>
            </w:r>
          </w:p>
        </w:tc>
        <w:tc>
          <w:tcPr>
            <w:tcW w:w="18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本项目编制报告书，应输入地形参数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16"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地形数据分辨率/m</w:t>
            </w:r>
          </w:p>
        </w:tc>
        <w:tc>
          <w:tcPr>
            <w:tcW w:w="10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w:t>
            </w:r>
          </w:p>
        </w:tc>
        <w:tc>
          <w:tcPr>
            <w:tcW w:w="18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数据来自自然资源部地理国情监测云平台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16" w:type="pct"/>
            <w:gridSpan w:val="2"/>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是否考虑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岸线熏烟</w:t>
            </w:r>
          </w:p>
        </w:tc>
        <w:tc>
          <w:tcPr>
            <w:tcW w:w="12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考虑岸线熏烟</w:t>
            </w:r>
          </w:p>
        </w:tc>
        <w:tc>
          <w:tcPr>
            <w:tcW w:w="10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□是   ■否</w:t>
            </w:r>
          </w:p>
        </w:tc>
        <w:tc>
          <w:tcPr>
            <w:tcW w:w="18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本项目污染源附近3km范围内无大型水体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16"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岸线距离/km</w:t>
            </w:r>
          </w:p>
        </w:tc>
        <w:tc>
          <w:tcPr>
            <w:tcW w:w="10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8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816"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岸线方向/º</w:t>
            </w:r>
          </w:p>
        </w:tc>
        <w:tc>
          <w:tcPr>
            <w:tcW w:w="10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8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表2-3-</w:t>
      </w:r>
      <w:r>
        <w:rPr>
          <w:rFonts w:hint="eastAsia" w:ascii="Times New Roman" w:hAnsiTheme="minorEastAsia" w:eastAsiaTheme="minorEastAsia"/>
          <w:b/>
          <w:bCs/>
          <w:color w:val="000000" w:themeColor="text1"/>
          <w:szCs w:val="24"/>
          <w14:textFill>
            <w14:solidFill>
              <w14:schemeClr w14:val="tx1"/>
            </w14:solidFill>
          </w14:textFill>
        </w:rPr>
        <w:t>3</w:t>
      </w:r>
      <w:r>
        <w:rPr>
          <w:rFonts w:ascii="Times New Roman" w:hAnsiTheme="minorEastAsia" w:eastAsiaTheme="minorEastAsia"/>
          <w:b/>
          <w:bCs/>
          <w:color w:val="000000" w:themeColor="text1"/>
          <w:szCs w:val="24"/>
          <w14:textFill>
            <w14:solidFill>
              <w14:schemeClr w14:val="tx1"/>
            </w14:solidFill>
          </w14:textFill>
        </w:rPr>
        <w:t xml:space="preserve">  正常排放点源参数表</w:t>
      </w:r>
    </w:p>
    <w:tbl>
      <w:tblPr>
        <w:tblStyle w:val="7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6"/>
        <w:gridCol w:w="356"/>
        <w:gridCol w:w="565"/>
        <w:gridCol w:w="495"/>
        <w:gridCol w:w="425"/>
        <w:gridCol w:w="425"/>
        <w:gridCol w:w="390"/>
        <w:gridCol w:w="757"/>
        <w:gridCol w:w="394"/>
        <w:gridCol w:w="495"/>
        <w:gridCol w:w="613"/>
        <w:gridCol w:w="530"/>
        <w:gridCol w:w="530"/>
        <w:gridCol w:w="530"/>
        <w:gridCol w:w="530"/>
        <w:gridCol w:w="600"/>
        <w:gridCol w:w="5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22"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编号</w:t>
            </w:r>
          </w:p>
        </w:tc>
        <w:tc>
          <w:tcPr>
            <w:tcW w:w="222"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名称</w:t>
            </w:r>
          </w:p>
        </w:tc>
        <w:tc>
          <w:tcPr>
            <w:tcW w:w="683"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排气筒底部中心坐标（°）</w:t>
            </w:r>
          </w:p>
        </w:tc>
        <w:tc>
          <w:tcPr>
            <w:tcW w:w="270"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排气筒底部海拔高度/m</w:t>
            </w:r>
          </w:p>
        </w:tc>
        <w:tc>
          <w:tcPr>
            <w:tcW w:w="270"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排气筒高度/m</w:t>
            </w:r>
          </w:p>
        </w:tc>
        <w:tc>
          <w:tcPr>
            <w:tcW w:w="24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排气筒出口内径/m</w:t>
            </w:r>
          </w:p>
        </w:tc>
        <w:tc>
          <w:tcPr>
            <w:tcW w:w="49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w:t>
            </w:r>
            <w:r>
              <w:rPr>
                <w:rFonts w:hint="eastAsia" w:ascii="Times New Roman" w:eastAsiaTheme="minorEastAsia"/>
                <w:color w:val="000000" w:themeColor="text1"/>
                <w:sz w:val="21"/>
                <w:szCs w:val="21"/>
                <w14:textFill>
                  <w14:solidFill>
                    <w14:schemeClr w14:val="tx1"/>
                  </w14:solidFill>
                </w14:textFill>
              </w:rPr>
              <w:t>流量</w:t>
            </w:r>
            <w:r>
              <w:rPr>
                <w:rFonts w:ascii="Times New Roman" w:eastAsiaTheme="minorEastAsia"/>
                <w:color w:val="000000" w:themeColor="text1"/>
                <w:sz w:val="21"/>
                <w:szCs w:val="21"/>
                <w14:textFill>
                  <w14:solidFill>
                    <w14:schemeClr w14:val="tx1"/>
                  </w14:solidFill>
                </w14:textFill>
              </w:rPr>
              <w:t>/（m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/h）</w:t>
            </w:r>
          </w:p>
        </w:tc>
        <w:tc>
          <w:tcPr>
            <w:tcW w:w="24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烟气温度/</w:t>
            </w:r>
            <w:r>
              <w:rPr>
                <w:rFonts w:hint="eastAsia" w:ascii="Times New Roman" w:eastAsiaTheme="minorEastAsia"/>
                <w:color w:val="000000" w:themeColor="text1"/>
                <w:sz w:val="21"/>
                <w:szCs w:val="21"/>
                <w14:textFill>
                  <w14:solidFill>
                    <w14:schemeClr w14:val="tx1"/>
                  </w14:solidFill>
                </w14:textFill>
              </w:rPr>
              <w:t>℃</w:t>
            </w:r>
          </w:p>
        </w:tc>
        <w:tc>
          <w:tcPr>
            <w:tcW w:w="31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年排放小时数/h</w:t>
            </w:r>
          </w:p>
        </w:tc>
        <w:tc>
          <w:tcPr>
            <w:tcW w:w="39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w:t>
            </w:r>
          </w:p>
        </w:tc>
        <w:tc>
          <w:tcPr>
            <w:tcW w:w="1626" w:type="pct"/>
            <w:gridSpan w:val="6"/>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2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经度</w:t>
            </w:r>
          </w:p>
        </w:tc>
        <w:tc>
          <w:tcPr>
            <w:tcW w:w="31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纬度</w:t>
            </w:r>
          </w:p>
        </w:tc>
        <w:tc>
          <w:tcPr>
            <w:tcW w:w="270"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70"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4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4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1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p>
        </w:tc>
        <w:tc>
          <w:tcPr>
            <w:tcW w:w="3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2</w:t>
            </w:r>
          </w:p>
        </w:tc>
        <w:tc>
          <w:tcPr>
            <w:tcW w:w="3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w:t>
            </w:r>
            <w:r>
              <w:rPr>
                <w:rFonts w:ascii="Times New Roman" w:eastAsiaTheme="minorEastAsia"/>
                <w:color w:val="000000" w:themeColor="text1"/>
                <w:sz w:val="21"/>
                <w:szCs w:val="21"/>
                <w:vertAlign w:val="subscript"/>
                <w14:textFill>
                  <w14:solidFill>
                    <w14:schemeClr w14:val="tx1"/>
                  </w14:solidFill>
                </w14:textFill>
              </w:rPr>
              <w:t>10</w:t>
            </w:r>
          </w:p>
        </w:tc>
        <w:tc>
          <w:tcPr>
            <w:tcW w:w="3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w:t>
            </w:r>
            <w:r>
              <w:rPr>
                <w:rFonts w:hint="eastAsia" w:ascii="Times New Roman" w:eastAsiaTheme="minorEastAsia"/>
                <w:color w:val="000000" w:themeColor="text1"/>
                <w:sz w:val="21"/>
                <w:szCs w:val="21"/>
                <w:vertAlign w:val="subscript"/>
                <w14:textFill>
                  <w14:solidFill>
                    <w14:schemeClr w14:val="tx1"/>
                  </w14:solidFill>
                </w14:textFill>
              </w:rPr>
              <w:t>2.5</w:t>
            </w:r>
          </w:p>
        </w:tc>
        <w:tc>
          <w:tcPr>
            <w:tcW w:w="13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汞及其化合物</w:t>
            </w:r>
          </w:p>
        </w:tc>
        <w:tc>
          <w:tcPr>
            <w:tcW w:w="13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NH</w:t>
            </w:r>
            <w:r>
              <w:rPr>
                <w:rFonts w:ascii="Times New Roman" w:eastAsiaTheme="minorEastAsia"/>
                <w:color w:val="000000" w:themeColor="text1"/>
                <w:sz w:val="21"/>
                <w:szCs w:val="21"/>
                <w:vertAlign w:val="subscript"/>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22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烟囱</w:t>
            </w:r>
          </w:p>
        </w:tc>
        <w:tc>
          <w:tcPr>
            <w:tcW w:w="3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131.</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572</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20125</w:t>
            </w:r>
          </w:p>
        </w:tc>
        <w:tc>
          <w:tcPr>
            <w:tcW w:w="31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46.7</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019</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8142</w:t>
            </w:r>
          </w:p>
        </w:tc>
        <w:tc>
          <w:tcPr>
            <w:tcW w:w="27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147</w:t>
            </w:r>
          </w:p>
        </w:tc>
        <w:tc>
          <w:tcPr>
            <w:tcW w:w="27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100</w:t>
            </w:r>
          </w:p>
        </w:tc>
        <w:tc>
          <w:tcPr>
            <w:tcW w:w="24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w:t>
            </w:r>
          </w:p>
        </w:tc>
        <w:tc>
          <w:tcPr>
            <w:tcW w:w="4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80934</w:t>
            </w:r>
          </w:p>
        </w:tc>
        <w:tc>
          <w:tcPr>
            <w:tcW w:w="2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c>
          <w:tcPr>
            <w:tcW w:w="31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2928</w:t>
            </w:r>
          </w:p>
        </w:tc>
        <w:tc>
          <w:tcPr>
            <w:tcW w:w="3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新建</w:t>
            </w:r>
            <w:r>
              <w:rPr>
                <w:rFonts w:hint="eastAsia" w:ascii="Times New Roman" w:eastAsiaTheme="minorEastAsia"/>
                <w:color w:val="000000" w:themeColor="text1"/>
                <w:sz w:val="21"/>
                <w:szCs w:val="21"/>
                <w14:textFill>
                  <w14:solidFill>
                    <w14:schemeClr w14:val="tx1"/>
                  </w14:solidFill>
                </w14:textFill>
              </w:rPr>
              <w:t>70</w:t>
            </w:r>
            <w:r>
              <w:rPr>
                <w:rFonts w:ascii="Times New Roman" w:eastAsiaTheme="minorEastAsia"/>
                <w:color w:val="000000" w:themeColor="text1"/>
                <w:sz w:val="21"/>
                <w:szCs w:val="21"/>
                <w14:textFill>
                  <w14:solidFill>
                    <w14:schemeClr w14:val="tx1"/>
                  </w14:solidFill>
                </w14:textFill>
              </w:rPr>
              <w:t>MW锅炉</w:t>
            </w:r>
          </w:p>
        </w:tc>
        <w:tc>
          <w:tcPr>
            <w:tcW w:w="3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1.756</w:t>
            </w:r>
          </w:p>
        </w:tc>
        <w:tc>
          <w:tcPr>
            <w:tcW w:w="3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3.237</w:t>
            </w:r>
          </w:p>
        </w:tc>
        <w:tc>
          <w:tcPr>
            <w:tcW w:w="3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0.294</w:t>
            </w:r>
          </w:p>
        </w:tc>
        <w:tc>
          <w:tcPr>
            <w:tcW w:w="3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0.191</w:t>
            </w:r>
          </w:p>
        </w:tc>
        <w:tc>
          <w:tcPr>
            <w:tcW w:w="13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0.0012</w:t>
            </w:r>
          </w:p>
        </w:tc>
        <w:tc>
          <w:tcPr>
            <w:tcW w:w="13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0.202</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表</w:t>
      </w:r>
      <w:r>
        <w:rPr>
          <w:rFonts w:ascii="Times New Roman" w:hAnsiTheme="minorEastAsia" w:eastAsiaTheme="minorEastAsia"/>
          <w:b/>
          <w:bCs/>
          <w:color w:val="000000" w:themeColor="text1"/>
          <w:szCs w:val="24"/>
          <w14:textFill>
            <w14:solidFill>
              <w14:schemeClr w14:val="tx1"/>
            </w14:solidFill>
          </w14:textFill>
        </w:rPr>
        <w:t>2-</w:t>
      </w:r>
      <w:r>
        <w:rPr>
          <w:rFonts w:hint="eastAsia" w:ascii="Times New Roman" w:hAnsiTheme="minorEastAsia" w:eastAsiaTheme="minorEastAsia"/>
          <w:b/>
          <w:bCs/>
          <w:color w:val="000000" w:themeColor="text1"/>
          <w:szCs w:val="24"/>
          <w14:textFill>
            <w14:solidFill>
              <w14:schemeClr w14:val="tx1"/>
            </w14:solidFill>
          </w14:textFill>
        </w:rPr>
        <w:t>3</w:t>
      </w:r>
      <w:r>
        <w:rPr>
          <w:rFonts w:ascii="Times New Roman" w:hAnsiTheme="minorEastAsia" w:eastAsiaTheme="minorEastAsia"/>
          <w:b/>
          <w:bCs/>
          <w:color w:val="000000" w:themeColor="text1"/>
          <w:szCs w:val="24"/>
          <w14:textFill>
            <w14:solidFill>
              <w14:schemeClr w14:val="tx1"/>
            </w14:solidFill>
          </w14:textFill>
        </w:rPr>
        <w:t>-</w:t>
      </w:r>
      <w:r>
        <w:rPr>
          <w:rFonts w:hint="eastAsia" w:ascii="Times New Roman" w:hAnsiTheme="minorEastAsia" w:eastAsiaTheme="minorEastAsia"/>
          <w:b/>
          <w:bCs/>
          <w:color w:val="000000" w:themeColor="text1"/>
          <w:szCs w:val="24"/>
          <w14:textFill>
            <w14:solidFill>
              <w14:schemeClr w14:val="tx1"/>
            </w14:solidFill>
          </w14:textFill>
        </w:rPr>
        <w:t>4</w:t>
      </w:r>
      <w:r>
        <w:rPr>
          <w:rFonts w:ascii="Times New Roman" w:hAnsiTheme="minorEastAsia" w:eastAsiaTheme="minorEastAsia"/>
          <w:b/>
          <w:bCs/>
          <w:color w:val="000000" w:themeColor="text1"/>
          <w:szCs w:val="24"/>
          <w14:textFill>
            <w14:solidFill>
              <w14:schemeClr w14:val="tx1"/>
            </w14:solidFill>
          </w14:textFill>
        </w:rPr>
        <w:t xml:space="preserve">  </w:t>
      </w:r>
      <w:r>
        <w:rPr>
          <w:rFonts w:hint="eastAsia" w:ascii="Times New Roman" w:hAnsiTheme="minorEastAsia" w:eastAsiaTheme="minorEastAsia"/>
          <w:b/>
          <w:bCs/>
          <w:color w:val="000000" w:themeColor="text1"/>
          <w:szCs w:val="24"/>
          <w14:textFill>
            <w14:solidFill>
              <w14:schemeClr w14:val="tx1"/>
            </w14:solidFill>
          </w14:textFill>
        </w:rPr>
        <w:t>主要废气污染源参数一览表（面源）</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7"/>
        <w:gridCol w:w="849"/>
        <w:gridCol w:w="849"/>
        <w:gridCol w:w="849"/>
        <w:gridCol w:w="568"/>
        <w:gridCol w:w="568"/>
        <w:gridCol w:w="1278"/>
        <w:gridCol w:w="738"/>
        <w:gridCol w:w="539"/>
        <w:gridCol w:w="14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79" w:type="pct"/>
            <w:vMerge w:val="restart"/>
            <w:tcBorders>
              <w:top w:val="single" w:color="auto" w:sz="12"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污染源名称</w:t>
            </w:r>
          </w:p>
        </w:tc>
        <w:tc>
          <w:tcPr>
            <w:tcW w:w="996" w:type="pct"/>
            <w:gridSpan w:val="2"/>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坐标（</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w:t>
            </w:r>
          </w:p>
        </w:tc>
        <w:tc>
          <w:tcPr>
            <w:tcW w:w="498" w:type="pct"/>
            <w:vMerge w:val="restar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海拔</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高度/m</w:t>
            </w:r>
          </w:p>
        </w:tc>
        <w:tc>
          <w:tcPr>
            <w:tcW w:w="1416" w:type="pct"/>
            <w:gridSpan w:val="3"/>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矩形面源/m</w:t>
            </w:r>
          </w:p>
        </w:tc>
        <w:tc>
          <w:tcPr>
            <w:tcW w:w="433" w:type="pct"/>
            <w:vMerge w:val="restart"/>
            <w:tcBorders>
              <w:top w:val="single" w:color="auto" w:sz="12" w:space="0"/>
              <w:left w:val="single" w:color="auto" w:sz="4" w:space="0"/>
              <w:bottom w:val="single" w:color="auto" w:sz="4"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年排放小时数/h</w:t>
            </w:r>
          </w:p>
        </w:tc>
        <w:tc>
          <w:tcPr>
            <w:tcW w:w="316" w:type="pct"/>
            <w:vMerge w:val="restart"/>
            <w:tcBorders>
              <w:top w:val="single" w:color="auto" w:sz="12" w:space="0"/>
              <w:left w:val="single" w:color="auto" w:sz="2" w:space="0"/>
              <w:bottom w:val="single" w:color="auto" w:sz="4"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排放工况</w:t>
            </w:r>
          </w:p>
        </w:tc>
        <w:tc>
          <w:tcPr>
            <w:tcW w:w="861" w:type="pct"/>
            <w:tcBorders>
              <w:top w:val="single" w:color="auto" w:sz="12" w:space="0"/>
              <w:left w:val="single" w:color="auto" w:sz="2"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479" w:type="pct"/>
            <w:vMerge w:val="continue"/>
            <w:tcBorders>
              <w:top w:val="single" w:color="auto" w:sz="12"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98"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经度</w:t>
            </w:r>
          </w:p>
        </w:tc>
        <w:tc>
          <w:tcPr>
            <w:tcW w:w="498"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纬度</w:t>
            </w:r>
          </w:p>
        </w:tc>
        <w:tc>
          <w:tcPr>
            <w:tcW w:w="498" w:type="pct"/>
            <w:vMerge w:val="continue"/>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33"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长度</w:t>
            </w:r>
          </w:p>
        </w:tc>
        <w:tc>
          <w:tcPr>
            <w:tcW w:w="333"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宽度</w:t>
            </w:r>
          </w:p>
        </w:tc>
        <w:tc>
          <w:tcPr>
            <w:tcW w:w="75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有效高度</w:t>
            </w:r>
          </w:p>
        </w:tc>
        <w:tc>
          <w:tcPr>
            <w:tcW w:w="433" w:type="pct"/>
            <w:vMerge w:val="continue"/>
            <w:tcBorders>
              <w:top w:val="single" w:color="auto" w:sz="12" w:space="0"/>
              <w:left w:val="single" w:color="auto" w:sz="4" w:space="0"/>
              <w:bottom w:val="single" w:color="auto" w:sz="4"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16" w:type="pct"/>
            <w:vMerge w:val="continue"/>
            <w:tcBorders>
              <w:top w:val="single" w:color="auto" w:sz="12" w:space="0"/>
              <w:left w:val="single" w:color="auto" w:sz="2" w:space="0"/>
              <w:bottom w:val="single" w:color="auto" w:sz="4"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1" w:type="pct"/>
            <w:tcBorders>
              <w:top w:val="single" w:color="auto" w:sz="4" w:space="0"/>
              <w:left w:val="single" w:color="auto" w:sz="2"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7" w:hRule="atLeast"/>
          <w:jc w:val="center"/>
        </w:trPr>
        <w:tc>
          <w:tcPr>
            <w:tcW w:w="479"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储煤场</w:t>
            </w:r>
            <w:r>
              <w:rPr>
                <w:rFonts w:ascii="Times New Roman" w:eastAsiaTheme="minorEastAsia"/>
                <w:color w:val="000000" w:themeColor="text1"/>
                <w:sz w:val="21"/>
                <w:szCs w:val="21"/>
                <w14:textFill>
                  <w14:solidFill>
                    <w14:schemeClr w14:val="tx1"/>
                  </w14:solidFill>
                </w14:textFill>
              </w:rPr>
              <w:t>无组织逸散</w:t>
            </w:r>
          </w:p>
        </w:tc>
        <w:tc>
          <w:tcPr>
            <w:tcW w:w="498"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131.57286108</w:t>
            </w:r>
            <w:r>
              <w:rPr>
                <w:rFonts w:hint="eastAsia" w:ascii="Times New Roman" w:eastAsiaTheme="minorEastAsia"/>
                <w:color w:val="000000" w:themeColor="text1"/>
                <w:sz w:val="21"/>
                <w:szCs w:val="21"/>
                <w14:textFill>
                  <w14:solidFill>
                    <w14:schemeClr w14:val="tx1"/>
                  </w14:solidFill>
                </w14:textFill>
              </w:rPr>
              <w:t xml:space="preserve"> </w:t>
            </w:r>
          </w:p>
        </w:tc>
        <w:tc>
          <w:tcPr>
            <w:tcW w:w="498"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46.70153995</w:t>
            </w:r>
          </w:p>
        </w:tc>
        <w:tc>
          <w:tcPr>
            <w:tcW w:w="498"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147</w:t>
            </w:r>
          </w:p>
        </w:tc>
        <w:tc>
          <w:tcPr>
            <w:tcW w:w="333"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277</w:t>
            </w:r>
          </w:p>
        </w:tc>
        <w:tc>
          <w:tcPr>
            <w:tcW w:w="333"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270</w:t>
            </w:r>
          </w:p>
        </w:tc>
        <w:tc>
          <w:tcPr>
            <w:tcW w:w="75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w:t>
            </w:r>
            <w:r>
              <w:rPr>
                <w:rFonts w:ascii="Times New Roman" w:eastAsiaTheme="minorEastAsia"/>
                <w:color w:val="000000" w:themeColor="text1"/>
                <w:sz w:val="21"/>
                <w:szCs w:val="21"/>
                <w14:textFill>
                  <w14:solidFill>
                    <w14:schemeClr w14:val="tx1"/>
                  </w14:solidFill>
                </w14:textFill>
              </w:rPr>
              <w:t>.0</w:t>
            </w:r>
            <w:r>
              <w:rPr>
                <w:rFonts w:hint="eastAsia" w:ascii="Times New Roman" w:eastAsiaTheme="minorEastAsia"/>
                <w:color w:val="000000" w:themeColor="text1"/>
                <w:sz w:val="21"/>
                <w:szCs w:val="21"/>
                <w14:textFill>
                  <w14:solidFill>
                    <w14:schemeClr w14:val="tx1"/>
                  </w14:solidFill>
                </w14:textFill>
              </w:rPr>
              <w:t>（依据防风抑尘网高度）</w:t>
            </w:r>
          </w:p>
        </w:tc>
        <w:tc>
          <w:tcPr>
            <w:tcW w:w="433" w:type="pct"/>
            <w:tcBorders>
              <w:top w:val="single" w:color="auto" w:sz="4" w:space="0"/>
              <w:left w:val="single" w:color="auto" w:sz="4" w:space="0"/>
              <w:bottom w:val="single" w:color="auto" w:sz="4"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4392</w:t>
            </w:r>
          </w:p>
        </w:tc>
        <w:tc>
          <w:tcPr>
            <w:tcW w:w="316" w:type="pct"/>
            <w:tcBorders>
              <w:top w:val="single" w:color="auto" w:sz="4" w:space="0"/>
              <w:left w:val="single" w:color="auto" w:sz="2" w:space="0"/>
              <w:bottom w:val="single" w:color="auto" w:sz="4"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正常</w:t>
            </w:r>
          </w:p>
        </w:tc>
        <w:tc>
          <w:tcPr>
            <w:tcW w:w="861" w:type="pct"/>
            <w:tcBorders>
              <w:top w:val="single" w:color="auto" w:sz="4" w:space="0"/>
              <w:left w:val="single" w:color="auto" w:sz="2"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w:t>
            </w:r>
            <w:r>
              <w:rPr>
                <w:rFonts w:hint="eastAsia" w:ascii="Times New Roman" w:eastAsiaTheme="minorEastAsia"/>
                <w:color w:val="000000" w:themeColor="text1"/>
                <w:sz w:val="21"/>
                <w:szCs w:val="21"/>
                <w14:textFill>
                  <w14:solidFill>
                    <w14:schemeClr w14:val="tx1"/>
                  </w14:solidFill>
                </w14:textFill>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7" w:hRule="atLeast"/>
          <w:jc w:val="center"/>
        </w:trPr>
        <w:tc>
          <w:tcPr>
            <w:tcW w:w="479" w:type="pct"/>
            <w:tcBorders>
              <w:top w:val="single" w:color="auto" w:sz="4" w:space="0"/>
              <w:left w:val="nil"/>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碎煤机室无组织逸散</w:t>
            </w:r>
          </w:p>
        </w:tc>
        <w:tc>
          <w:tcPr>
            <w:tcW w:w="498"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131.57154679</w:t>
            </w:r>
          </w:p>
        </w:tc>
        <w:tc>
          <w:tcPr>
            <w:tcW w:w="498"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46.70181955</w:t>
            </w:r>
          </w:p>
        </w:tc>
        <w:tc>
          <w:tcPr>
            <w:tcW w:w="498"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147</w:t>
            </w:r>
          </w:p>
        </w:tc>
        <w:tc>
          <w:tcPr>
            <w:tcW w:w="333"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w:t>
            </w:r>
          </w:p>
        </w:tc>
        <w:tc>
          <w:tcPr>
            <w:tcW w:w="333"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w:t>
            </w:r>
          </w:p>
        </w:tc>
        <w:tc>
          <w:tcPr>
            <w:tcW w:w="750"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20.0（碎煤机室有效排放高度20m）</w:t>
            </w:r>
          </w:p>
        </w:tc>
        <w:tc>
          <w:tcPr>
            <w:tcW w:w="433" w:type="pct"/>
            <w:tcBorders>
              <w:top w:val="single" w:color="auto" w:sz="4" w:space="0"/>
              <w:left w:val="single" w:color="auto" w:sz="4" w:space="0"/>
              <w:bottom w:val="single" w:color="auto" w:sz="12"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2928</w:t>
            </w:r>
          </w:p>
        </w:tc>
        <w:tc>
          <w:tcPr>
            <w:tcW w:w="316" w:type="pct"/>
            <w:tcBorders>
              <w:top w:val="single" w:color="auto" w:sz="4" w:space="0"/>
              <w:left w:val="single" w:color="auto" w:sz="2" w:space="0"/>
              <w:bottom w:val="single" w:color="auto" w:sz="12"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正常</w:t>
            </w:r>
          </w:p>
        </w:tc>
        <w:tc>
          <w:tcPr>
            <w:tcW w:w="861" w:type="pct"/>
            <w:tcBorders>
              <w:top w:val="single" w:color="auto" w:sz="4" w:space="0"/>
              <w:left w:val="single" w:color="auto" w:sz="2" w:space="0"/>
              <w:bottom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0.022</w:t>
            </w:r>
          </w:p>
        </w:tc>
      </w:tr>
    </w:tbl>
    <w:p>
      <w:pPr>
        <w:pStyle w:val="92"/>
        <w:rPr>
          <w:rFonts w:cs="Times New Roman" w:eastAsiaTheme="minorEastAsia"/>
          <w:color w:val="000000" w:themeColor="text1"/>
          <w:sz w:val="24"/>
          <w14:textFill>
            <w14:solidFill>
              <w14:schemeClr w14:val="tx1"/>
            </w14:solidFill>
          </w14:textFill>
        </w:rPr>
      </w:pPr>
    </w:p>
    <w:p>
      <w:pPr>
        <w:pStyle w:val="92"/>
        <w:rPr>
          <w:rFonts w:cs="Times New Roman" w:eastAsiaTheme="minorEastAsia"/>
          <w:color w:val="000000" w:themeColor="text1"/>
          <w:sz w:val="24"/>
          <w14:textFill>
            <w14:solidFill>
              <w14:schemeClr w14:val="tx1"/>
            </w14:solidFill>
          </w14:textFill>
        </w:rPr>
      </w:pPr>
    </w:p>
    <w:p>
      <w:pPr>
        <w:pStyle w:val="92"/>
        <w:rPr>
          <w:rFonts w:cs="Times New Roman" w:eastAsiaTheme="minorEastAsia"/>
          <w:color w:val="000000" w:themeColor="text1"/>
          <w:sz w:val="24"/>
          <w14:textFill>
            <w14:solidFill>
              <w14:schemeClr w14:val="tx1"/>
            </w14:solidFill>
          </w14:textFill>
        </w:rPr>
      </w:pPr>
    </w:p>
    <w:p>
      <w:pPr>
        <w:pStyle w:val="92"/>
        <w:rPr>
          <w:rFonts w:cs="Times New Roman" w:eastAsiaTheme="minorEastAsia"/>
          <w:color w:val="000000" w:themeColor="text1"/>
          <w:sz w:val="24"/>
          <w14:textFill>
            <w14:solidFill>
              <w14:schemeClr w14:val="tx1"/>
            </w14:solidFill>
          </w14:textFill>
        </w:rPr>
      </w:pPr>
    </w:p>
    <w:p>
      <w:pPr>
        <w:pStyle w:val="92"/>
        <w:rPr>
          <w:rFonts w:cs="Times New Roman" w:eastAsiaTheme="minorEastAsia"/>
          <w:color w:val="000000" w:themeColor="text1"/>
          <w:sz w:val="24"/>
          <w14:textFill>
            <w14:solidFill>
              <w14:schemeClr w14:val="tx1"/>
            </w14:solidFill>
          </w14:textFill>
        </w:rPr>
      </w:pPr>
    </w:p>
    <w:p>
      <w:pPr>
        <w:pStyle w:val="92"/>
        <w:rPr>
          <w:rFonts w:cs="Times New Roman" w:eastAsiaTheme="minorEastAsia"/>
          <w:color w:val="000000" w:themeColor="text1"/>
          <w:sz w:val="24"/>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59264" behindDoc="0" locked="0" layoutInCell="1" allowOverlap="1">
            <wp:simplePos x="0" y="0"/>
            <wp:positionH relativeFrom="column">
              <wp:posOffset>692150</wp:posOffset>
            </wp:positionH>
            <wp:positionV relativeFrom="paragraph">
              <wp:posOffset>83185</wp:posOffset>
            </wp:positionV>
            <wp:extent cx="3738245" cy="1852295"/>
            <wp:effectExtent l="0" t="0" r="0" b="0"/>
            <wp:wrapNone/>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3738067" cy="1852608"/>
                    </a:xfrm>
                    <a:prstGeom prst="rect">
                      <a:avLst/>
                    </a:prstGeom>
                  </pic:spPr>
                </pic:pic>
              </a:graphicData>
            </a:graphic>
          </wp:anchor>
        </w:drawing>
      </w:r>
    </w:p>
    <w:p>
      <w:pPr>
        <w:pStyle w:val="92"/>
        <w:rPr>
          <w:color w:val="000000" w:themeColor="text1"/>
          <w14:textFill>
            <w14:solidFill>
              <w14:schemeClr w14:val="tx1"/>
            </w14:solidFill>
          </w14:textFill>
        </w:rPr>
      </w:pPr>
      <w:r>
        <w:rPr>
          <w:color w:val="000000" w:themeColor="text1"/>
          <w:lang w:val="en-US" w:bidi="ar-SA"/>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254000</wp:posOffset>
                </wp:positionH>
                <wp:positionV relativeFrom="paragraph">
                  <wp:posOffset>285115</wp:posOffset>
                </wp:positionV>
                <wp:extent cx="989965" cy="333375"/>
                <wp:effectExtent l="0" t="0" r="915035" b="123825"/>
                <wp:wrapNone/>
                <wp:docPr id="86" name="AutoShape 170"/>
                <wp:cNvGraphicFramePr/>
                <a:graphic xmlns:a="http://schemas.openxmlformats.org/drawingml/2006/main">
                  <a:graphicData uri="http://schemas.microsoft.com/office/word/2010/wordprocessingShape">
                    <wps:wsp>
                      <wps:cNvSpPr>
                        <a:spLocks noChangeArrowheads="1"/>
                      </wps:cNvSpPr>
                      <wps:spPr bwMode="auto">
                        <a:xfrm>
                          <a:off x="0" y="0"/>
                          <a:ext cx="989965" cy="333375"/>
                        </a:xfrm>
                        <a:prstGeom prst="wedgeRectCallout">
                          <a:avLst>
                            <a:gd name="adj1" fmla="val 133963"/>
                            <a:gd name="adj2" fmla="val 73003"/>
                          </a:avLst>
                        </a:prstGeom>
                        <a:solidFill>
                          <a:srgbClr val="FFFFFF"/>
                        </a:solidFill>
                        <a:ln w="9525">
                          <a:solidFill>
                            <a:srgbClr val="000000"/>
                          </a:solidFill>
                          <a:miter lim="800000"/>
                        </a:ln>
                        <a:effectLst/>
                      </wps:spPr>
                      <wps:txbx>
                        <w:txbxContent>
                          <w:p>
                            <w:pPr>
                              <w:ind w:firstLine="177"/>
                            </w:pPr>
                            <w:r>
                              <w:rPr>
                                <w:rFonts w:hint="eastAsia"/>
                              </w:rPr>
                              <w:t>本项目位置</w:t>
                            </w:r>
                          </w:p>
                        </w:txbxContent>
                      </wps:txbx>
                      <wps:bodyPr rot="0" vert="horz" wrap="square" lIns="91440" tIns="45720" rIns="91440" bIns="45720" anchor="t" anchorCtr="0" upright="1">
                        <a:noAutofit/>
                      </wps:bodyPr>
                    </wps:wsp>
                  </a:graphicData>
                </a:graphic>
              </wp:anchor>
            </w:drawing>
          </mc:Choice>
          <mc:Fallback>
            <w:pict>
              <v:shape id="AutoShape 170" o:spid="_x0000_s1026" o:spt="61" type="#_x0000_t61" style="position:absolute;left:0pt;margin-left:20pt;margin-top:22.45pt;height:26.25pt;width:77.95pt;z-index:251662336;mso-width-relative:page;mso-height-relative:page;" fillcolor="#FFFFFF" filled="t" stroked="t" coordsize="21600,21600" o:gfxdata="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bTRkx9kAAAAIAQAADwAAAAAAAAABACAAAAAiAAAAZHJzL2Rvd25yZXYueG1sUEsBAhQAFAAAAAgA&#10;h07iQDbS4mZdAgAA6wQAAA4AAAAAAAAAAQAgAAAAKAEAAGRycy9lMm9Eb2MueG1sUEsFBgAAAAAG&#10;AAYAWQEAAPcFAAAAAA==&#10;" adj="39736,26569">
                <v:fill on="t" focussize="0,0"/>
                <v:stroke color="#000000" miterlimit="8" joinstyle="miter"/>
                <v:imagedata o:title=""/>
                <o:lock v:ext="edit" aspectratio="f"/>
                <v:textbox>
                  <w:txbxContent>
                    <w:p>
                      <w:pPr>
                        <w:ind w:firstLine="177"/>
                      </w:pPr>
                      <w:r>
                        <w:rPr>
                          <w:rFonts w:hint="eastAsia"/>
                        </w:rPr>
                        <w:t>本项目位置</w:t>
                      </w:r>
                    </w:p>
                  </w:txbxContent>
                </v:textbox>
              </v:shape>
            </w:pict>
          </mc:Fallback>
        </mc:AlternateContent>
      </w:r>
    </w:p>
    <w:p>
      <w:pPr>
        <w:pStyle w:val="92"/>
        <w:rPr>
          <w:color w:val="000000" w:themeColor="text1"/>
          <w14:textFill>
            <w14:solidFill>
              <w14:schemeClr w14:val="tx1"/>
            </w14:solidFill>
          </w14:textFill>
        </w:rPr>
      </w:pPr>
    </w:p>
    <w:p>
      <w:pPr>
        <w:pStyle w:val="92"/>
        <w:rPr>
          <w:color w:val="000000" w:themeColor="text1"/>
          <w14:textFill>
            <w14:solidFill>
              <w14:schemeClr w14:val="tx1"/>
            </w14:solidFill>
          </w14:textFill>
        </w:rPr>
      </w:pPr>
      <w:r>
        <w:rPr>
          <w:color w:val="000000" w:themeColor="text1"/>
          <w:lang w:val="en-US" w:bidi="ar-SA"/>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2048510</wp:posOffset>
                </wp:positionH>
                <wp:positionV relativeFrom="paragraph">
                  <wp:posOffset>10795</wp:posOffset>
                </wp:positionV>
                <wp:extent cx="90805" cy="90805"/>
                <wp:effectExtent l="0" t="0" r="23495" b="23495"/>
                <wp:wrapNone/>
                <wp:docPr id="85" name="Oval 169"/>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ellipse">
                          <a:avLst/>
                        </a:prstGeom>
                        <a:solidFill>
                          <a:srgbClr val="FF0000"/>
                        </a:solidFill>
                        <a:ln w="9525">
                          <a:solidFill>
                            <a:srgbClr val="000000"/>
                          </a:solidFill>
                          <a:round/>
                        </a:ln>
                        <a:effectLst/>
                      </wps:spPr>
                      <wps:bodyPr rot="0" vert="horz" wrap="square" lIns="91440" tIns="45720" rIns="91440" bIns="45720" anchor="t" anchorCtr="0" upright="1">
                        <a:noAutofit/>
                      </wps:bodyPr>
                    </wps:wsp>
                  </a:graphicData>
                </a:graphic>
              </wp:anchor>
            </w:drawing>
          </mc:Choice>
          <mc:Fallback>
            <w:pict>
              <v:shape id="Oval 169" o:spid="_x0000_s1026" o:spt="3" type="#_x0000_t3" style="position:absolute;left:0pt;margin-left:161.3pt;margin-top:0.85pt;height:7.15pt;width:7.15pt;z-index:251661312;mso-width-relative:page;mso-height-relative:page;" fillcolor="#FF0000" filled="t" stroked="t" coordsize="21600,21600" o:gfxdata="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SU&#10;5OPWAAAACAEAAA8AAAAAAAAAAQAgAAAAIgAAAGRycy9kb3ducmV2LnhtbFBLAQIUABQAAAAIAIdO&#10;4kBWDwaEJQIAAHEEAAAOAAAAAAAAAAEAIAAAACUBAABkcnMvZTJvRG9jLnhtbFBLBQYAAAAABgAG&#10;AFkBAAC8BQAAAAA=&#10;">
                <v:fill on="t" focussize="0,0"/>
                <v:stroke color="#000000" joinstyle="round"/>
                <v:imagedata o:title=""/>
                <o:lock v:ext="edit" aspectratio="f"/>
              </v:shape>
            </w:pict>
          </mc:Fallback>
        </mc:AlternateContent>
      </w:r>
    </w:p>
    <w:p>
      <w:pPr>
        <w:pStyle w:val="92"/>
        <w:rPr>
          <w:color w:val="000000" w:themeColor="text1"/>
          <w14:textFill>
            <w14:solidFill>
              <w14:schemeClr w14:val="tx1"/>
            </w14:solidFill>
          </w14:textFill>
        </w:rPr>
      </w:pPr>
    </w:p>
    <w:p>
      <w:pPr>
        <w:pStyle w:val="92"/>
        <w:rPr>
          <w:color w:val="000000" w:themeColor="text1"/>
          <w14:textFill>
            <w14:solidFill>
              <w14:schemeClr w14:val="tx1"/>
            </w14:solidFill>
          </w14:textFill>
        </w:rPr>
      </w:pPr>
    </w:p>
    <w:p>
      <w:pPr>
        <w:pStyle w:val="92"/>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sectPr>
          <w:footerReference r:id="rId9" w:type="default"/>
          <w:pgSz w:w="11906" w:h="16838"/>
          <w:pgMar w:top="1440" w:right="1800" w:bottom="1440" w:left="1800" w:header="851" w:footer="992" w:gutter="0"/>
          <w:pgBorders>
            <w:top w:val="none" w:sz="0" w:space="0"/>
            <w:left w:val="none" w:sz="0" w:space="0"/>
            <w:bottom w:val="none" w:sz="0" w:space="0"/>
            <w:right w:val="none" w:sz="0" w:space="0"/>
          </w:pgBorders>
          <w:cols w:space="0" w:num="1"/>
          <w:docGrid w:type="linesAndChars" w:linePitch="312" w:charSpace="-551"/>
        </w:sectPr>
      </w:pPr>
      <w:r>
        <w:rPr>
          <w:rFonts w:ascii="Times New Roman" w:hAnsiTheme="minorEastAsia" w:eastAsiaTheme="minorEastAsia"/>
          <w:b/>
          <w:bCs/>
          <w:color w:val="000000" w:themeColor="text1"/>
          <w:szCs w:val="24"/>
          <w14:textFill>
            <w14:solidFill>
              <w14:schemeClr w14:val="tx1"/>
            </w14:solidFill>
          </w14:textFill>
        </w:rPr>
        <w:t>图2-3-1 本项目等高线示意图</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表2-3-</w:t>
      </w:r>
      <w:r>
        <w:rPr>
          <w:rFonts w:hint="eastAsia" w:ascii="Times New Roman" w:hAnsiTheme="minorEastAsia" w:eastAsiaTheme="minorEastAsia"/>
          <w:b/>
          <w:bCs/>
          <w:color w:val="000000" w:themeColor="text1"/>
          <w:szCs w:val="24"/>
          <w14:textFill>
            <w14:solidFill>
              <w14:schemeClr w14:val="tx1"/>
            </w14:solidFill>
          </w14:textFill>
        </w:rPr>
        <w:t>5</w:t>
      </w:r>
      <w:r>
        <w:rPr>
          <w:rFonts w:ascii="Times New Roman" w:hAnsiTheme="minorEastAsia" w:eastAsiaTheme="minorEastAsia"/>
          <w:b/>
          <w:bCs/>
          <w:color w:val="000000" w:themeColor="text1"/>
          <w:szCs w:val="24"/>
          <w14:textFill>
            <w14:solidFill>
              <w14:schemeClr w14:val="tx1"/>
            </w14:solidFill>
          </w14:textFill>
        </w:rPr>
        <w:t>主要污染源估算模型计算结果表</w:t>
      </w:r>
    </w:p>
    <w:tbl>
      <w:tblPr>
        <w:tblStyle w:val="70"/>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108" w:type="dxa"/>
          <w:bottom w:w="0" w:type="dxa"/>
          <w:right w:w="108" w:type="dxa"/>
        </w:tblCellMar>
      </w:tblPr>
      <w:tblGrid>
        <w:gridCol w:w="682"/>
        <w:gridCol w:w="995"/>
        <w:gridCol w:w="691"/>
        <w:gridCol w:w="995"/>
        <w:gridCol w:w="691"/>
        <w:gridCol w:w="995"/>
        <w:gridCol w:w="691"/>
        <w:gridCol w:w="995"/>
        <w:gridCol w:w="691"/>
        <w:gridCol w:w="995"/>
        <w:gridCol w:w="691"/>
        <w:gridCol w:w="995"/>
        <w:gridCol w:w="691"/>
        <w:gridCol w:w="996"/>
        <w:gridCol w:w="692"/>
        <w:gridCol w:w="996"/>
        <w:gridCol w:w="692"/>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93" w:type="pct"/>
            <w:vMerge w:val="restar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离源距离/m</w:t>
            </w:r>
          </w:p>
        </w:tc>
        <w:tc>
          <w:tcPr>
            <w:tcW w:w="3632" w:type="pct"/>
            <w:gridSpan w:val="1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有组织排放锅炉烟气</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储煤场无组织</w:t>
            </w:r>
          </w:p>
        </w:tc>
        <w:tc>
          <w:tcPr>
            <w:tcW w:w="588" w:type="pct"/>
            <w:gridSpan w:val="2"/>
            <w:shd w:val="clear" w:color="auto" w:fill="FFFFFF"/>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碎煤间无组织</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93" w:type="pct"/>
            <w:vMerge w:val="continue"/>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2</w:t>
            </w:r>
          </w:p>
        </w:tc>
        <w:tc>
          <w:tcPr>
            <w:tcW w:w="694"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w:t>
            </w:r>
            <w:r>
              <w:rPr>
                <w:rFonts w:ascii="Times New Roman" w:eastAsiaTheme="minorEastAsia"/>
                <w:color w:val="000000" w:themeColor="text1"/>
                <w:sz w:val="21"/>
                <w:szCs w:val="21"/>
                <w:vertAlign w:val="subscript"/>
                <w14:textFill>
                  <w14:solidFill>
                    <w14:schemeClr w14:val="tx1"/>
                  </w14:solidFill>
                </w14:textFill>
              </w:rPr>
              <w:t>10</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w:t>
            </w:r>
            <w:r>
              <w:rPr>
                <w:rFonts w:ascii="Times New Roman" w:eastAsiaTheme="minorEastAsia"/>
                <w:color w:val="000000" w:themeColor="text1"/>
                <w:sz w:val="21"/>
                <w:szCs w:val="21"/>
                <w:vertAlign w:val="subscript"/>
                <w14:textFill>
                  <w14:solidFill>
                    <w14:schemeClr w14:val="tx1"/>
                  </w14:solidFill>
                </w14:textFill>
              </w:rPr>
              <w:t>2.5</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汞及其化合物</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NH</w:t>
            </w:r>
            <w:r>
              <w:rPr>
                <w:rFonts w:ascii="Times New Roman" w:eastAsiaTheme="minorEastAsia"/>
                <w:color w:val="000000" w:themeColor="text1"/>
                <w:sz w:val="21"/>
                <w:szCs w:val="21"/>
                <w:vertAlign w:val="subscript"/>
                <w14:textFill>
                  <w14:solidFill>
                    <w14:schemeClr w14:val="tx1"/>
                  </w14:solidFill>
                </w14:textFill>
              </w:rPr>
              <w:t>3</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TSP</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TSP</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93" w:type="pct"/>
            <w:vMerge w:val="continue"/>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预测质量浓度（</w:t>
            </w:r>
            <w:r>
              <w:rPr>
                <w:rFonts w:hint="eastAsia" w:ascii="Times New Roman" w:eastAsiaTheme="minorEastAsia"/>
                <w:color w:val="000000" w:themeColor="text1"/>
                <w:sz w:val="21"/>
                <w:szCs w:val="21"/>
                <w14:textFill>
                  <w14:solidFill>
                    <w14:schemeClr w14:val="tx1"/>
                  </w14:solidFill>
                </w14:textFill>
              </w:rPr>
              <w:t>m</w:t>
            </w:r>
            <w:r>
              <w:rPr>
                <w:rFonts w:ascii="Times New Roman" w:eastAsiaTheme="minorEastAsia"/>
                <w:color w:val="000000" w:themeColor="text1"/>
                <w:sz w:val="21"/>
                <w:szCs w:val="21"/>
                <w14:textFill>
                  <w14:solidFill>
                    <w14:schemeClr w14:val="tx1"/>
                  </w14:solidFill>
                </w14:textFill>
              </w:rPr>
              <w:t>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预测质量浓度（</w:t>
            </w:r>
            <w:r>
              <w:rPr>
                <w:rFonts w:hint="eastAsia" w:ascii="Times New Roman" w:eastAsiaTheme="minorEastAsia"/>
                <w:color w:val="000000" w:themeColor="text1"/>
                <w:sz w:val="21"/>
                <w:szCs w:val="21"/>
                <w14:textFill>
                  <w14:solidFill>
                    <w14:schemeClr w14:val="tx1"/>
                  </w14:solidFill>
                </w14:textFill>
              </w:rPr>
              <w:t>m</w:t>
            </w:r>
            <w:r>
              <w:rPr>
                <w:rFonts w:ascii="Times New Roman" w:eastAsiaTheme="minorEastAsia"/>
                <w:color w:val="000000" w:themeColor="text1"/>
                <w:sz w:val="21"/>
                <w:szCs w:val="21"/>
                <w14:textFill>
                  <w14:solidFill>
                    <w14:schemeClr w14:val="tx1"/>
                  </w14:solidFill>
                </w14:textFill>
              </w:rPr>
              <w:t>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预测质量浓度（</w:t>
            </w:r>
            <w:r>
              <w:rPr>
                <w:rFonts w:hint="eastAsia" w:ascii="Times New Roman" w:eastAsiaTheme="minorEastAsia"/>
                <w:color w:val="000000" w:themeColor="text1"/>
                <w:sz w:val="21"/>
                <w:szCs w:val="21"/>
                <w14:textFill>
                  <w14:solidFill>
                    <w14:schemeClr w14:val="tx1"/>
                  </w14:solidFill>
                </w14:textFill>
              </w:rPr>
              <w:t>m</w:t>
            </w:r>
            <w:r>
              <w:rPr>
                <w:rFonts w:ascii="Times New Roman" w:eastAsiaTheme="minorEastAsia"/>
                <w:color w:val="000000" w:themeColor="text1"/>
                <w:sz w:val="21"/>
                <w:szCs w:val="21"/>
                <w14:textFill>
                  <w14:solidFill>
                    <w14:schemeClr w14:val="tx1"/>
                  </w14:solidFill>
                </w14:textFill>
              </w:rPr>
              <w:t>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预测质量浓度（</w:t>
            </w:r>
            <w:r>
              <w:rPr>
                <w:rFonts w:hint="eastAsia" w:ascii="Times New Roman" w:eastAsiaTheme="minorEastAsia"/>
                <w:color w:val="000000" w:themeColor="text1"/>
                <w:sz w:val="21"/>
                <w:szCs w:val="21"/>
                <w14:textFill>
                  <w14:solidFill>
                    <w14:schemeClr w14:val="tx1"/>
                  </w14:solidFill>
                </w14:textFill>
              </w:rPr>
              <w:t>m</w:t>
            </w:r>
            <w:r>
              <w:rPr>
                <w:rFonts w:ascii="Times New Roman" w:eastAsiaTheme="minorEastAsia"/>
                <w:color w:val="000000" w:themeColor="text1"/>
                <w:sz w:val="21"/>
                <w:szCs w:val="21"/>
                <w14:textFill>
                  <w14:solidFill>
                    <w14:schemeClr w14:val="tx1"/>
                  </w14:solidFill>
                </w14:textFill>
              </w:rPr>
              <w:t>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预测质量浓度（</w:t>
            </w:r>
            <w:r>
              <w:rPr>
                <w:rFonts w:hint="eastAsia" w:ascii="Times New Roman" w:eastAsiaTheme="minorEastAsia"/>
                <w:color w:val="000000" w:themeColor="text1"/>
                <w:sz w:val="21"/>
                <w:szCs w:val="21"/>
                <w14:textFill>
                  <w14:solidFill>
                    <w14:schemeClr w14:val="tx1"/>
                  </w14:solidFill>
                </w14:textFill>
              </w:rPr>
              <w:t>m</w:t>
            </w:r>
            <w:r>
              <w:rPr>
                <w:rFonts w:ascii="Times New Roman" w:eastAsiaTheme="minorEastAsia"/>
                <w:color w:val="000000" w:themeColor="text1"/>
                <w:sz w:val="21"/>
                <w:szCs w:val="21"/>
                <w14:textFill>
                  <w14:solidFill>
                    <w14:schemeClr w14:val="tx1"/>
                  </w14:solidFill>
                </w14:textFill>
              </w:rPr>
              <w:t>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预测质量浓度（</w:t>
            </w:r>
            <w:r>
              <w:rPr>
                <w:rFonts w:hint="eastAsia" w:ascii="Times New Roman" w:eastAsiaTheme="minorEastAsia"/>
                <w:color w:val="000000" w:themeColor="text1"/>
                <w:sz w:val="21"/>
                <w:szCs w:val="21"/>
                <w14:textFill>
                  <w14:solidFill>
                    <w14:schemeClr w14:val="tx1"/>
                  </w14:solidFill>
                </w14:textFill>
              </w:rPr>
              <w:t>m</w:t>
            </w:r>
            <w:r>
              <w:rPr>
                <w:rFonts w:ascii="Times New Roman" w:eastAsiaTheme="minorEastAsia"/>
                <w:color w:val="000000" w:themeColor="text1"/>
                <w:sz w:val="21"/>
                <w:szCs w:val="21"/>
                <w14:textFill>
                  <w14:solidFill>
                    <w14:schemeClr w14:val="tx1"/>
                  </w14:solidFill>
                </w14:textFill>
              </w:rPr>
              <w:t>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预测质量浓度（</w:t>
            </w:r>
            <w:r>
              <w:rPr>
                <w:rFonts w:hint="eastAsia" w:ascii="Times New Roman" w:eastAsiaTheme="minorEastAsia"/>
                <w:color w:val="000000" w:themeColor="text1"/>
                <w:sz w:val="21"/>
                <w:szCs w:val="21"/>
                <w14:textFill>
                  <w14:solidFill>
                    <w14:schemeClr w14:val="tx1"/>
                  </w14:solidFill>
                </w14:textFill>
              </w:rPr>
              <w:t>m</w:t>
            </w:r>
            <w:r>
              <w:rPr>
                <w:rFonts w:ascii="Times New Roman" w:eastAsiaTheme="minorEastAsia"/>
                <w:color w:val="000000" w:themeColor="text1"/>
                <w:sz w:val="21"/>
                <w:szCs w:val="21"/>
                <w14:textFill>
                  <w14:solidFill>
                    <w14:schemeClr w14:val="tx1"/>
                  </w14:solidFill>
                </w14:textFill>
              </w:rPr>
              <w:t>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预测质量浓度（</w:t>
            </w:r>
            <w:r>
              <w:rPr>
                <w:rFonts w:hint="eastAsia" w:ascii="Times New Roman" w:eastAsiaTheme="minorEastAsia"/>
                <w:color w:val="000000" w:themeColor="text1"/>
                <w:sz w:val="21"/>
                <w:szCs w:val="21"/>
                <w14:textFill>
                  <w14:solidFill>
                    <w14:schemeClr w14:val="tx1"/>
                  </w14:solidFill>
                </w14:textFill>
              </w:rPr>
              <w:t>m</w:t>
            </w:r>
            <w:r>
              <w:rPr>
                <w:rFonts w:ascii="Times New Roman" w:eastAsiaTheme="minorEastAsia"/>
                <w:color w:val="000000" w:themeColor="text1"/>
                <w:sz w:val="21"/>
                <w:szCs w:val="21"/>
                <w14:textFill>
                  <w14:solidFill>
                    <w14:schemeClr w14:val="tx1"/>
                  </w14:solidFill>
                </w14:textFill>
              </w:rPr>
              <w:t>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93"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100</w:t>
            </w:r>
          </w:p>
        </w:tc>
        <w:tc>
          <w:tcPr>
            <w:tcW w:w="34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2.81E-03</w:t>
            </w:r>
          </w:p>
        </w:tc>
        <w:tc>
          <w:tcPr>
            <w:tcW w:w="2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0.56</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9.72E-03</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4.86</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2.36E-03</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0.52</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1.18E-03</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0.52</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0.003604</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4.398128</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5.04E-05</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1.10</w:t>
            </w:r>
            <w:r>
              <w:rPr>
                <w:rFonts w:ascii="Times New Roman" w:eastAsiaTheme="minorEastAsia"/>
                <w:color w:val="000000" w:themeColor="text1"/>
                <w:sz w:val="21"/>
                <w:szCs w:val="21"/>
                <w14:textFill>
                  <w14:solidFill>
                    <w14:schemeClr w14:val="tx1"/>
                  </w14:solidFill>
                </w14:textFill>
              </w:rPr>
              <w:t xml:space="preserve"> E-0</w:t>
            </w:r>
            <w:r>
              <w:rPr>
                <w:rFonts w:hint="eastAsia" w:ascii="Times New Roman" w:eastAsiaTheme="minorEastAsia"/>
                <w:color w:val="000000" w:themeColor="text1"/>
                <w:sz w:val="21"/>
                <w:szCs w:val="21"/>
                <w14:textFill>
                  <w14:solidFill>
                    <w14:schemeClr w14:val="tx1"/>
                  </w14:solidFill>
                </w14:textFill>
              </w:rPr>
              <w:t>2</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93"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500</w:t>
            </w:r>
          </w:p>
        </w:tc>
        <w:tc>
          <w:tcPr>
            <w:tcW w:w="34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5.44E-03</w:t>
            </w:r>
          </w:p>
        </w:tc>
        <w:tc>
          <w:tcPr>
            <w:tcW w:w="2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1.09</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1.88E-02</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9.40</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4.56E-03</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1.01</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2.28E-03</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1.01</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0.004532</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1.51</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4.721401</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2.36</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7.63E-05</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1.67</w:t>
            </w:r>
            <w:r>
              <w:rPr>
                <w:rFonts w:ascii="Times New Roman" w:eastAsiaTheme="minorEastAsia"/>
                <w:color w:val="000000" w:themeColor="text1"/>
                <w:sz w:val="21"/>
                <w:szCs w:val="21"/>
                <w14:textFill>
                  <w14:solidFill>
                    <w14:schemeClr w14:val="tx1"/>
                  </w14:solidFill>
                </w14:textFill>
              </w:rPr>
              <w:t xml:space="preserve"> E-0</w:t>
            </w:r>
            <w:r>
              <w:rPr>
                <w:rFonts w:hint="eastAsia" w:ascii="Times New Roman" w:eastAsiaTheme="minorEastAsia"/>
                <w:color w:val="000000" w:themeColor="text1"/>
                <w:sz w:val="21"/>
                <w:szCs w:val="21"/>
                <w14:textFill>
                  <w14:solidFill>
                    <w14:schemeClr w14:val="tx1"/>
                  </w14:solidFill>
                </w14:textFill>
              </w:rPr>
              <w:t>2</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93"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1000</w:t>
            </w:r>
          </w:p>
        </w:tc>
        <w:tc>
          <w:tcPr>
            <w:tcW w:w="34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6.79E-03</w:t>
            </w:r>
          </w:p>
        </w:tc>
        <w:tc>
          <w:tcPr>
            <w:tcW w:w="2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1.36</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2.35E-02</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11.73</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5.69E-03</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1.26</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2.84E-03</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1.26</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0.010079</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3.36</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11.14723</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5.57</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5.77</w:t>
            </w:r>
            <w:r>
              <w:rPr>
                <w:rFonts w:ascii="Times New Roman" w:eastAsiaTheme="minorEastAsia"/>
                <w:color w:val="000000" w:themeColor="text1"/>
                <w:sz w:val="21"/>
                <w:szCs w:val="21"/>
                <w14:textFill>
                  <w14:solidFill>
                    <w14:schemeClr w14:val="tx1"/>
                  </w14:solidFill>
                </w14:textFill>
              </w:rPr>
              <w:t>E-05</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1.26</w:t>
            </w:r>
            <w:r>
              <w:rPr>
                <w:rFonts w:ascii="Times New Roman" w:eastAsiaTheme="minorEastAsia"/>
                <w:color w:val="000000" w:themeColor="text1"/>
                <w:sz w:val="21"/>
                <w:szCs w:val="21"/>
                <w14:textFill>
                  <w14:solidFill>
                    <w14:schemeClr w14:val="tx1"/>
                  </w14:solidFill>
                </w14:textFill>
              </w:rPr>
              <w:t xml:space="preserve"> E-0</w:t>
            </w:r>
            <w:r>
              <w:rPr>
                <w:rFonts w:hint="eastAsia" w:ascii="Times New Roman" w:eastAsiaTheme="minorEastAsia"/>
                <w:color w:val="000000" w:themeColor="text1"/>
                <w:sz w:val="21"/>
                <w:szCs w:val="21"/>
                <w14:textFill>
                  <w14:solidFill>
                    <w14:schemeClr w14:val="tx1"/>
                  </w14:solidFill>
                </w14:textFill>
              </w:rPr>
              <w:t>2</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93"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1500</w:t>
            </w:r>
          </w:p>
        </w:tc>
        <w:tc>
          <w:tcPr>
            <w:tcW w:w="34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5.37E-03</w:t>
            </w:r>
          </w:p>
        </w:tc>
        <w:tc>
          <w:tcPr>
            <w:tcW w:w="2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1.07</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1.86E-02</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9.28</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4.50E-03</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1.00</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2.25E-03</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1.00</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0.004532</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1.51</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5.012485</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2.51</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4.42E-05</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9.68</w:t>
            </w:r>
            <w:r>
              <w:rPr>
                <w:rFonts w:ascii="Times New Roman" w:eastAsiaTheme="minorEastAsia"/>
                <w:color w:val="000000" w:themeColor="text1"/>
                <w:sz w:val="21"/>
                <w:szCs w:val="21"/>
                <w14:textFill>
                  <w14:solidFill>
                    <w14:schemeClr w14:val="tx1"/>
                  </w14:solidFill>
                </w14:textFill>
              </w:rPr>
              <w:t xml:space="preserve"> E-0</w:t>
            </w:r>
            <w:r>
              <w:rPr>
                <w:rFonts w:hint="eastAsia" w:ascii="Times New Roman" w:eastAsiaTheme="minorEastAsia"/>
                <w:color w:val="000000" w:themeColor="text1"/>
                <w:sz w:val="21"/>
                <w:szCs w:val="21"/>
                <w14:textFill>
                  <w14:solidFill>
                    <w14:schemeClr w14:val="tx1"/>
                  </w14:solidFill>
                </w14:textFill>
              </w:rPr>
              <w:t>3</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93"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2000</w:t>
            </w:r>
          </w:p>
        </w:tc>
        <w:tc>
          <w:tcPr>
            <w:tcW w:w="34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4.48E-03</w:t>
            </w:r>
          </w:p>
        </w:tc>
        <w:tc>
          <w:tcPr>
            <w:tcW w:w="2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0.90</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1.55E-02</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7.75</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3.76E-03</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0.83</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1.88E-03</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0.84</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0.004096</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1.37</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4.102795</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2.05</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3.74E-05</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8.19</w:t>
            </w:r>
            <w:r>
              <w:rPr>
                <w:rFonts w:ascii="Times New Roman" w:eastAsiaTheme="minorEastAsia"/>
                <w:color w:val="000000" w:themeColor="text1"/>
                <w:sz w:val="21"/>
                <w:szCs w:val="21"/>
                <w14:textFill>
                  <w14:solidFill>
                    <w14:schemeClr w14:val="tx1"/>
                  </w14:solidFill>
                </w14:textFill>
              </w:rPr>
              <w:t xml:space="preserve"> E-0</w:t>
            </w:r>
            <w:r>
              <w:rPr>
                <w:rFonts w:hint="eastAsia" w:ascii="Times New Roman" w:eastAsiaTheme="minorEastAsia"/>
                <w:color w:val="000000" w:themeColor="text1"/>
                <w:sz w:val="21"/>
                <w:szCs w:val="21"/>
                <w14:textFill>
                  <w14:solidFill>
                    <w14:schemeClr w14:val="tx1"/>
                  </w14:solidFill>
                </w14:textFill>
              </w:rPr>
              <w:t>3</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93"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w:t>
            </w:r>
            <w:r>
              <w:rPr>
                <w:rFonts w:ascii="Times New Roman" w:eastAsiaTheme="minorEastAsia"/>
                <w:color w:val="000000" w:themeColor="text1"/>
                <w:sz w:val="21"/>
                <w:szCs w:val="21"/>
                <w14:textFill>
                  <w14:solidFill>
                    <w14:schemeClr w14:val="tx1"/>
                  </w14:solidFill>
                </w14:textFill>
              </w:rPr>
              <w:t>00</w:t>
            </w:r>
          </w:p>
        </w:tc>
        <w:tc>
          <w:tcPr>
            <w:tcW w:w="34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3.85E-03</w:t>
            </w:r>
          </w:p>
        </w:tc>
        <w:tc>
          <w:tcPr>
            <w:tcW w:w="2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0.77</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1.33E-02</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6.65</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3.22E-03</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0.72</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1.61E-03</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0.72</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0.002409</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1.533927</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0.77</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3.22E-05</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7.05</w:t>
            </w:r>
            <w:r>
              <w:rPr>
                <w:rFonts w:ascii="Times New Roman" w:eastAsiaTheme="minorEastAsia"/>
                <w:color w:val="000000" w:themeColor="text1"/>
                <w:sz w:val="21"/>
                <w:szCs w:val="21"/>
                <w14:textFill>
                  <w14:solidFill>
                    <w14:schemeClr w14:val="tx1"/>
                  </w14:solidFill>
                </w14:textFill>
              </w:rPr>
              <w:t xml:space="preserve"> E-0</w:t>
            </w:r>
            <w:r>
              <w:rPr>
                <w:rFonts w:hint="eastAsia" w:ascii="Times New Roman" w:eastAsiaTheme="minorEastAsia"/>
                <w:color w:val="000000" w:themeColor="text1"/>
                <w:sz w:val="21"/>
                <w:szCs w:val="21"/>
                <w14:textFill>
                  <w14:solidFill>
                    <w14:schemeClr w14:val="tx1"/>
                  </w14:solidFill>
                </w14:textFill>
              </w:rPr>
              <w:t>3</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93"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下风向最大质量浓度及占标率/%</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7.04E-03</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1.41</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2.43E-02</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12.17</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r>
              <w:rPr>
                <w:rFonts w:hint="eastAsia" w:ascii="Times New Roman" w:eastAsiaTheme="minorEastAsia"/>
                <w:color w:val="000000" w:themeColor="text1"/>
                <w:sz w:val="21"/>
                <w:szCs w:val="21"/>
                <w14:textFill>
                  <w14:solidFill>
                    <w14:schemeClr w14:val="tx1"/>
                  </w14:solidFill>
                </w14:textFill>
              </w:rPr>
              <w:t>90</w:t>
            </w:r>
            <w:r>
              <w:rPr>
                <w:rFonts w:ascii="Times New Roman" w:eastAsiaTheme="minorEastAsia"/>
                <w:color w:val="000000" w:themeColor="text1"/>
                <w:sz w:val="21"/>
                <w:szCs w:val="21"/>
                <w14:textFill>
                  <w14:solidFill>
                    <w14:schemeClr w14:val="tx1"/>
                  </w14:solidFill>
                </w14:textFill>
              </w:rPr>
              <w:t>E-03</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1.31</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2.95E-03</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1.31</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0.014009</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4.67</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15.49331</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7.75</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8.02E-05</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w:t>
            </w:r>
          </w:p>
        </w:tc>
        <w:tc>
          <w:tcPr>
            <w:tcW w:w="347"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1.76</w:t>
            </w:r>
            <w:r>
              <w:rPr>
                <w:rFonts w:ascii="Times New Roman" w:eastAsiaTheme="minorEastAsia"/>
                <w:color w:val="000000" w:themeColor="text1"/>
                <w:sz w:val="21"/>
                <w:szCs w:val="21"/>
                <w14:textFill>
                  <w14:solidFill>
                    <w14:schemeClr w14:val="tx1"/>
                  </w14:solidFill>
                </w14:textFill>
              </w:rPr>
              <w:t xml:space="preserve"> E-0</w:t>
            </w:r>
            <w:r>
              <w:rPr>
                <w:rFonts w:hint="eastAsia" w:ascii="Times New Roman" w:eastAsiaTheme="minorEastAsia"/>
                <w:color w:val="000000" w:themeColor="text1"/>
                <w:sz w:val="21"/>
                <w:szCs w:val="21"/>
                <w14:textFill>
                  <w14:solidFill>
                    <w14:schemeClr w14:val="tx1"/>
                  </w14:solidFill>
                </w14:textFill>
              </w:rPr>
              <w:t>2</w:t>
            </w:r>
          </w:p>
        </w:tc>
        <w:tc>
          <w:tcPr>
            <w:tcW w:w="241"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93"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最大浓度出现距离（m）</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1220</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1220</w:t>
            </w:r>
          </w:p>
        </w:tc>
        <w:tc>
          <w:tcPr>
            <w:tcW w:w="694"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1220</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1220</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1220</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1220</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650</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650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108" w:type="dxa"/>
            <w:bottom w:w="0" w:type="dxa"/>
            <w:right w:w="108" w:type="dxa"/>
          </w:tblCellMar>
        </w:tblPrEx>
        <w:trPr>
          <w:jc w:val="center"/>
        </w:trPr>
        <w:tc>
          <w:tcPr>
            <w:tcW w:w="193" w:type="pct"/>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D10%最远距离/m</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1353</w:t>
            </w:r>
          </w:p>
        </w:tc>
        <w:tc>
          <w:tcPr>
            <w:tcW w:w="694"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88" w:type="pct"/>
            <w:gridSpan w:val="2"/>
            <w:shd w:val="clear" w:color="auto" w:fill="FFFFFF"/>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bl>
    <w:p>
      <w:pPr>
        <w:pStyle w:val="91"/>
        <w:ind w:firstLine="355"/>
        <w:rPr>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0" w:num="1"/>
          <w:docGrid w:type="linesAndChars" w:linePitch="326" w:charSpace="-551"/>
        </w:sectPr>
      </w:pP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由表2-3-5可知，本项目锅炉产生的大气污染物NO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最大地面质量浓度占标率最大为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12.17</w:t>
      </w:r>
      <w:r>
        <w:rPr>
          <w:rFonts w:ascii="Times New Roman" w:hAnsi="Times New Roman" w:cs="Times New Roman" w:eastAsiaTheme="minorEastAsia"/>
          <w:color w:val="000000" w:themeColor="text1"/>
          <w:sz w:val="24"/>
          <w:szCs w:val="24"/>
          <w:lang w:val="en-US"/>
          <w14:textFill>
            <w14:solidFill>
              <w14:schemeClr w14:val="tx1"/>
            </w14:solidFill>
          </w14:textFill>
        </w:rPr>
        <w:t>%＞10%，因此，确定本项目大气环境影响为一级。</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根据《环境影响评价技术导则 大气环境》(HJ2.2-2018）中“5.4.1一级评价项目根据建设项目排放污染物的最远影响距离（D10%）确定大气环境影响评价范围。即以项目厂址为中心区域，自厂界外延D10%的矩形区域作为大气环境影响评价范围。当D10%超过25km时，确定评价范围为边长50km的矩形区域；当D10%小于2.5km时，评价范围边长取5km”。结合预测结果，本项目D10%为1353m，因此，评价范围为边长取5km的矩形区域。</w:t>
      </w:r>
    </w:p>
    <w:bookmarkEnd w:id="66"/>
    <w:bookmarkEnd w:id="67"/>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2.3.1.2地表水环境评价等级</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《环境影响评价技术导则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地表水环境》（HJ2.3-2018）规定，根据建设项目的污水排放方式和排放量划分地面水环境影响评价等级，其分级判据见表2-3-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6</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表2-3-</w:t>
      </w:r>
      <w:r>
        <w:rPr>
          <w:rFonts w:hint="eastAsia" w:ascii="Times New Roman" w:hAnsiTheme="minorEastAsia" w:eastAsiaTheme="minorEastAsia"/>
          <w:b/>
          <w:bCs/>
          <w:color w:val="000000" w:themeColor="text1"/>
          <w:szCs w:val="24"/>
          <w14:textFill>
            <w14:solidFill>
              <w14:schemeClr w14:val="tx1"/>
            </w14:solidFill>
          </w14:textFill>
        </w:rPr>
        <w:t>6</w:t>
      </w:r>
      <w:r>
        <w:rPr>
          <w:rFonts w:ascii="Times New Roman" w:hAnsiTheme="minorEastAsia" w:eastAsiaTheme="minorEastAsia"/>
          <w:b/>
          <w:bCs/>
          <w:color w:val="000000" w:themeColor="text1"/>
          <w:szCs w:val="24"/>
          <w14:textFill>
            <w14:solidFill>
              <w14:schemeClr w14:val="tx1"/>
            </w14:solidFill>
          </w14:textFill>
        </w:rPr>
        <w:t>地表水环境影响评价分级判据</w:t>
      </w:r>
    </w:p>
    <w:tbl>
      <w:tblPr>
        <w:tblStyle w:val="71"/>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40"/>
        <w:gridCol w:w="2230"/>
        <w:gridCol w:w="34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5" w:hRule="atLeast"/>
        </w:trPr>
        <w:tc>
          <w:tcPr>
            <w:tcW w:w="2840"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评价等级</w:t>
            </w:r>
          </w:p>
        </w:tc>
        <w:tc>
          <w:tcPr>
            <w:tcW w:w="5682"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排定依据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23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排放方式</w:t>
            </w:r>
          </w:p>
        </w:tc>
        <w:tc>
          <w:tcPr>
            <w:tcW w:w="345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废水排放量Q/（m3/d）</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污染物排放当量W/（无量纲）</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一级</w:t>
            </w:r>
          </w:p>
        </w:tc>
        <w:tc>
          <w:tcPr>
            <w:tcW w:w="223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直接排放</w:t>
            </w:r>
          </w:p>
        </w:tc>
        <w:tc>
          <w:tcPr>
            <w:tcW w:w="345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Q≥20000或W≥600000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二级</w:t>
            </w:r>
          </w:p>
        </w:tc>
        <w:tc>
          <w:tcPr>
            <w:tcW w:w="223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直接排放</w:t>
            </w:r>
          </w:p>
        </w:tc>
        <w:tc>
          <w:tcPr>
            <w:tcW w:w="345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其它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三级A</w:t>
            </w:r>
          </w:p>
        </w:tc>
        <w:tc>
          <w:tcPr>
            <w:tcW w:w="223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直接排放</w:t>
            </w:r>
          </w:p>
        </w:tc>
        <w:tc>
          <w:tcPr>
            <w:tcW w:w="345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Q≤200且W≤6000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三级B</w:t>
            </w:r>
          </w:p>
        </w:tc>
        <w:tc>
          <w:tcPr>
            <w:tcW w:w="223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间接排放</w:t>
            </w:r>
          </w:p>
        </w:tc>
        <w:tc>
          <w:tcPr>
            <w:tcW w:w="345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项目建成后，锅炉定期排水回用于厂区冲渣、脱硫、降尘，生产废水均回用不外排。本项目无新增劳动定员，无新增生活污水排放。</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根据《环境影响评价技术导则·地表水环境》（HJ2.3-2018），本项目地表水评价等级为间接排放建设项目，将评价等级定为三级B评价。</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2.3.1.3地下水评价等级</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68" w:name="_Toc307292226"/>
      <w:r>
        <w:rPr>
          <w:rFonts w:ascii="Times New Roman" w:hAnsi="Times New Roman" w:cs="Times New Roman" w:eastAsiaTheme="minorEastAsia"/>
          <w:color w:val="000000" w:themeColor="text1"/>
          <w:sz w:val="24"/>
          <w:szCs w:val="24"/>
          <w:lang w:val="en-US"/>
          <w14:textFill>
            <w14:solidFill>
              <w14:schemeClr w14:val="tx1"/>
            </w14:solidFill>
          </w14:textFill>
        </w:rPr>
        <w:t>本项目为“热力生产和供应工程”，根据《环境影响评价技术导则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地下水环境》（HJ610-2016）附录A，本项目地下水环境影响评价项目类别为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Ⅳ</w:t>
      </w:r>
      <w:r>
        <w:rPr>
          <w:rFonts w:ascii="Times New Roman" w:hAnsi="Times New Roman" w:cs="Times New Roman" w:eastAsiaTheme="minorEastAsia"/>
          <w:color w:val="000000" w:themeColor="text1"/>
          <w:sz w:val="24"/>
          <w:szCs w:val="24"/>
          <w:lang w:val="en-US"/>
          <w14:textFill>
            <w14:solidFill>
              <w14:schemeClr w14:val="tx1"/>
            </w14:solidFill>
          </w14:textFill>
        </w:rPr>
        <w:t>类。</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根据《环境影响评价技术导则地下水环境》（HJ610-2016），</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Ⅳ</w:t>
      </w:r>
      <w:r>
        <w:rPr>
          <w:rFonts w:ascii="Times New Roman" w:hAnsi="Times New Roman" w:cs="Times New Roman" w:eastAsiaTheme="minorEastAsia"/>
          <w:color w:val="000000" w:themeColor="text1"/>
          <w:sz w:val="24"/>
          <w:szCs w:val="24"/>
          <w:lang w:val="en-US"/>
          <w14:textFill>
            <w14:solidFill>
              <w14:schemeClr w14:val="tx1"/>
            </w14:solidFill>
          </w14:textFill>
        </w:rPr>
        <w:t>类建设项目不开展地下水环境影响评价。</w:t>
      </w:r>
    </w:p>
    <w:p>
      <w:pPr>
        <w:pStyle w:val="89"/>
        <w:ind w:firstLine="177"/>
        <w:rPr>
          <w:color w:val="000000" w:themeColor="text1"/>
          <w:lang w:val="en-US"/>
          <w14:textFill>
            <w14:solidFill>
              <w14:schemeClr w14:val="tx1"/>
            </w14:solidFill>
          </w14:textFill>
        </w:rPr>
      </w:pPr>
    </w:p>
    <w:bookmarkEnd w:id="68"/>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2.3.1.4声环境评价等级</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根据《环境影响评价技术导则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声环境》(HJ2.4-2021)，将声环境影响评价工作等级分为三个级别，划分依据见表2-3-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表2-3-</w:t>
      </w:r>
      <w:r>
        <w:rPr>
          <w:rFonts w:hint="eastAsia" w:ascii="Times New Roman" w:hAnsiTheme="minorEastAsia" w:eastAsiaTheme="minorEastAsia"/>
          <w:b/>
          <w:bCs/>
          <w:color w:val="000000" w:themeColor="text1"/>
          <w:szCs w:val="24"/>
          <w14:textFill>
            <w14:solidFill>
              <w14:schemeClr w14:val="tx1"/>
            </w14:solidFill>
          </w14:textFill>
        </w:rPr>
        <w:t>7</w:t>
      </w:r>
      <w:r>
        <w:rPr>
          <w:rFonts w:ascii="Times New Roman" w:hAnsiTheme="minorEastAsia" w:eastAsiaTheme="minorEastAsia"/>
          <w:b/>
          <w:bCs/>
          <w:color w:val="000000" w:themeColor="text1"/>
          <w:szCs w:val="24"/>
          <w14:textFill>
            <w14:solidFill>
              <w14:schemeClr w14:val="tx1"/>
            </w14:solidFill>
          </w14:textFill>
        </w:rPr>
        <w:t>声环境评价工作等级划分</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42"/>
        <w:gridCol w:w="1946"/>
        <w:gridCol w:w="1946"/>
        <w:gridCol w:w="18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tblHeader/>
          <w:jc w:val="center"/>
        </w:trPr>
        <w:tc>
          <w:tcPr>
            <w:tcW w:w="1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11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一级</w:t>
            </w:r>
          </w:p>
        </w:tc>
        <w:tc>
          <w:tcPr>
            <w:tcW w:w="11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二级</w:t>
            </w:r>
          </w:p>
        </w:tc>
        <w:tc>
          <w:tcPr>
            <w:tcW w:w="110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建设项目所在区域</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的声环境功能区类别</w:t>
            </w:r>
          </w:p>
        </w:tc>
        <w:tc>
          <w:tcPr>
            <w:tcW w:w="11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GB3096规定的0类声环境功能区域</w:t>
            </w:r>
          </w:p>
        </w:tc>
        <w:tc>
          <w:tcPr>
            <w:tcW w:w="11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GB3096规定的1类、2类地区</w:t>
            </w:r>
          </w:p>
        </w:tc>
        <w:tc>
          <w:tcPr>
            <w:tcW w:w="110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GB3096规定的3类、4类地区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9" w:hRule="atLeast"/>
          <w:jc w:val="center"/>
        </w:trPr>
        <w:tc>
          <w:tcPr>
            <w:tcW w:w="1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建设项目建设前后所在区域的声环境质量变化程度</w:t>
            </w:r>
          </w:p>
        </w:tc>
        <w:tc>
          <w:tcPr>
            <w:tcW w:w="11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敏感目标噪声级增高量＞5dB(A)</w:t>
            </w:r>
          </w:p>
        </w:tc>
        <w:tc>
          <w:tcPr>
            <w:tcW w:w="11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敏感目标噪声级增高量达3dB(A)～5dB(A)</w:t>
            </w:r>
          </w:p>
        </w:tc>
        <w:tc>
          <w:tcPr>
            <w:tcW w:w="110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敏感目标噪声级增高量＜3dB(A)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受建设项目影响人口的数量</w:t>
            </w:r>
          </w:p>
        </w:tc>
        <w:tc>
          <w:tcPr>
            <w:tcW w:w="11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显著增多</w:t>
            </w:r>
          </w:p>
        </w:tc>
        <w:tc>
          <w:tcPr>
            <w:tcW w:w="11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增加较多</w:t>
            </w:r>
          </w:p>
        </w:tc>
        <w:tc>
          <w:tcPr>
            <w:tcW w:w="110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变化不大</w:t>
            </w: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本项目属于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改</w:t>
      </w:r>
      <w:r>
        <w:rPr>
          <w:rFonts w:ascii="Times New Roman" w:hAnsi="Times New Roman" w:cs="Times New Roman" w:eastAsiaTheme="minorEastAsia"/>
          <w:color w:val="000000" w:themeColor="text1"/>
          <w:sz w:val="24"/>
          <w:szCs w:val="24"/>
          <w:lang w:val="en-US"/>
          <w14:textFill>
            <w14:solidFill>
              <w14:schemeClr w14:val="tx1"/>
            </w14:solidFill>
          </w14:textFill>
        </w:rPr>
        <w:t>扩建项目，本次工程不涉供热管网及换热站工程。厂址区域为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类功能地区，确定声环境影响评价工作等级为二级。</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2.3.1.5生态环境影响评价等级</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根据《环境影响评价技术导则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生态影响》（HJ19-20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22</w:t>
      </w:r>
      <w:r>
        <w:rPr>
          <w:rFonts w:ascii="Times New Roman" w:hAnsi="Times New Roman" w:cs="Times New Roman" w:eastAsiaTheme="minorEastAsia"/>
          <w:color w:val="000000" w:themeColor="text1"/>
          <w:sz w:val="24"/>
          <w:szCs w:val="24"/>
          <w:lang w:val="en-US"/>
          <w14:textFill>
            <w14:solidFill>
              <w14:schemeClr w14:val="tx1"/>
            </w14:solidFill>
          </w14:textFill>
        </w:rPr>
        <w:t>）规定，</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符合生态环境分区管控要求且位于原厂界(或永用地)范围内的污染影响类改扩建项目，位于已批准规划环评的产业园区内且符合规划环评要求、不涉及生态敏感区的污染影响类建设项目，可不确定评价等级，直接进行生态影响简单分析</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本项目用地性质为公用设施用地</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并且本项目</w:t>
      </w:r>
      <w:r>
        <w:rPr>
          <w:rFonts w:ascii="Times New Roman" w:hAnsi="Times New Roman" w:cs="Times New Roman" w:eastAsiaTheme="minorEastAsia"/>
          <w:color w:val="000000" w:themeColor="text1"/>
          <w:sz w:val="24"/>
          <w:szCs w:val="24"/>
          <w:lang w:val="en-US"/>
          <w14:textFill>
            <w14:solidFill>
              <w14:schemeClr w14:val="tx1"/>
            </w14:solidFill>
          </w14:textFill>
        </w:rPr>
        <w:t>在原有厂区内进行建设，</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因此本项目生态环境影响为简单分析。</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2.3.1.6风险评价评价等级</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跟据《建设项目环境风险评价技术导则》（HJ169-2018）的有关规定，环境风险评价工作等级划分为一级、二级、三级。根据建设项目涉及的物质及工艺系统危险性和所在地的环境敏感性确定环境风险潜势，按照下表确定评价工作等级。风险潜势为Ⅳ及以上，进行一级评价；风险潜势为Ⅲ，进行二级评价；风险潜势为Ⅱ，进行三级评价；风险潜势为Ⅰ，可开展简单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对照《建设项目环境风险评价技术导则》（HJ169-2018）附录 B 中重点关注的危险物质及临界量，按表2-3-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w:t>
      </w:r>
      <w:r>
        <w:rPr>
          <w:rFonts w:ascii="Times New Roman" w:hAnsi="Times New Roman" w:cs="Times New Roman" w:eastAsiaTheme="minorEastAsia"/>
          <w:color w:val="000000" w:themeColor="text1"/>
          <w:sz w:val="24"/>
          <w:szCs w:val="24"/>
          <w:lang w:val="en-US"/>
          <w14:textFill>
            <w14:solidFill>
              <w14:schemeClr w14:val="tx1"/>
            </w14:solidFill>
          </w14:textFill>
        </w:rPr>
        <w:t>进行物质危险性判定。</w:t>
      </w:r>
    </w:p>
    <w:p>
      <w:pPr>
        <w:pStyle w:val="89"/>
        <w:ind w:firstLine="177"/>
        <w:rPr>
          <w:color w:val="000000" w:themeColor="text1"/>
          <w:lang w:val="en-US"/>
          <w14:textFill>
            <w14:solidFill>
              <w14:schemeClr w14:val="tx1"/>
            </w14:solidFill>
          </w14:textFill>
        </w:rPr>
      </w:pPr>
    </w:p>
    <w:p>
      <w:pPr>
        <w:pStyle w:val="90"/>
        <w:ind w:firstLine="207"/>
        <w:rPr>
          <w:color w:val="000000" w:themeColor="text1"/>
          <w:lang w:val="en-US"/>
          <w14:textFill>
            <w14:solidFill>
              <w14:schemeClr w14:val="tx1"/>
            </w14:solidFill>
          </w14:textFill>
        </w:rPr>
      </w:pPr>
    </w:p>
    <w:p>
      <w:pPr>
        <w:ind w:firstLine="177"/>
        <w:rPr>
          <w:color w:val="000000" w:themeColor="text1"/>
          <w:lang w:val="en-US"/>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表2-3-</w:t>
      </w:r>
      <w:r>
        <w:rPr>
          <w:rFonts w:hint="eastAsia" w:ascii="Times New Roman" w:hAnsiTheme="minorEastAsia" w:eastAsiaTheme="minorEastAsia"/>
          <w:b/>
          <w:bCs/>
          <w:color w:val="000000" w:themeColor="text1"/>
          <w:szCs w:val="24"/>
          <w14:textFill>
            <w14:solidFill>
              <w14:schemeClr w14:val="tx1"/>
            </w14:solidFill>
          </w14:textFill>
        </w:rPr>
        <w:t>8</w:t>
      </w:r>
      <w:r>
        <w:rPr>
          <w:rFonts w:ascii="Times New Roman" w:hAnsiTheme="minorEastAsia" w:eastAsiaTheme="minorEastAsia"/>
          <w:b/>
          <w:bCs/>
          <w:color w:val="000000" w:themeColor="text1"/>
          <w:szCs w:val="24"/>
          <w14:textFill>
            <w14:solidFill>
              <w14:schemeClr w14:val="tx1"/>
            </w14:solidFill>
          </w14:textFill>
        </w:rPr>
        <w:t xml:space="preserve"> 风险评价工作等级划分表（HJ169-2018）</w:t>
      </w:r>
    </w:p>
    <w:tbl>
      <w:tblPr>
        <w:tblStyle w:val="70"/>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1704"/>
        <w:gridCol w:w="1704"/>
        <w:gridCol w:w="1705"/>
        <w:gridCol w:w="17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9" w:hRule="atLeast"/>
        </w:trPr>
        <w:tc>
          <w:tcPr>
            <w:tcW w:w="1704" w:type="dxa"/>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环境风险潜势</w:t>
            </w:r>
          </w:p>
        </w:tc>
        <w:tc>
          <w:tcPr>
            <w:tcW w:w="1704" w:type="dxa"/>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Ⅳ、Ⅳ+</w:t>
            </w:r>
          </w:p>
        </w:tc>
        <w:tc>
          <w:tcPr>
            <w:tcW w:w="1704" w:type="dxa"/>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Ⅲ</w:t>
            </w:r>
          </w:p>
        </w:tc>
        <w:tc>
          <w:tcPr>
            <w:tcW w:w="1705" w:type="dxa"/>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Ⅱ</w:t>
            </w:r>
          </w:p>
        </w:tc>
        <w:tc>
          <w:tcPr>
            <w:tcW w:w="1705" w:type="dxa"/>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1704" w:type="dxa"/>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评价工作等级</w:t>
            </w:r>
          </w:p>
        </w:tc>
        <w:tc>
          <w:tcPr>
            <w:tcW w:w="1704" w:type="dxa"/>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w:t>
            </w:r>
          </w:p>
        </w:tc>
        <w:tc>
          <w:tcPr>
            <w:tcW w:w="1704" w:type="dxa"/>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w:t>
            </w:r>
          </w:p>
        </w:tc>
        <w:tc>
          <w:tcPr>
            <w:tcW w:w="1705" w:type="dxa"/>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w:t>
            </w:r>
          </w:p>
        </w:tc>
        <w:tc>
          <w:tcPr>
            <w:tcW w:w="1705" w:type="dxa"/>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简单分析a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8522" w:type="dxa"/>
            <w:gridSpan w:val="5"/>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a：是相对于详细评价工作内容而言，在描述危险物质、环境影响途径、环境危害后果、风险防范措施等方面给出定性的说明。</w:t>
            </w: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危险物质数量与临界量比值（Q）</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计算所涉及的每种危险物质在厂界内的最大存在总量与其在《建设项目环境风险评价技术导则》（HJ169-2018）附录B中对应临界量的比值 Q。在不同厂区的每一种物质，按其在厂界内的最大存在总量计算。</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当只涉及一种危险物质时，计算该物质的总量与其临界量比值，即为Q；</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当存在多种危险物质时，则按下式计算物质总量与其临界量比值（Q）：</w:t>
      </w:r>
    </w:p>
    <w:p>
      <w:pPr>
        <w:pStyle w:val="91"/>
        <w:ind w:firstLine="355"/>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73600" behindDoc="0" locked="0" layoutInCell="1" allowOverlap="1">
            <wp:simplePos x="0" y="0"/>
            <wp:positionH relativeFrom="column">
              <wp:posOffset>1704975</wp:posOffset>
            </wp:positionH>
            <wp:positionV relativeFrom="paragraph">
              <wp:posOffset>66675</wp:posOffset>
            </wp:positionV>
            <wp:extent cx="1704975" cy="457200"/>
            <wp:effectExtent l="19050" t="0" r="9525" b="0"/>
            <wp:wrapNone/>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noChangeArrowheads="1"/>
                    </pic:cNvPicPr>
                  </pic:nvPicPr>
                  <pic:blipFill>
                    <a:blip r:embed="rId25" cstate="print"/>
                    <a:srcRect/>
                    <a:stretch>
                      <a:fillRect/>
                    </a:stretch>
                  </pic:blipFill>
                  <pic:spPr>
                    <a:xfrm>
                      <a:off x="0" y="0"/>
                      <a:ext cx="1704975" cy="457200"/>
                    </a:xfrm>
                    <a:prstGeom prst="rect">
                      <a:avLst/>
                    </a:prstGeom>
                    <a:noFill/>
                    <a:ln w="9525">
                      <a:noFill/>
                      <a:miter lim="800000"/>
                      <a:headEnd/>
                      <a:tailEnd/>
                    </a:ln>
                  </pic:spPr>
                </pic:pic>
              </a:graphicData>
            </a:graphic>
          </wp:anchor>
        </w:drawing>
      </w:r>
    </w:p>
    <w:p>
      <w:pPr>
        <w:pStyle w:val="91"/>
        <w:ind w:firstLine="355"/>
        <w:rPr>
          <w:color w:val="000000" w:themeColor="text1"/>
          <w14:textFill>
            <w14:solidFill>
              <w14:schemeClr w14:val="tx1"/>
            </w14:solidFill>
          </w14:textFill>
        </w:rPr>
      </w:pPr>
      <w:r>
        <w:rPr>
          <w:color w:val="000000" w:themeColor="text1"/>
          <w14:textFill>
            <w14:solidFill>
              <w14:schemeClr w14:val="tx1"/>
            </w14:solidFill>
          </w14:textFill>
        </w:rPr>
        <w:t>式中：</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q1，q2，...qn——每种危险物质的最大存在总量，t；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Q1，Q2，...Qn——每种危险物质的的临界量，t。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当Q＜1时，该项目环境风险潜势为Ⅰ。</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当Q≥1时，将Q值划分为：（1）1≤Q＜10；（2）10≤Q＜100；（3）Q≥100。</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根据《建设项目环境风险评价技术导则》（</w:t>
      </w:r>
      <w:r>
        <w:rPr>
          <w:rFonts w:ascii="Times New Roman" w:hAnsi="Times New Roman" w:cs="Times New Roman" w:eastAsiaTheme="minorEastAsia"/>
          <w:color w:val="000000" w:themeColor="text1"/>
          <w:sz w:val="24"/>
          <w:szCs w:val="24"/>
          <w:lang w:val="en-US"/>
          <w14:textFill>
            <w14:solidFill>
              <w14:schemeClr w14:val="tx1"/>
            </w14:solidFill>
          </w14:textFill>
        </w:rPr>
        <w:t>HJ169-2018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）对项目主要物料的毒性及其风险危害特性进行识别。本项目的危险物质主要包括</w:t>
      </w:r>
      <w:r>
        <w:rPr>
          <w:rFonts w:ascii="Times New Roman" w:hAnsi="Times New Roman" w:cs="Times New Roman" w:eastAsiaTheme="minorEastAsia"/>
          <w:color w:val="000000" w:themeColor="text1"/>
          <w:sz w:val="24"/>
          <w:szCs w:val="24"/>
          <w:lang w:val="en-US"/>
          <w14:textFill>
            <w14:solidFill>
              <w14:schemeClr w14:val="tx1"/>
            </w14:solidFill>
          </w14:textFill>
        </w:rPr>
        <w:t>锅炉点火助燃油采用轻柴油</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及废机油。</w:t>
      </w:r>
      <w:r>
        <w:rPr>
          <w:rFonts w:ascii="Times New Roman" w:hAnsi="Times New Roman" w:cs="Times New Roman" w:eastAsiaTheme="minorEastAsia"/>
          <w:color w:val="000000" w:themeColor="text1"/>
          <w:sz w:val="24"/>
          <w:szCs w:val="24"/>
          <w:lang w:val="en-US"/>
          <w14:textFill>
            <w14:solidFill>
              <w14:schemeClr w14:val="tx1"/>
            </w14:solidFill>
          </w14:textFill>
        </w:rPr>
        <w:t>本项目厂内不设柴油罐，仅点火时由罐车运输至厂区进行点火作业，锅炉点火助燃油采用轻柴油。一次性使用柴油0.05t。根据《建设项目环境风险评价技术导则》（HJ169-2018）中附录B给出的柴油临界量为2500t，本项目柴油仅是点火过程中的燃料，因此本项目危险物质为柴油</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。本项目废机油产生量为0.1t/a，在危废贮存库暂存最大值为0.1t/a。</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Q=</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0.05/2500+0.1/2500=</w:t>
      </w:r>
      <w:r>
        <w:rPr>
          <w:rFonts w:ascii="Times New Roman" w:hAnsi="Times New Roman" w:cs="Times New Roman" w:eastAsiaTheme="minorEastAsia"/>
          <w:color w:val="000000" w:themeColor="text1"/>
          <w:sz w:val="24"/>
          <w:szCs w:val="24"/>
          <w:lang w:val="en-US"/>
          <w14:textFill>
            <w14:solidFill>
              <w14:schemeClr w14:val="tx1"/>
            </w14:solidFill>
          </w14:textFill>
        </w:rPr>
        <w:t>0.0000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6</w:t>
      </w:r>
      <w:r>
        <w:rPr>
          <w:rFonts w:ascii="Times New Roman" w:hAnsi="Times New Roman" w:cs="Times New Roman" w:eastAsiaTheme="minorEastAsia"/>
          <w:color w:val="000000" w:themeColor="text1"/>
          <w:sz w:val="24"/>
          <w:szCs w:val="24"/>
          <w:lang w:val="en-US"/>
          <w14:textFill>
            <w14:solidFill>
              <w14:schemeClr w14:val="tx1"/>
            </w14:solidFill>
          </w14:textFill>
        </w:rPr>
        <w:t>&lt;1。因此Q&lt;1，本项目环境风险潜势为I级。本项目应对事故影响进行简单分析，提出防范、减缓和应急措施。</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2.3.1.7土壤评价评价等级</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根据《环境影响评价技术导则土壤环境（试行）》（HJ964-2018），本项目评价等级划分应按污染型影响划分，污染性影响评价工作等级的划分应依据建设项目类别、占地规模和敏感程度分级进行判定。</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根据《环境影响评价技术导则土壤环境》（HJ964-2018）中规定的环境影响识别方法，根据附录A。本项目属于“设电力热力燃气及水生产和供应业”中的“燃煤锅炉总容量65t/h（不含）以上的热力生产工程”项目，属于土壤环境影响评价项目类别中为Ⅲ类项目。</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（2）将建设项目占地规模分为大型（≥50hm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）、中型（5~50hm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）、小型（≤5hm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），建设项目占地主要为永久占地。本项目占地面积为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74880</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，属于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中</w:t>
      </w:r>
      <w:r>
        <w:rPr>
          <w:rFonts w:ascii="Times New Roman" w:hAnsi="Times New Roman" w:cs="Times New Roman" w:eastAsiaTheme="minorEastAsia"/>
          <w:color w:val="000000" w:themeColor="text1"/>
          <w:sz w:val="24"/>
          <w:szCs w:val="24"/>
          <w:lang w:val="en-US"/>
          <w14:textFill>
            <w14:solidFill>
              <w14:schemeClr w14:val="tx1"/>
            </w14:solidFill>
          </w14:textFill>
        </w:rPr>
        <w:t>型。本次改扩建工程不涉供热管网及换热站工程。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建设项目所在地周边的土壤环境敏感程度分为敏感、较敏感、不敏感，判别依据见表2-3-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表2-3-</w:t>
      </w:r>
      <w:r>
        <w:rPr>
          <w:rFonts w:hint="eastAsia" w:ascii="Times New Roman" w:hAnsiTheme="minorEastAsia" w:eastAsiaTheme="minorEastAsia"/>
          <w:b/>
          <w:bCs/>
          <w:color w:val="000000" w:themeColor="text1"/>
          <w:szCs w:val="24"/>
          <w14:textFill>
            <w14:solidFill>
              <w14:schemeClr w14:val="tx1"/>
            </w14:solidFill>
          </w14:textFill>
        </w:rPr>
        <w:t xml:space="preserve">9 </w:t>
      </w:r>
      <w:r>
        <w:rPr>
          <w:rFonts w:ascii="Times New Roman" w:hAnsiTheme="minorEastAsia" w:eastAsiaTheme="minorEastAsia"/>
          <w:b/>
          <w:bCs/>
          <w:color w:val="000000" w:themeColor="text1"/>
          <w:szCs w:val="24"/>
          <w14:textFill>
            <w14:solidFill>
              <w14:schemeClr w14:val="tx1"/>
            </w14:solidFill>
          </w14:textFill>
        </w:rPr>
        <w:t>污染影响型敏感程度分级表</w:t>
      </w:r>
    </w:p>
    <w:tbl>
      <w:tblPr>
        <w:tblStyle w:val="70"/>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3227"/>
        <w:gridCol w:w="529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22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敏感程度</w:t>
            </w:r>
          </w:p>
        </w:tc>
        <w:tc>
          <w:tcPr>
            <w:tcW w:w="529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判别依据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808" w:hRule="atLeast"/>
        </w:trPr>
        <w:tc>
          <w:tcPr>
            <w:tcW w:w="322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敏感</w:t>
            </w:r>
          </w:p>
        </w:tc>
        <w:tc>
          <w:tcPr>
            <w:tcW w:w="529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建设项目周边存在耕地、园地、牧草地、饮用水水源地或居民区、学校、医院、疗养院、养老院等土壤环境敏感目标的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22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较敏感</w:t>
            </w:r>
          </w:p>
        </w:tc>
        <w:tc>
          <w:tcPr>
            <w:tcW w:w="529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建设项目周边存在其他土壤环境敏感目标的</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322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不敏感</w:t>
            </w:r>
          </w:p>
        </w:tc>
        <w:tc>
          <w:tcPr>
            <w:tcW w:w="529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其他情况</w:t>
            </w: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本项目涉及大气沉降途径影响，项目周边</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存在居民区及学校</w:t>
      </w:r>
      <w:r>
        <w:rPr>
          <w:rFonts w:ascii="Times New Roman" w:hAnsi="Times New Roman" w:cs="Times New Roman" w:eastAsiaTheme="minorEastAsia"/>
          <w:color w:val="000000" w:themeColor="text1"/>
          <w:sz w:val="24"/>
          <w:szCs w:val="24"/>
          <w:lang w:val="en-US"/>
          <w14:textFill>
            <w14:solidFill>
              <w14:schemeClr w14:val="tx1"/>
            </w14:solidFill>
          </w14:textFill>
        </w:rPr>
        <w:t>敏感保护目标，因此本项目所在地周边的土壤环境敏感程度判定为敏感。</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（3）土壤环境影响评价级别</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根据土壤环境影响评价项目类别、占地规模与敏感程度划分评价工作等级，详见表2-3-1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w:t>
      </w:r>
      <w:r>
        <w:rPr>
          <w:rFonts w:ascii="Times New Roman" w:hAnsi="Times New Roman" w:cs="Times New Roman" w:eastAsiaTheme="minorEastAsia"/>
          <w:color w:val="000000" w:themeColor="text1"/>
          <w:sz w:val="24"/>
          <w:szCs w:val="24"/>
          <w:lang w:val="en-US"/>
          <w14:textFill>
            <w14:solidFill>
              <w14:schemeClr w14:val="tx1"/>
            </w14:solidFill>
          </w14:textFill>
        </w:rPr>
        <w:t>污染影响型评价工作等级划分表，本项目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土壤评价等级为三级</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表2-3-1</w:t>
      </w:r>
      <w:r>
        <w:rPr>
          <w:rFonts w:hint="eastAsia" w:ascii="Times New Roman" w:hAnsiTheme="minorEastAsia" w:eastAsiaTheme="minorEastAsia"/>
          <w:b/>
          <w:bCs/>
          <w:color w:val="000000" w:themeColor="text1"/>
          <w:szCs w:val="24"/>
          <w14:textFill>
            <w14:solidFill>
              <w14:schemeClr w14:val="tx1"/>
            </w14:solidFill>
          </w14:textFill>
        </w:rPr>
        <w:t>0</w:t>
      </w:r>
      <w:r>
        <w:rPr>
          <w:rFonts w:ascii="Times New Roman" w:hAnsiTheme="minorEastAsia" w:eastAsiaTheme="minorEastAsia"/>
          <w:b/>
          <w:bCs/>
          <w:color w:val="000000" w:themeColor="text1"/>
          <w:szCs w:val="24"/>
          <w14:textFill>
            <w14:solidFill>
              <w14:schemeClr w14:val="tx1"/>
            </w14:solidFill>
          </w14:textFill>
        </w:rPr>
        <w:t xml:space="preserve"> 污染影响型评价工作等级划分表</w:t>
      </w:r>
    </w:p>
    <w:tbl>
      <w:tblPr>
        <w:tblStyle w:val="70"/>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50"/>
        <w:gridCol w:w="659"/>
        <w:gridCol w:w="659"/>
        <w:gridCol w:w="797"/>
        <w:gridCol w:w="794"/>
        <w:gridCol w:w="794"/>
        <w:gridCol w:w="663"/>
        <w:gridCol w:w="794"/>
        <w:gridCol w:w="794"/>
        <w:gridCol w:w="71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850" w:type="dxa"/>
            <w:vMerge w:val="restart"/>
            <w:tcBorders>
              <w:top w:val="single" w:color="000000" w:sz="12" w:space="0"/>
              <w:left w:val="nil"/>
              <w:tl2br w:val="single" w:color="000000" w:sz="12" w:space="0"/>
            </w:tcBorders>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评价等级</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敏感程度</w:t>
            </w:r>
          </w:p>
        </w:tc>
        <w:tc>
          <w:tcPr>
            <w:tcW w:w="2115" w:type="dxa"/>
            <w:gridSpan w:val="3"/>
            <w:tcBorders>
              <w:top w:val="single" w:color="000000" w:sz="12" w:space="0"/>
            </w:tcBorders>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Ⅰ类</w:t>
            </w:r>
          </w:p>
        </w:tc>
        <w:tc>
          <w:tcPr>
            <w:tcW w:w="2251" w:type="dxa"/>
            <w:gridSpan w:val="3"/>
            <w:tcBorders>
              <w:top w:val="single" w:color="000000" w:sz="12" w:space="0"/>
            </w:tcBorders>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Ⅱ类</w:t>
            </w:r>
          </w:p>
        </w:tc>
        <w:tc>
          <w:tcPr>
            <w:tcW w:w="2300" w:type="dxa"/>
            <w:gridSpan w:val="3"/>
            <w:tcBorders>
              <w:top w:val="single" w:color="000000" w:sz="12" w:space="0"/>
              <w:right w:val="nil"/>
            </w:tcBorders>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Ⅲ类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850" w:type="dxa"/>
            <w:vMerge w:val="continue"/>
            <w:tcBorders>
              <w:left w:val="nil"/>
              <w:tl2br w:val="single" w:color="000000" w:sz="12" w:space="0"/>
            </w:tcBorders>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59"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w:t>
            </w:r>
          </w:p>
        </w:tc>
        <w:tc>
          <w:tcPr>
            <w:tcW w:w="659"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中</w:t>
            </w:r>
          </w:p>
        </w:tc>
        <w:tc>
          <w:tcPr>
            <w:tcW w:w="797"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小</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中</w:t>
            </w:r>
          </w:p>
        </w:tc>
        <w:tc>
          <w:tcPr>
            <w:tcW w:w="663"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小</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中</w:t>
            </w:r>
          </w:p>
        </w:tc>
        <w:tc>
          <w:tcPr>
            <w:tcW w:w="712" w:type="dxa"/>
            <w:tcBorders>
              <w:right w:val="nil"/>
            </w:tcBorders>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850" w:type="dxa"/>
            <w:tcBorders>
              <w:left w:val="nil"/>
            </w:tcBorders>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敏感</w:t>
            </w:r>
          </w:p>
        </w:tc>
        <w:tc>
          <w:tcPr>
            <w:tcW w:w="659"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一级</w:t>
            </w:r>
          </w:p>
        </w:tc>
        <w:tc>
          <w:tcPr>
            <w:tcW w:w="659"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一级</w:t>
            </w:r>
          </w:p>
        </w:tc>
        <w:tc>
          <w:tcPr>
            <w:tcW w:w="797"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一级</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二级</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二级</w:t>
            </w:r>
          </w:p>
        </w:tc>
        <w:tc>
          <w:tcPr>
            <w:tcW w:w="663"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w:t>
            </w:r>
          </w:p>
        </w:tc>
        <w:tc>
          <w:tcPr>
            <w:tcW w:w="712" w:type="dxa"/>
            <w:tcBorders>
              <w:right w:val="nil"/>
            </w:tcBorders>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850" w:type="dxa"/>
            <w:tcBorders>
              <w:left w:val="nil"/>
            </w:tcBorders>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较敏感</w:t>
            </w:r>
          </w:p>
        </w:tc>
        <w:tc>
          <w:tcPr>
            <w:tcW w:w="659"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一级</w:t>
            </w:r>
          </w:p>
        </w:tc>
        <w:tc>
          <w:tcPr>
            <w:tcW w:w="659"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一级</w:t>
            </w:r>
          </w:p>
        </w:tc>
        <w:tc>
          <w:tcPr>
            <w:tcW w:w="797"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二级</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二级</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二级</w:t>
            </w:r>
          </w:p>
        </w:tc>
        <w:tc>
          <w:tcPr>
            <w:tcW w:w="663"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w:t>
            </w:r>
          </w:p>
        </w:tc>
        <w:tc>
          <w:tcPr>
            <w:tcW w:w="712" w:type="dxa"/>
            <w:tcBorders>
              <w:right w:val="nil"/>
            </w:tcBorders>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850" w:type="dxa"/>
            <w:tcBorders>
              <w:left w:val="nil"/>
            </w:tcBorders>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不敏感</w:t>
            </w:r>
          </w:p>
        </w:tc>
        <w:tc>
          <w:tcPr>
            <w:tcW w:w="659"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一级</w:t>
            </w:r>
          </w:p>
        </w:tc>
        <w:tc>
          <w:tcPr>
            <w:tcW w:w="659"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二级</w:t>
            </w:r>
          </w:p>
        </w:tc>
        <w:tc>
          <w:tcPr>
            <w:tcW w:w="797"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二级</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二级</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w:t>
            </w:r>
          </w:p>
        </w:tc>
        <w:tc>
          <w:tcPr>
            <w:tcW w:w="663"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w:t>
            </w:r>
          </w:p>
        </w:tc>
        <w:tc>
          <w:tcPr>
            <w:tcW w:w="794"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712" w:type="dxa"/>
            <w:tcBorders>
              <w:right w:val="nil"/>
            </w:tcBorders>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8516" w:type="dxa"/>
            <w:gridSpan w:val="10"/>
            <w:tcBorders>
              <w:left w:val="nil"/>
              <w:bottom w:val="single" w:color="000000" w:sz="12" w:space="0"/>
              <w:right w:val="nil"/>
            </w:tcBorders>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注：“—”表示可不开展土壤环境影响评价工作。</w:t>
            </w:r>
          </w:p>
        </w:tc>
      </w:tr>
    </w:tbl>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69" w:name="_Toc532974700"/>
      <w:r>
        <w:rPr>
          <w:rFonts w:ascii="Times New Roman" w:hAnsi="Times New Roman" w:eastAsia="新宋体" w:cstheme="minorBidi"/>
          <w:color w:val="000000" w:themeColor="text1"/>
          <w:szCs w:val="24"/>
          <w:lang w:val="en-US" w:bidi="ar-SA"/>
          <w14:textFill>
            <w14:solidFill>
              <w14:schemeClr w14:val="tx1"/>
            </w14:solidFill>
          </w14:textFill>
        </w:rPr>
        <w:t>2.3.2评价范围</w:t>
      </w:r>
      <w:bookmarkEnd w:id="69"/>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根据工程特征与环境现状确定该项目评价范围见表2-3-1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89"/>
        <w:ind w:firstLine="177"/>
        <w:rPr>
          <w:color w:val="000000" w:themeColor="text1"/>
          <w:lang w:val="en-US"/>
          <w14:textFill>
            <w14:solidFill>
              <w14:schemeClr w14:val="tx1"/>
            </w14:solidFill>
          </w14:textFill>
        </w:rPr>
      </w:pPr>
    </w:p>
    <w:p>
      <w:pPr>
        <w:pStyle w:val="90"/>
        <w:ind w:firstLine="207"/>
        <w:rPr>
          <w:color w:val="000000" w:themeColor="text1"/>
          <w:lang w:val="en-US"/>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表2-3-1</w:t>
      </w:r>
      <w:r>
        <w:rPr>
          <w:rFonts w:hint="eastAsia" w:ascii="Times New Roman" w:hAnsiTheme="minorEastAsia" w:eastAsiaTheme="minorEastAsia"/>
          <w:b/>
          <w:bCs/>
          <w:color w:val="000000" w:themeColor="text1"/>
          <w:szCs w:val="24"/>
          <w14:textFill>
            <w14:solidFill>
              <w14:schemeClr w14:val="tx1"/>
            </w14:solidFill>
          </w14:textFill>
        </w:rPr>
        <w:t>1 本项目环境影响</w:t>
      </w:r>
      <w:r>
        <w:rPr>
          <w:rFonts w:ascii="Times New Roman" w:hAnsiTheme="minorEastAsia" w:eastAsiaTheme="minorEastAsia"/>
          <w:b/>
          <w:bCs/>
          <w:color w:val="000000" w:themeColor="text1"/>
          <w:szCs w:val="24"/>
          <w14:textFill>
            <w14:solidFill>
              <w14:schemeClr w14:val="tx1"/>
            </w14:solidFill>
          </w14:textFill>
        </w:rPr>
        <w:t>评价范围表</w:t>
      </w:r>
    </w:p>
    <w:tbl>
      <w:tblPr>
        <w:tblStyle w:val="70"/>
        <w:tblW w:w="8528"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607"/>
        <w:gridCol w:w="692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blHeader/>
          <w:jc w:val="center"/>
        </w:trPr>
        <w:tc>
          <w:tcPr>
            <w:tcW w:w="16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评价因子</w:t>
            </w:r>
          </w:p>
        </w:tc>
        <w:tc>
          <w:tcPr>
            <w:tcW w:w="692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评价范围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6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环境空气</w:t>
            </w:r>
          </w:p>
        </w:tc>
        <w:tc>
          <w:tcPr>
            <w:tcW w:w="692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边长取5km的矩形区域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6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692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厂界外200m范围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6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地表水</w:t>
            </w:r>
          </w:p>
        </w:tc>
        <w:tc>
          <w:tcPr>
            <w:tcW w:w="692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本项目地表水环境评价等级为三级B，所以本项目不考虑评价范围。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6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地下水</w:t>
            </w:r>
          </w:p>
        </w:tc>
        <w:tc>
          <w:tcPr>
            <w:tcW w:w="692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不开展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6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生态</w:t>
            </w:r>
          </w:p>
        </w:tc>
        <w:tc>
          <w:tcPr>
            <w:tcW w:w="692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w:t>
            </w:r>
            <w:r>
              <w:rPr>
                <w:rFonts w:hint="eastAsia" w:ascii="Times New Roman" w:eastAsiaTheme="minorEastAsia"/>
                <w:color w:val="000000" w:themeColor="text1"/>
                <w:sz w:val="21"/>
                <w:szCs w:val="21"/>
                <w14:textFill>
                  <w14:solidFill>
                    <w14:schemeClr w14:val="tx1"/>
                  </w14:solidFill>
                </w14:textFill>
              </w:rPr>
              <w:t>生态环境</w:t>
            </w:r>
            <w:r>
              <w:rPr>
                <w:rFonts w:ascii="Times New Roman" w:eastAsiaTheme="minorEastAsia"/>
                <w:color w:val="000000" w:themeColor="text1"/>
                <w:sz w:val="21"/>
                <w:szCs w:val="21"/>
                <w14:textFill>
                  <w14:solidFill>
                    <w14:schemeClr w14:val="tx1"/>
                  </w14:solidFill>
                </w14:textFill>
              </w:rPr>
              <w:t>评价等级为简单分析，所以本项目不考虑评价范围。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6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风险</w:t>
            </w:r>
          </w:p>
        </w:tc>
        <w:tc>
          <w:tcPr>
            <w:tcW w:w="692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本项目环境风险评价等级为简单分析，所以本项目不考虑评价范围。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16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bookmarkStart w:id="70" w:name="_Toc511500952"/>
            <w:bookmarkStart w:id="71" w:name="_Toc532974703"/>
            <w:bookmarkStart w:id="72" w:name="_Toc534545004"/>
            <w:r>
              <w:rPr>
                <w:rFonts w:hint="eastAsia" w:ascii="Times New Roman" w:eastAsiaTheme="minorEastAsia"/>
                <w:color w:val="000000" w:themeColor="text1"/>
                <w:sz w:val="21"/>
                <w:szCs w:val="21"/>
                <w14:textFill>
                  <w14:solidFill>
                    <w14:schemeClr w14:val="tx1"/>
                  </w14:solidFill>
                </w14:textFill>
              </w:rPr>
              <w:t>土壤</w:t>
            </w:r>
          </w:p>
        </w:tc>
        <w:tc>
          <w:tcPr>
            <w:tcW w:w="692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厂界外</w:t>
            </w:r>
            <w:r>
              <w:rPr>
                <w:rFonts w:hint="eastAsia" w:ascii="Times New Roman" w:eastAsiaTheme="minorEastAsia"/>
                <w:color w:val="000000" w:themeColor="text1"/>
                <w:sz w:val="21"/>
                <w:szCs w:val="21"/>
                <w14:textFill>
                  <w14:solidFill>
                    <w14:schemeClr w14:val="tx1"/>
                  </w14:solidFill>
                </w14:textFill>
              </w:rPr>
              <w:t>5</w:t>
            </w:r>
            <w:r>
              <w:rPr>
                <w:rFonts w:ascii="Times New Roman" w:eastAsiaTheme="minorEastAsia"/>
                <w:color w:val="000000" w:themeColor="text1"/>
                <w:sz w:val="21"/>
                <w:szCs w:val="21"/>
                <w14:textFill>
                  <w14:solidFill>
                    <w14:schemeClr w14:val="tx1"/>
                  </w14:solidFill>
                </w14:textFill>
              </w:rPr>
              <w:t>0m范围</w:t>
            </w:r>
          </w:p>
        </w:tc>
      </w:tr>
    </w:tbl>
    <w:p>
      <w:pPr>
        <w:pStyle w:val="92"/>
        <w:rPr>
          <w:rFonts w:cs="Times New Roman" w:hAnsiTheme="minorEastAsia" w:eastAsiaTheme="minorEastAsia"/>
          <w:color w:val="000000" w:themeColor="text1"/>
          <w:sz w:val="24"/>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93056" behindDoc="0" locked="0" layoutInCell="1" allowOverlap="1">
            <wp:simplePos x="0" y="0"/>
            <wp:positionH relativeFrom="column">
              <wp:posOffset>4251960</wp:posOffset>
            </wp:positionH>
            <wp:positionV relativeFrom="paragraph">
              <wp:posOffset>184785</wp:posOffset>
            </wp:positionV>
            <wp:extent cx="934720" cy="876300"/>
            <wp:effectExtent l="0" t="0" r="0" b="0"/>
            <wp:wrapNone/>
            <wp:docPr id="7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2"/>
                    <pic:cNvPicPr>
                      <a:picLocks noChangeAspect="1"/>
                    </pic:cNvPicPr>
                  </pic:nvPicPr>
                  <pic:blipFill>
                    <a:blip r:embed="rId26"/>
                    <a:stretch>
                      <a:fillRect/>
                    </a:stretch>
                  </pic:blipFill>
                  <pic:spPr>
                    <a:xfrm>
                      <a:off x="0" y="0"/>
                      <a:ext cx="934720" cy="876300"/>
                    </a:xfrm>
                    <a:prstGeom prst="rect">
                      <a:avLst/>
                    </a:prstGeom>
                    <a:noFill/>
                    <a:ln>
                      <a:noFill/>
                    </a:ln>
                  </pic:spPr>
                </pic:pic>
              </a:graphicData>
            </a:graphic>
          </wp:anchor>
        </w:drawing>
      </w:r>
      <w:r>
        <w:rPr>
          <w:color w:val="000000" w:themeColor="text1"/>
          <w:lang w:val="en-US" w:bidi="ar-SA"/>
          <w14:textFill>
            <w14:solidFill>
              <w14:schemeClr w14:val="tx1"/>
            </w14:solidFill>
          </w14:textFill>
        </w:rPr>
        <w:drawing>
          <wp:anchor distT="0" distB="0" distL="114300" distR="114300" simplePos="0" relativeHeight="251692032" behindDoc="0" locked="0" layoutInCell="1" allowOverlap="1">
            <wp:simplePos x="0" y="0"/>
            <wp:positionH relativeFrom="column">
              <wp:posOffset>1905</wp:posOffset>
            </wp:positionH>
            <wp:positionV relativeFrom="paragraph">
              <wp:posOffset>106045</wp:posOffset>
            </wp:positionV>
            <wp:extent cx="5274310" cy="3449320"/>
            <wp:effectExtent l="0" t="0" r="2540" b="0"/>
            <wp:wrapNone/>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274310" cy="3449057"/>
                    </a:xfrm>
                    <a:prstGeom prst="rect">
                      <a:avLst/>
                    </a:prstGeom>
                  </pic:spPr>
                </pic:pic>
              </a:graphicData>
            </a:graphic>
          </wp:anchor>
        </w:drawing>
      </w:r>
    </w:p>
    <w:p>
      <w:pPr>
        <w:pStyle w:val="92"/>
        <w:rPr>
          <w:color w:val="000000" w:themeColor="text1"/>
          <w14:textFill>
            <w14:solidFill>
              <w14:schemeClr w14:val="tx1"/>
            </w14:solidFill>
          </w14:textFill>
        </w:rPr>
      </w:pPr>
    </w:p>
    <w:p>
      <w:pPr>
        <w:pStyle w:val="92"/>
        <w:rPr>
          <w:color w:val="000000" w:themeColor="text1"/>
          <w14:textFill>
            <w14:solidFill>
              <w14:schemeClr w14:val="tx1"/>
            </w14:solidFill>
          </w14:textFill>
        </w:rPr>
      </w:pPr>
    </w:p>
    <w:p>
      <w:pPr>
        <w:pStyle w:val="92"/>
        <w:rPr>
          <w:color w:val="000000" w:themeColor="text1"/>
          <w14:textFill>
            <w14:solidFill>
              <w14:schemeClr w14:val="tx1"/>
            </w14:solidFill>
          </w14:textFill>
        </w:rPr>
      </w:pPr>
    </w:p>
    <w:p>
      <w:pPr>
        <w:pStyle w:val="92"/>
        <w:rPr>
          <w:color w:val="000000" w:themeColor="text1"/>
          <w14:textFill>
            <w14:solidFill>
              <w14:schemeClr w14:val="tx1"/>
            </w14:solidFill>
          </w14:textFill>
        </w:rPr>
      </w:pPr>
    </w:p>
    <w:p>
      <w:pPr>
        <w:pStyle w:val="92"/>
        <w:rPr>
          <w:color w:val="000000" w:themeColor="text1"/>
          <w14:textFill>
            <w14:solidFill>
              <w14:schemeClr w14:val="tx1"/>
            </w14:solidFill>
          </w14:textFill>
        </w:rPr>
      </w:pPr>
    </w:p>
    <w:p>
      <w:pPr>
        <w:pStyle w:val="92"/>
        <w:rPr>
          <w:color w:val="000000" w:themeColor="text1"/>
          <w14:textFill>
            <w14:solidFill>
              <w14:schemeClr w14:val="tx1"/>
            </w14:solidFill>
          </w14:textFill>
        </w:rPr>
      </w:pPr>
    </w:p>
    <w:p>
      <w:pPr>
        <w:pStyle w:val="92"/>
        <w:rPr>
          <w:color w:val="000000" w:themeColor="text1"/>
          <w14:textFill>
            <w14:solidFill>
              <w14:schemeClr w14:val="tx1"/>
            </w14:solidFill>
          </w14:textFill>
        </w:rPr>
      </w:pPr>
    </w:p>
    <w:p>
      <w:pPr>
        <w:pStyle w:val="92"/>
        <w:rPr>
          <w:color w:val="000000" w:themeColor="text1"/>
          <w14:textFill>
            <w14:solidFill>
              <w14:schemeClr w14:val="tx1"/>
            </w14:solidFill>
          </w14:textFill>
        </w:rPr>
      </w:pPr>
    </w:p>
    <w:p>
      <w:pPr>
        <w:pStyle w:val="92"/>
        <w:rPr>
          <w:color w:val="000000" w:themeColor="text1"/>
          <w14:textFill>
            <w14:solidFill>
              <w14:schemeClr w14:val="tx1"/>
            </w14:solidFill>
          </w14:textFill>
        </w:rPr>
      </w:pPr>
    </w:p>
    <w:p>
      <w:pPr>
        <w:pStyle w:val="92"/>
        <w:rPr>
          <w:color w:val="000000" w:themeColor="text1"/>
          <w14:textFill>
            <w14:solidFill>
              <w14:schemeClr w14:val="tx1"/>
            </w14:solidFill>
          </w14:textFill>
        </w:rPr>
      </w:pPr>
    </w:p>
    <w:p>
      <w:pPr>
        <w:pStyle w:val="92"/>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图2-3-2 本项目评价范围图</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73" w:name="_Toc162605165"/>
      <w:r>
        <w:rPr>
          <w:rFonts w:ascii="Times New Roman" w:hAnsi="Times New Roman" w:cs="Times New Roman" w:eastAsiaTheme="minorEastAsia"/>
          <w:color w:val="000000" w:themeColor="text1"/>
          <w:szCs w:val="24"/>
          <w:lang w:val="en-US" w:bidi="ar-SA"/>
          <w14:textFill>
            <w14:solidFill>
              <w14:schemeClr w14:val="tx1"/>
            </w14:solidFill>
          </w14:textFill>
        </w:rPr>
        <w:t>2.4主要环境保护目标</w:t>
      </w:r>
      <w:bookmarkEnd w:id="70"/>
      <w:bookmarkEnd w:id="71"/>
      <w:bookmarkEnd w:id="72"/>
      <w:bookmarkEnd w:id="73"/>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0" w:num="1"/>
          <w:docGrid w:type="linesAndChars" w:linePitch="312" w:charSpace="-551"/>
        </w:sectPr>
      </w:pPr>
      <w:r>
        <w:rPr>
          <w:rFonts w:ascii="Times New Roman" w:hAnsi="Times New Roman" w:cs="Times New Roman" w:eastAsiaTheme="minorEastAsia"/>
          <w:color w:val="000000" w:themeColor="text1"/>
          <w:sz w:val="24"/>
          <w:szCs w:val="24"/>
          <w:lang w:val="en-US"/>
          <w14:textFill>
            <w14:solidFill>
              <w14:schemeClr w14:val="tx1"/>
            </w14:solidFill>
          </w14:textFill>
        </w:rPr>
        <w:t>本</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项目</w:t>
      </w:r>
      <w:r>
        <w:rPr>
          <w:rFonts w:ascii="Times New Roman" w:hAnsi="Times New Roman" w:cs="Times New Roman" w:eastAsiaTheme="minorEastAsia"/>
          <w:color w:val="000000" w:themeColor="text1"/>
          <w:sz w:val="24"/>
          <w:szCs w:val="24"/>
          <w:lang w:val="en-US"/>
          <w14:textFill>
            <w14:solidFill>
              <w14:schemeClr w14:val="tx1"/>
            </w14:solidFill>
          </w14:textFill>
        </w:rPr>
        <w:t>评价区内无国家、省、市级自然保护区。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调查，本项目地表水评价范围内不存在饮用水水源保护区、饮用水取水口，涉水的自然保护区、风景名胜区，重要湿地、重点保护与珍稀水生生物的栖息地、重要水生生物的自然产卵场及索饵场、越冬场和洄游通道，天然渔场等渔业水体，以及水产种质资源保护区等地表水环境保护目标。</w:t>
      </w:r>
      <w:r>
        <w:rPr>
          <w:rFonts w:ascii="Times New Roman" w:hAnsi="Times New Roman" w:cs="Times New Roman" w:eastAsiaTheme="minorEastAsia"/>
          <w:color w:val="000000" w:themeColor="text1"/>
          <w:sz w:val="24"/>
          <w:szCs w:val="24"/>
          <w:lang w:val="en-US"/>
          <w14:textFill>
            <w14:solidFill>
              <w14:schemeClr w14:val="tx1"/>
            </w14:solidFill>
          </w14:textFill>
        </w:rPr>
        <w:t>经现场踏查，本项目评价区环境敏感保护目标具体情况见表2-4-1。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2-4-1  本项目敏感保护目标一览表</w:t>
      </w:r>
    </w:p>
    <w:tbl>
      <w:tblPr>
        <w:tblStyle w:val="70"/>
        <w:tblW w:w="4998" w:type="pct"/>
        <w:jc w:val="center"/>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Layout w:type="autofit"/>
        <w:tblCellMar>
          <w:top w:w="0" w:type="dxa"/>
          <w:left w:w="108" w:type="dxa"/>
          <w:bottom w:w="0" w:type="dxa"/>
          <w:right w:w="108" w:type="dxa"/>
        </w:tblCellMar>
      </w:tblPr>
      <w:tblGrid>
        <w:gridCol w:w="580"/>
        <w:gridCol w:w="1164"/>
        <w:gridCol w:w="1017"/>
        <w:gridCol w:w="1021"/>
        <w:gridCol w:w="714"/>
        <w:gridCol w:w="1031"/>
        <w:gridCol w:w="779"/>
        <w:gridCol w:w="1063"/>
        <w:gridCol w:w="1150"/>
      </w:tblGrid>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360" w:hRule="atLeast"/>
          <w:jc w:val="center"/>
        </w:trPr>
        <w:tc>
          <w:tcPr>
            <w:tcW w:w="341"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bookmarkStart w:id="74" w:name="OLE_LINK26"/>
            <w:r>
              <w:rPr>
                <w:rFonts w:hint="eastAsia" w:ascii="Times New Roman" w:eastAsiaTheme="minorEastAsia"/>
                <w:color w:val="000000" w:themeColor="text1"/>
                <w:sz w:val="21"/>
                <w:szCs w:val="21"/>
                <w14:textFill>
                  <w14:solidFill>
                    <w14:schemeClr w14:val="tx1"/>
                  </w14:solidFill>
                </w14:textFill>
              </w:rPr>
              <w:t>环境</w:t>
            </w:r>
            <w:r>
              <w:rPr>
                <w:rFonts w:ascii="Times New Roman" w:eastAsiaTheme="minorEastAsia"/>
                <w:color w:val="000000" w:themeColor="text1"/>
                <w:sz w:val="21"/>
                <w:szCs w:val="21"/>
                <w14:textFill>
                  <w14:solidFill>
                    <w14:schemeClr w14:val="tx1"/>
                  </w14:solidFill>
                </w14:textFill>
              </w:rPr>
              <w:t>要素</w:t>
            </w:r>
          </w:p>
        </w:tc>
        <w:tc>
          <w:tcPr>
            <w:tcW w:w="683"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保护目标名称</w:t>
            </w:r>
          </w:p>
        </w:tc>
        <w:tc>
          <w:tcPr>
            <w:tcW w:w="1196"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经纬度（°）</w:t>
            </w:r>
          </w:p>
        </w:tc>
        <w:tc>
          <w:tcPr>
            <w:tcW w:w="41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保护对象</w:t>
            </w:r>
          </w:p>
        </w:tc>
        <w:tc>
          <w:tcPr>
            <w:tcW w:w="605"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保护内容</w:t>
            </w:r>
          </w:p>
        </w:tc>
        <w:tc>
          <w:tcPr>
            <w:tcW w:w="45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环境功能区</w:t>
            </w:r>
          </w:p>
        </w:tc>
        <w:tc>
          <w:tcPr>
            <w:tcW w:w="62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相对厂址方位</w:t>
            </w:r>
          </w:p>
        </w:tc>
        <w:tc>
          <w:tcPr>
            <w:tcW w:w="67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相对厂界距离/m</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trHeight w:val="207" w:hRule="atLeast"/>
          <w:jc w:val="center"/>
        </w:trPr>
        <w:tc>
          <w:tcPr>
            <w:tcW w:w="341"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83"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9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经度</w:t>
            </w:r>
          </w:p>
        </w:tc>
        <w:tc>
          <w:tcPr>
            <w:tcW w:w="59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纬度</w:t>
            </w:r>
          </w:p>
        </w:tc>
        <w:tc>
          <w:tcPr>
            <w:tcW w:w="41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5"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5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2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7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794" w:hRule="exact"/>
          <w:jc w:val="center"/>
        </w:trPr>
        <w:tc>
          <w:tcPr>
            <w:tcW w:w="341"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w:t>
            </w:r>
          </w:p>
        </w:tc>
        <w:tc>
          <w:tcPr>
            <w:tcW w:w="68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tc>
        <w:tc>
          <w:tcPr>
            <w:tcW w:w="59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131.579</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94747</w:t>
            </w:r>
          </w:p>
        </w:tc>
        <w:tc>
          <w:tcPr>
            <w:tcW w:w="59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46.693</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54876</w:t>
            </w:r>
          </w:p>
        </w:tc>
        <w:tc>
          <w:tcPr>
            <w:tcW w:w="41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居民区</w:t>
            </w:r>
          </w:p>
        </w:tc>
        <w:tc>
          <w:tcPr>
            <w:tcW w:w="6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人群，约200人</w:t>
            </w:r>
          </w:p>
        </w:tc>
        <w:tc>
          <w:tcPr>
            <w:tcW w:w="45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二类</w:t>
            </w:r>
          </w:p>
        </w:tc>
        <w:tc>
          <w:tcPr>
            <w:tcW w:w="62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东南侧</w:t>
            </w:r>
          </w:p>
        </w:tc>
        <w:tc>
          <w:tcPr>
            <w:tcW w:w="6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620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848" w:hRule="exact"/>
          <w:jc w:val="center"/>
        </w:trPr>
        <w:tc>
          <w:tcPr>
            <w:tcW w:w="341"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8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tc>
        <w:tc>
          <w:tcPr>
            <w:tcW w:w="59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131.559</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90601</w:t>
            </w:r>
          </w:p>
        </w:tc>
        <w:tc>
          <w:tcPr>
            <w:tcW w:w="59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46.7004</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3627</w:t>
            </w:r>
          </w:p>
        </w:tc>
        <w:tc>
          <w:tcPr>
            <w:tcW w:w="41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6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人群，约300人</w:t>
            </w:r>
          </w:p>
        </w:tc>
        <w:tc>
          <w:tcPr>
            <w:tcW w:w="45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2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西侧</w:t>
            </w:r>
          </w:p>
        </w:tc>
        <w:tc>
          <w:tcPr>
            <w:tcW w:w="6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460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846" w:hRule="exact"/>
          <w:jc w:val="center"/>
        </w:trPr>
        <w:tc>
          <w:tcPr>
            <w:tcW w:w="341"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8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红兴隆局直居民区</w:t>
            </w:r>
          </w:p>
        </w:tc>
        <w:tc>
          <w:tcPr>
            <w:tcW w:w="59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131.576</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98631</w:t>
            </w:r>
          </w:p>
        </w:tc>
        <w:tc>
          <w:tcPr>
            <w:tcW w:w="59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46.7142</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9691</w:t>
            </w:r>
          </w:p>
        </w:tc>
        <w:tc>
          <w:tcPr>
            <w:tcW w:w="41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居民区</w:t>
            </w:r>
          </w:p>
        </w:tc>
        <w:tc>
          <w:tcPr>
            <w:tcW w:w="6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人群，约2000人</w:t>
            </w:r>
          </w:p>
        </w:tc>
        <w:tc>
          <w:tcPr>
            <w:tcW w:w="45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2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北侧</w:t>
            </w:r>
          </w:p>
        </w:tc>
        <w:tc>
          <w:tcPr>
            <w:tcW w:w="6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1425" w:hRule="exact"/>
          <w:jc w:val="center"/>
        </w:trPr>
        <w:tc>
          <w:tcPr>
            <w:tcW w:w="3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声环境</w:t>
            </w:r>
          </w:p>
        </w:tc>
        <w:tc>
          <w:tcPr>
            <w:tcW w:w="2297" w:type="pct"/>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本项目200m范围内无声环境保护目标</w:t>
            </w:r>
          </w:p>
        </w:tc>
        <w:tc>
          <w:tcPr>
            <w:tcW w:w="6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人群</w:t>
            </w:r>
          </w:p>
        </w:tc>
        <w:tc>
          <w:tcPr>
            <w:tcW w:w="4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类声环境功能区</w:t>
            </w:r>
          </w:p>
        </w:tc>
        <w:tc>
          <w:tcPr>
            <w:tcW w:w="62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6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567" w:hRule="exact"/>
          <w:jc w:val="center"/>
        </w:trPr>
        <w:tc>
          <w:tcPr>
            <w:tcW w:w="3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生态</w:t>
            </w:r>
          </w:p>
        </w:tc>
        <w:tc>
          <w:tcPr>
            <w:tcW w:w="1879"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w:t>
            </w:r>
            <w:r>
              <w:rPr>
                <w:rFonts w:hint="eastAsia" w:ascii="Times New Roman" w:eastAsiaTheme="minorEastAsia"/>
                <w:color w:val="000000" w:themeColor="text1"/>
                <w:sz w:val="21"/>
                <w:szCs w:val="21"/>
                <w14:textFill>
                  <w14:solidFill>
                    <w14:schemeClr w14:val="tx1"/>
                  </w14:solidFill>
                </w14:textFill>
              </w:rPr>
              <w:t>周边</w:t>
            </w:r>
            <w:r>
              <w:rPr>
                <w:rFonts w:ascii="Times New Roman" w:eastAsiaTheme="minorEastAsia"/>
                <w:color w:val="000000" w:themeColor="text1"/>
                <w:sz w:val="21"/>
                <w:szCs w:val="21"/>
                <w14:textFill>
                  <w14:solidFill>
                    <w14:schemeClr w14:val="tx1"/>
                  </w14:solidFill>
                </w14:textFill>
              </w:rPr>
              <w:t>范围</w:t>
            </w:r>
            <w:r>
              <w:rPr>
                <w:rFonts w:hint="eastAsia" w:ascii="Times New Roman" w:eastAsiaTheme="minorEastAsia"/>
                <w:color w:val="000000" w:themeColor="text1"/>
                <w:sz w:val="21"/>
                <w:szCs w:val="21"/>
                <w14:textFill>
                  <w14:solidFill>
                    <w14:schemeClr w14:val="tx1"/>
                  </w14:solidFill>
                </w14:textFill>
              </w:rPr>
              <w:t>生态环境</w:t>
            </w:r>
          </w:p>
        </w:tc>
        <w:tc>
          <w:tcPr>
            <w:tcW w:w="2780" w:type="pct"/>
            <w:gridSpan w:val="5"/>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维持生态环境质量现状</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702" w:hRule="exact"/>
          <w:jc w:val="center"/>
        </w:trPr>
        <w:tc>
          <w:tcPr>
            <w:tcW w:w="341"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w:t>
            </w:r>
          </w:p>
        </w:tc>
        <w:tc>
          <w:tcPr>
            <w:tcW w:w="1879"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w:t>
            </w:r>
            <w:r>
              <w:rPr>
                <w:rFonts w:hint="eastAsia" w:ascii="Times New Roman" w:eastAsiaTheme="minorEastAsia"/>
                <w:color w:val="000000" w:themeColor="text1"/>
                <w:sz w:val="21"/>
                <w:szCs w:val="21"/>
                <w14:textFill>
                  <w14:solidFill>
                    <w14:schemeClr w14:val="tx1"/>
                  </w14:solidFill>
                </w14:textFill>
              </w:rPr>
              <w:t>内土壤环境</w:t>
            </w:r>
          </w:p>
        </w:tc>
        <w:tc>
          <w:tcPr>
            <w:tcW w:w="2780" w:type="pct"/>
            <w:gridSpan w:val="5"/>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《土壤环境质量建设用地土壤污染风险管控标准（试行）》（</w:t>
            </w:r>
            <w:r>
              <w:rPr>
                <w:rFonts w:ascii="Times New Roman" w:eastAsiaTheme="minorEastAsia"/>
                <w:color w:val="000000" w:themeColor="text1"/>
                <w:sz w:val="21"/>
                <w:szCs w:val="21"/>
                <w14:textFill>
                  <w14:solidFill>
                    <w14:schemeClr w14:val="tx1"/>
                  </w14:solidFill>
                </w14:textFill>
              </w:rPr>
              <w:t>GB36600-2018</w:t>
            </w:r>
            <w:r>
              <w:rPr>
                <w:rFonts w:hint="eastAsia" w:ascii="Times New Roman" w:eastAsiaTheme="minorEastAsia"/>
                <w:color w:val="000000" w:themeColor="text1"/>
                <w:sz w:val="21"/>
                <w:szCs w:val="21"/>
                <w14:textFill>
                  <w14:solidFill>
                    <w14:schemeClr w14:val="tx1"/>
                  </w14:solidFill>
                </w14:textFill>
              </w:rPr>
              <w:t>）第二类用地筛选值</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4" w:space="0"/>
          </w:tblBorders>
          <w:tblCellMar>
            <w:top w:w="0" w:type="dxa"/>
            <w:left w:w="108" w:type="dxa"/>
            <w:bottom w:w="0" w:type="dxa"/>
            <w:right w:w="108" w:type="dxa"/>
          </w:tblCellMar>
        </w:tblPrEx>
        <w:trPr>
          <w:cantSplit/>
          <w:trHeight w:val="996" w:hRule="exact"/>
          <w:jc w:val="center"/>
        </w:trPr>
        <w:tc>
          <w:tcPr>
            <w:tcW w:w="341"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79"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w:t>
            </w:r>
            <w:r>
              <w:rPr>
                <w:rFonts w:hint="eastAsia" w:ascii="Times New Roman" w:eastAsiaTheme="minorEastAsia"/>
                <w:color w:val="000000" w:themeColor="text1"/>
                <w:sz w:val="21"/>
                <w:szCs w:val="21"/>
                <w14:textFill>
                  <w14:solidFill>
                    <w14:schemeClr w14:val="tx1"/>
                  </w14:solidFill>
                </w14:textFill>
              </w:rPr>
              <w:t>外</w:t>
            </w:r>
            <w:r>
              <w:rPr>
                <w:rFonts w:ascii="Times New Roman" w:eastAsiaTheme="minorEastAsia"/>
                <w:color w:val="000000" w:themeColor="text1"/>
                <w:sz w:val="21"/>
                <w:szCs w:val="21"/>
                <w14:textFill>
                  <w14:solidFill>
                    <w14:schemeClr w14:val="tx1"/>
                  </w14:solidFill>
                </w14:textFill>
              </w:rPr>
              <w:t>50m范围</w:t>
            </w:r>
            <w:r>
              <w:rPr>
                <w:rFonts w:hint="eastAsia" w:ascii="Times New Roman" w:eastAsiaTheme="minorEastAsia"/>
                <w:color w:val="000000" w:themeColor="text1"/>
                <w:sz w:val="21"/>
                <w:szCs w:val="21"/>
                <w14:textFill>
                  <w14:solidFill>
                    <w14:schemeClr w14:val="tx1"/>
                  </w14:solidFill>
                </w14:textFill>
              </w:rPr>
              <w:t>土壤环境</w:t>
            </w:r>
          </w:p>
        </w:tc>
        <w:tc>
          <w:tcPr>
            <w:tcW w:w="2780" w:type="pct"/>
            <w:gridSpan w:val="5"/>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《土壤环境质量 农用地土壤污染风险管控标准（试行）》（GB15618-2018）表1农用地土壤污染风险筛选值</w:t>
            </w:r>
          </w:p>
        </w:tc>
      </w:tr>
      <w:bookmarkEnd w:id="74"/>
    </w:tbl>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0" w:num="1"/>
          <w:docGrid w:type="linesAndChars" w:linePitch="326" w:charSpace="-551"/>
        </w:sectPr>
      </w:pPr>
    </w:p>
    <w:p>
      <w:pPr>
        <w:ind w:firstLine="177"/>
        <w:rPr>
          <w:color w:val="000000" w:themeColor="text1"/>
          <w14:textFill>
            <w14:solidFill>
              <w14:schemeClr w14:val="tx1"/>
            </w14:solidFill>
          </w14:textFill>
        </w:rPr>
      </w:pPr>
      <w:r>
        <w:rPr>
          <w:color w:val="000000" w:themeColor="text1"/>
          <w:lang w:val="en-US" w:bidi="ar-SA"/>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6857365</wp:posOffset>
                </wp:positionH>
                <wp:positionV relativeFrom="paragraph">
                  <wp:posOffset>4454525</wp:posOffset>
                </wp:positionV>
                <wp:extent cx="1122680" cy="298450"/>
                <wp:effectExtent l="0" t="0" r="1270" b="0"/>
                <wp:wrapNone/>
                <wp:docPr id="59" name="Text Box 424"/>
                <wp:cNvGraphicFramePr/>
                <a:graphic xmlns:a="http://schemas.openxmlformats.org/drawingml/2006/main">
                  <a:graphicData uri="http://schemas.microsoft.com/office/word/2010/wordprocessingShape">
                    <wps:wsp>
                      <wps:cNvSpPr txBox="1">
                        <a:spLocks noChangeArrowheads="1"/>
                      </wps:cNvSpPr>
                      <wps:spPr bwMode="auto">
                        <a:xfrm>
                          <a:off x="0" y="0"/>
                          <a:ext cx="1122680" cy="298450"/>
                        </a:xfrm>
                        <a:prstGeom prst="rect">
                          <a:avLst/>
                        </a:prstGeom>
                        <a:solidFill>
                          <a:srgbClr val="FFFFFF"/>
                        </a:solidFill>
                        <a:ln>
                          <a:noFill/>
                        </a:ln>
                        <a:effectLst/>
                      </wps:spPr>
                      <wps:txbx>
                        <w:txbxContent>
                          <w:p>
                            <w:pPr>
                              <w:ind w:firstLine="177"/>
                            </w:pPr>
                            <w:r>
                              <w:rPr>
                                <w:rFonts w:hint="eastAsia"/>
                              </w:rPr>
                              <w:t>本项目所在位置</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Text Box 424" o:spid="_x0000_s1026" o:spt="202" type="#_x0000_t202" style="position:absolute;left:0pt;margin-left:539.95pt;margin-top:350.75pt;height:23.5pt;width:88.4pt;z-index:251685888;mso-width-relative:page;mso-height-relative:margin;mso-height-percent:200;" fillcolor="#FFFFFF" filled="t" stroked="f" coordsize="21600,21600" o:gfxdata="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Hqz&#10;So/aAAAADQEAAA8AAAAAAAAAAQAgAAAAIgAAAGRycy9kb3ducmV2LnhtbFBLAQIUABQAAAAIAIdO&#10;4kA8oThxIQIAAE4EAAAOAAAAAAAAAAEAIAAAACkBAABkcnMvZTJvRG9jLnhtbFBLBQYAAAAABgAG&#10;AFkBAAC8BQAAAAA=&#10;">
                <v:fill on="t" focussize="0,0"/>
                <v:stroke on="f"/>
                <v:imagedata o:title=""/>
                <o:lock v:ext="edit" aspectratio="f"/>
                <v:textbox style="mso-fit-shape-to-text:t;">
                  <w:txbxContent>
                    <w:p>
                      <w:pPr>
                        <w:ind w:firstLine="177"/>
                      </w:pPr>
                      <w:r>
                        <w:rPr>
                          <w:rFonts w:hint="eastAsia"/>
                        </w:rPr>
                        <w:t>本项目所在位置</w:t>
                      </w:r>
                    </w:p>
                  </w:txbxContent>
                </v:textbox>
              </v:shape>
            </w:pict>
          </mc:Fallback>
        </mc:AlternateContent>
      </w:r>
      <w:r>
        <w:rPr>
          <w:color w:val="000000" w:themeColor="text1"/>
          <w:kern w:val="0"/>
          <w:lang w:val="en-US" w:bidi="ar-SA"/>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6544310</wp:posOffset>
                </wp:positionH>
                <wp:positionV relativeFrom="paragraph">
                  <wp:posOffset>4555490</wp:posOffset>
                </wp:positionV>
                <wp:extent cx="247650" cy="180975"/>
                <wp:effectExtent l="0" t="0" r="19050" b="28575"/>
                <wp:wrapNone/>
                <wp:docPr id="58" name="Rectangle 423"/>
                <wp:cNvGraphicFramePr/>
                <a:graphic xmlns:a="http://schemas.openxmlformats.org/drawingml/2006/main">
                  <a:graphicData uri="http://schemas.microsoft.com/office/word/2010/wordprocessingShape">
                    <wps:wsp>
                      <wps:cNvSpPr>
                        <a:spLocks noChangeArrowheads="1"/>
                      </wps:cNvSpPr>
                      <wps:spPr bwMode="auto">
                        <a:xfrm>
                          <a:off x="0" y="0"/>
                          <a:ext cx="247650" cy="180975"/>
                        </a:xfrm>
                        <a:prstGeom prst="rect">
                          <a:avLst/>
                        </a:prstGeom>
                        <a:solidFill>
                          <a:srgbClr val="FF0000"/>
                        </a:solidFill>
                        <a:ln w="9525">
                          <a:solidFill>
                            <a:srgbClr val="FF0000"/>
                          </a:solidFill>
                          <a:miter lim="800000"/>
                        </a:ln>
                        <a:effectLst/>
                      </wps:spPr>
                      <wps:bodyPr rot="0" vert="horz" wrap="square" lIns="91440" tIns="45720" rIns="91440" bIns="45720" anchor="t" anchorCtr="0" upright="1">
                        <a:noAutofit/>
                      </wps:bodyPr>
                    </wps:wsp>
                  </a:graphicData>
                </a:graphic>
              </wp:anchor>
            </w:drawing>
          </mc:Choice>
          <mc:Fallback>
            <w:pict>
              <v:rect id="Rectangle 423" o:spid="_x0000_s1026" o:spt="1" style="position:absolute;left:0pt;margin-left:515.3pt;margin-top:358.7pt;height:14.25pt;width:19.5pt;z-index:251684864;mso-width-relative:page;mso-height-relative:page;" fillcolor="#FF0000" filled="t" stroked="t" coordsize="21600,21600" o:gfxdata="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VtD7ONsAAAANAQAADwAAAAAAAAABACAAAAAiAAAAZHJzL2Rvd25yZXYueG1s&#10;UEsBAhQAFAAAAAgAh07iQHqquRkuAgAAggQAAA4AAAAAAAAAAQAgAAAAKgEAAGRycy9lMm9Eb2Mu&#10;eG1sUEsFBgAAAAAGAAYAWQEAAMoFAAAAAA==&#10;">
                <v:fill on="t" focussize="0,0"/>
                <v:stroke color="#FF0000" miterlimit="8" joinstyle="miter"/>
                <v:imagedata o:title=""/>
                <o:lock v:ext="edit" aspectratio="f"/>
              </v:rect>
            </w:pict>
          </mc:Fallback>
        </mc:AlternateContent>
      </w:r>
      <w:r>
        <w:rPr>
          <w:color w:val="000000" w:themeColor="text1"/>
          <w:kern w:val="0"/>
          <w:lang w:val="en-US" w:bidi="ar-SA"/>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6516370</wp:posOffset>
                </wp:positionH>
                <wp:positionV relativeFrom="paragraph">
                  <wp:posOffset>4123055</wp:posOffset>
                </wp:positionV>
                <wp:extent cx="295275" cy="295275"/>
                <wp:effectExtent l="0" t="0" r="28575" b="28575"/>
                <wp:wrapNone/>
                <wp:docPr id="60" name="Rectangle 421"/>
                <wp:cNvGraphicFramePr/>
                <a:graphic xmlns:a="http://schemas.openxmlformats.org/drawingml/2006/main">
                  <a:graphicData uri="http://schemas.microsoft.com/office/word/2010/wordprocessingShape">
                    <wps:wsp>
                      <wps:cNvSpPr>
                        <a:spLocks noChangeArrowheads="1"/>
                      </wps:cNvSpPr>
                      <wps:spPr bwMode="auto">
                        <a:xfrm>
                          <a:off x="0" y="0"/>
                          <a:ext cx="295275" cy="295275"/>
                        </a:xfrm>
                        <a:prstGeom prst="rect">
                          <a:avLst/>
                        </a:prstGeom>
                        <a:solidFill>
                          <a:srgbClr val="00B0F0"/>
                        </a:solidFill>
                        <a:ln w="19050">
                          <a:solidFill>
                            <a:srgbClr val="FF0000"/>
                          </a:solidFill>
                          <a:miter lim="800000"/>
                        </a:ln>
                        <a:effectLst/>
                      </wps:spPr>
                      <wps:bodyPr rot="0" vert="horz" wrap="square" lIns="91440" tIns="45720" rIns="91440" bIns="45720" anchor="t" anchorCtr="0" upright="1">
                        <a:noAutofit/>
                      </wps:bodyPr>
                    </wps:wsp>
                  </a:graphicData>
                </a:graphic>
              </wp:anchor>
            </w:drawing>
          </mc:Choice>
          <mc:Fallback>
            <w:pict>
              <v:rect id="Rectangle 421" o:spid="_x0000_s1026" o:spt="1" style="position:absolute;left:0pt;margin-left:513.1pt;margin-top:324.65pt;height:23.25pt;width:23.25pt;z-index:251682816;mso-width-relative:page;mso-height-relative:page;" fillcolor="#00B0F0" filled="t" stroked="t" coordsize="21600,21600" o:gfxdata="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36z/6d0AAAANAQAADwAAAAAAAAABACAAAAAiAAAAZHJzL2Rvd25y&#10;ZXYueG1sUEsBAhQAFAAAAAgAh07iQOuLZ5syAgAAgwQAAA4AAAAAAAAAAQAgAAAALAEAAGRycy9l&#10;Mm9Eb2MueG1sUEsFBgAAAAAGAAYAWQEAANAFAAAAAA==&#10;">
                <v:fill on="t" focussize="0,0"/>
                <v:stroke weight="1.5pt" color="#FF0000" miterlimit="8" joinstyle="miter"/>
                <v:imagedata o:title=""/>
                <o:lock v:ext="edit" aspectratio="f"/>
              </v:rect>
            </w:pict>
          </mc:Fallback>
        </mc:AlternateContent>
      </w:r>
      <w:r>
        <w:rPr>
          <w:color w:val="000000" w:themeColor="text1"/>
          <w:lang w:val="en-US" w:bidi="ar-SA"/>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6497320</wp:posOffset>
                </wp:positionH>
                <wp:positionV relativeFrom="paragraph">
                  <wp:posOffset>3666490</wp:posOffset>
                </wp:positionV>
                <wp:extent cx="295275" cy="285750"/>
                <wp:effectExtent l="0" t="0" r="28575" b="19050"/>
                <wp:wrapNone/>
                <wp:docPr id="63" name="Rectangle 419"/>
                <wp:cNvGraphicFramePr/>
                <a:graphic xmlns:a="http://schemas.openxmlformats.org/drawingml/2006/main">
                  <a:graphicData uri="http://schemas.microsoft.com/office/word/2010/wordprocessingShape">
                    <wps:wsp>
                      <wps:cNvSpPr>
                        <a:spLocks noChangeArrowheads="1"/>
                      </wps:cNvSpPr>
                      <wps:spPr bwMode="auto">
                        <a:xfrm>
                          <a:off x="0" y="0"/>
                          <a:ext cx="295275" cy="285750"/>
                        </a:xfrm>
                        <a:prstGeom prst="rect">
                          <a:avLst/>
                        </a:prstGeom>
                        <a:solidFill>
                          <a:srgbClr val="FFFFFF"/>
                        </a:solidFill>
                        <a:ln w="19050">
                          <a:solidFill>
                            <a:srgbClr val="FF0000"/>
                          </a:solidFill>
                          <a:miter lim="800000"/>
                        </a:ln>
                        <a:effectLst/>
                      </wps:spPr>
                      <wps:bodyPr rot="0" vert="horz" wrap="square" lIns="91440" tIns="45720" rIns="91440" bIns="45720" anchor="t" anchorCtr="0" upright="1">
                        <a:noAutofit/>
                      </wps:bodyPr>
                    </wps:wsp>
                  </a:graphicData>
                </a:graphic>
              </wp:anchor>
            </w:drawing>
          </mc:Choice>
          <mc:Fallback>
            <w:pict>
              <v:rect id="Rectangle 419" o:spid="_x0000_s1026" o:spt="1" style="position:absolute;left:0pt;margin-left:511.6pt;margin-top:288.7pt;height:22.5pt;width:23.25pt;z-index:251680768;mso-width-relative:page;mso-height-relative:page;" fillcolor="#FFFFFF" filled="t" stroked="t" coordsize="21600,21600" o:gfxdata="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bQrky9oAAAANAQAADwAAAAAAAAABACAAAAAiAAAAZHJzL2Rvd25yZXYueG1s&#10;UEsBAhQAFAAAAAgAh07iQM618NkvAgAAgwQAAA4AAAAAAAAAAQAgAAAAKQEAAGRycy9lMm9Eb2Mu&#10;eG1sUEsFBgAAAAAGAAYAWQEAAMoFAAAAAA==&#10;">
                <v:fill on="t" focussize="0,0"/>
                <v:stroke weight="1.5pt" color="#FF0000" miterlimit="8" joinstyle="miter"/>
                <v:imagedata o:title=""/>
                <o:lock v:ext="edit" aspectratio="f"/>
              </v:rect>
            </w:pict>
          </mc:Fallback>
        </mc:AlternateContent>
      </w:r>
      <w:r>
        <w:rPr>
          <w:color w:val="000000" w:themeColor="text1"/>
          <w:lang w:val="en-US" w:bidi="ar-SA"/>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6888480</wp:posOffset>
                </wp:positionH>
                <wp:positionV relativeFrom="paragraph">
                  <wp:posOffset>4066540</wp:posOffset>
                </wp:positionV>
                <wp:extent cx="1042035" cy="298450"/>
                <wp:effectExtent l="0" t="0" r="5715" b="0"/>
                <wp:wrapNone/>
                <wp:docPr id="61" name="Text Box 422"/>
                <wp:cNvGraphicFramePr/>
                <a:graphic xmlns:a="http://schemas.openxmlformats.org/drawingml/2006/main">
                  <a:graphicData uri="http://schemas.microsoft.com/office/word/2010/wordprocessingShape">
                    <wps:wsp>
                      <wps:cNvSpPr txBox="1">
                        <a:spLocks noChangeArrowheads="1"/>
                      </wps:cNvSpPr>
                      <wps:spPr bwMode="auto">
                        <a:xfrm>
                          <a:off x="0" y="0"/>
                          <a:ext cx="1042035" cy="298450"/>
                        </a:xfrm>
                        <a:prstGeom prst="rect">
                          <a:avLst/>
                        </a:prstGeom>
                        <a:solidFill>
                          <a:srgbClr val="FFFFFF"/>
                        </a:solidFill>
                        <a:ln>
                          <a:noFill/>
                        </a:ln>
                        <a:effectLst/>
                      </wps:spPr>
                      <wps:txbx>
                        <w:txbxContent>
                          <w:p>
                            <w:pPr>
                              <w:ind w:firstLine="177"/>
                            </w:pPr>
                            <w:r>
                              <w:rPr>
                                <w:rFonts w:hint="eastAsia"/>
                              </w:rPr>
                              <w:t>敏感保护目标</w:t>
                            </w: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Text Box 422" o:spid="_x0000_s1026" o:spt="202" type="#_x0000_t202" style="position:absolute;left:0pt;margin-left:542.4pt;margin-top:320.2pt;height:23.5pt;width:82.05pt;z-index:251683840;mso-width-relative:page;mso-height-relative:margin;mso-height-percent:200;" fillcolor="#FFFFFF" filled="t" stroked="f" coordsize="21600,21600" o:gfxdata="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COH&#10;MdvZAAAADQEAAA8AAAAAAAAAAQAgAAAAIgAAAGRycy9kb3ducmV2LnhtbFBLAQIUABQAAAAIAIdO&#10;4kCGKU1/IgIAAE4EAAAOAAAAAAAAAAEAIAAAACgBAABkcnMvZTJvRG9jLnhtbFBLBQYAAAAABgAG&#10;AFkBAAC8BQAAAAA=&#10;">
                <v:fill on="t" focussize="0,0"/>
                <v:stroke on="f"/>
                <v:imagedata o:title=""/>
                <o:lock v:ext="edit" aspectratio="f"/>
                <v:textbox style="mso-fit-shape-to-text:t;">
                  <w:txbxContent>
                    <w:p>
                      <w:pPr>
                        <w:ind w:firstLine="177"/>
                      </w:pPr>
                      <w:r>
                        <w:rPr>
                          <w:rFonts w:hint="eastAsia"/>
                        </w:rPr>
                        <w:t>敏感保护目标</w:t>
                      </w:r>
                    </w:p>
                  </w:txbxContent>
                </v:textbox>
              </v:shape>
            </w:pict>
          </mc:Fallback>
        </mc:AlternateContent>
      </w:r>
      <w:r>
        <w:rPr>
          <w:color w:val="000000" w:themeColor="text1"/>
          <w:lang w:val="en-US" w:bidi="ar-SA"/>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6810375</wp:posOffset>
                </wp:positionH>
                <wp:positionV relativeFrom="paragraph">
                  <wp:posOffset>3609975</wp:posOffset>
                </wp:positionV>
                <wp:extent cx="1165225" cy="323850"/>
                <wp:effectExtent l="0" t="0" r="0" b="0"/>
                <wp:wrapNone/>
                <wp:docPr id="64" name="Text Box 420"/>
                <wp:cNvGraphicFramePr/>
                <a:graphic xmlns:a="http://schemas.openxmlformats.org/drawingml/2006/main">
                  <a:graphicData uri="http://schemas.microsoft.com/office/word/2010/wordprocessingShape">
                    <wps:wsp>
                      <wps:cNvSpPr txBox="1">
                        <a:spLocks noChangeArrowheads="1"/>
                      </wps:cNvSpPr>
                      <wps:spPr bwMode="auto">
                        <a:xfrm>
                          <a:off x="0" y="0"/>
                          <a:ext cx="1165225" cy="323850"/>
                        </a:xfrm>
                        <a:prstGeom prst="rect">
                          <a:avLst/>
                        </a:prstGeom>
                        <a:solidFill>
                          <a:srgbClr val="FFFFFF"/>
                        </a:solidFill>
                        <a:ln>
                          <a:noFill/>
                        </a:ln>
                        <a:effectLst/>
                      </wps:spPr>
                      <wps:txbx>
                        <w:txbxContent>
                          <w:p>
                            <w:pPr>
                              <w:ind w:firstLine="0" w:firstLineChars="0"/>
                            </w:pPr>
                            <w:r>
                              <w:rPr>
                                <w:rFonts w:hint="eastAsia"/>
                              </w:rPr>
                              <w:t>环境空气评价范围</w:t>
                            </w:r>
                          </w:p>
                        </w:txbxContent>
                      </wps:txbx>
                      <wps:bodyPr rot="0" vert="horz" wrap="square" lIns="91440" tIns="45720" rIns="91440" bIns="45720" anchor="t" anchorCtr="0" upright="1">
                        <a:noAutofit/>
                      </wps:bodyPr>
                    </wps:wsp>
                  </a:graphicData>
                </a:graphic>
              </wp:anchor>
            </w:drawing>
          </mc:Choice>
          <mc:Fallback>
            <w:pict>
              <v:shape id="Text Box 420" o:spid="_x0000_s1026" o:spt="202" type="#_x0000_t202" style="position:absolute;left:0pt;margin-left:536.25pt;margin-top:284.25pt;height:25.5pt;width:91.75pt;z-index:251681792;mso-width-relative:page;mso-height-relative:page;" fillcolor="#FFFFFF" filled="t" stroked="f" coordsize="21600,21600" o:gfxdata="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vNr7&#10;WNgAAAANAQAADwAAAAAAAAABACAAAAAiAAAAZHJzL2Rvd25yZXYueG1sUEsBAhQAFAAAAAgAh07i&#10;QJ9JIgAiAgAATgQAAA4AAAAAAAAAAQAgAAAAJwEAAGRycy9lMm9Eb2MueG1sUEsFBgAAAAAGAAYA&#10;WQEAALsFAAAAAA==&#10;">
                <v:fill on="t" focussize="0,0"/>
                <v:stroke on="f"/>
                <v:imagedata o:title=""/>
                <o:lock v:ext="edit" aspectratio="f"/>
                <v:textbox>
                  <w:txbxContent>
                    <w:p>
                      <w:pPr>
                        <w:ind w:firstLine="0" w:firstLineChars="0"/>
                      </w:pPr>
                      <w:r>
                        <w:rPr>
                          <w:rFonts w:hint="eastAsia"/>
                        </w:rPr>
                        <w:t>环境空气评价范围</w:t>
                      </w:r>
                    </w:p>
                  </w:txbxContent>
                </v:textbox>
              </v:shape>
            </w:pict>
          </mc:Fallback>
        </mc:AlternateContent>
      </w:r>
      <w:r>
        <w:rPr>
          <w:color w:val="000000" w:themeColor="text1"/>
          <w:lang w:val="en-US" w:bidi="ar-SA"/>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6886575</wp:posOffset>
                </wp:positionH>
                <wp:positionV relativeFrom="paragraph">
                  <wp:posOffset>3324225</wp:posOffset>
                </wp:positionV>
                <wp:extent cx="619125" cy="323850"/>
                <wp:effectExtent l="0" t="0" r="9525" b="0"/>
                <wp:wrapNone/>
                <wp:docPr id="67" name="Text Box 418"/>
                <wp:cNvGraphicFramePr/>
                <a:graphic xmlns:a="http://schemas.openxmlformats.org/drawingml/2006/main">
                  <a:graphicData uri="http://schemas.microsoft.com/office/word/2010/wordprocessingShape">
                    <wps:wsp>
                      <wps:cNvSpPr txBox="1">
                        <a:spLocks noChangeArrowheads="1"/>
                      </wps:cNvSpPr>
                      <wps:spPr bwMode="auto">
                        <a:xfrm>
                          <a:off x="0" y="0"/>
                          <a:ext cx="619125" cy="323850"/>
                        </a:xfrm>
                        <a:prstGeom prst="rect">
                          <a:avLst/>
                        </a:prstGeom>
                        <a:solidFill>
                          <a:srgbClr val="FFFFFF"/>
                        </a:solidFill>
                        <a:ln>
                          <a:noFill/>
                        </a:ln>
                        <a:effectLst/>
                      </wps:spPr>
                      <wps:txbx>
                        <w:txbxContent>
                          <w:p>
                            <w:pPr>
                              <w:ind w:firstLine="177"/>
                            </w:pPr>
                            <w:r>
                              <w:rPr>
                                <w:rFonts w:hint="eastAsia"/>
                              </w:rPr>
                              <w:t>图例</w:t>
                            </w:r>
                          </w:p>
                        </w:txbxContent>
                      </wps:txbx>
                      <wps:bodyPr rot="0" vert="horz" wrap="square" lIns="91440" tIns="45720" rIns="91440" bIns="45720" anchor="t" anchorCtr="0" upright="1">
                        <a:noAutofit/>
                      </wps:bodyPr>
                    </wps:wsp>
                  </a:graphicData>
                </a:graphic>
              </wp:anchor>
            </w:drawing>
          </mc:Choice>
          <mc:Fallback>
            <w:pict>
              <v:shape id="Text Box 418" o:spid="_x0000_s1026" o:spt="202" type="#_x0000_t202" style="position:absolute;left:0pt;margin-left:542.25pt;margin-top:261.75pt;height:25.5pt;width:48.75pt;z-index:251679744;mso-width-relative:page;mso-height-relative:page;" fillcolor="#FFFFFF" filled="t" stroked="f" coordsize="21600,21600" o:gfxdata="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npDU&#10;vNcAAAANAQAADwAAAAAAAAABACAAAAAiAAAAZHJzL2Rvd25yZXYueG1sUEsBAhQAFAAAAAgAh07i&#10;QAm8dSwjAgAATQQAAA4AAAAAAAAAAQAgAAAAJgEAAGRycy9lMm9Eb2MueG1sUEsFBgAAAAAGAAYA&#10;WQEAALsFAAAAAA==&#10;">
                <v:fill on="t" focussize="0,0"/>
                <v:stroke on="f"/>
                <v:imagedata o:title=""/>
                <o:lock v:ext="edit" aspectratio="f"/>
                <v:textbox>
                  <w:txbxContent>
                    <w:p>
                      <w:pPr>
                        <w:ind w:firstLine="177"/>
                      </w:pPr>
                      <w:r>
                        <w:rPr>
                          <w:rFonts w:hint="eastAsia"/>
                        </w:rPr>
                        <w:t>图例</w:t>
                      </w:r>
                    </w:p>
                  </w:txbxContent>
                </v:textbox>
              </v:shape>
            </w:pict>
          </mc:Fallback>
        </mc:AlternateContent>
      </w:r>
      <w:r>
        <w:rPr>
          <w:color w:val="000000" w:themeColor="text1"/>
          <w:lang w:val="en-US" w:bidi="ar-SA"/>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6381750</wp:posOffset>
                </wp:positionH>
                <wp:positionV relativeFrom="paragraph">
                  <wp:posOffset>3267075</wp:posOffset>
                </wp:positionV>
                <wp:extent cx="1647825" cy="1597025"/>
                <wp:effectExtent l="0" t="0" r="28575" b="22225"/>
                <wp:wrapNone/>
                <wp:docPr id="65" name="Rectangle 417"/>
                <wp:cNvGraphicFramePr/>
                <a:graphic xmlns:a="http://schemas.openxmlformats.org/drawingml/2006/main">
                  <a:graphicData uri="http://schemas.microsoft.com/office/word/2010/wordprocessingShape">
                    <wps:wsp>
                      <wps:cNvSpPr>
                        <a:spLocks noChangeArrowheads="1"/>
                      </wps:cNvSpPr>
                      <wps:spPr bwMode="auto">
                        <a:xfrm>
                          <a:off x="0" y="0"/>
                          <a:ext cx="1647825" cy="1597025"/>
                        </a:xfrm>
                        <a:prstGeom prst="rect">
                          <a:avLst/>
                        </a:prstGeom>
                        <a:solidFill>
                          <a:srgbClr val="FFFFFF"/>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rect id="Rectangle 417" o:spid="_x0000_s1026" o:spt="1" style="position:absolute;left:0pt;margin-left:502.5pt;margin-top:257.25pt;height:125.75pt;width:129.75pt;z-index:251678720;mso-width-relative:page;mso-height-relative:page;" fillcolor="#FFFFFF" filled="t" stroked="t" coordsize="21600,21600" o:gfxdata="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jx1oy2AAAAA0BAAAPAAAAAAAAAAEAIAAAACIAAABkcnMvZG93bnJldi54bWxQSwECFAAU&#10;AAAACACHTuJACO8YsCoCAACEBAAADgAAAAAAAAABACAAAAAnAQAAZHJzL2Uyb0RvYy54bWxQSwUG&#10;AAAAAAYABgBZAQAAwwUAAAAA&#10;">
                <v:fill on="t" focussize="0,0"/>
                <v:stroke color="#000000" miterlimit="8" joinstyle="miter"/>
                <v:imagedata o:title=""/>
                <o:lock v:ext="edit" aspectratio="f"/>
              </v:rect>
            </w:pict>
          </mc:Fallback>
        </mc:AlternateContent>
      </w:r>
      <w:r>
        <w:rPr>
          <w:color w:val="000000" w:themeColor="text1"/>
          <w:lang w:val="en-US" w:bidi="ar-SA"/>
          <w14:textFill>
            <w14:solidFill>
              <w14:schemeClr w14:val="tx1"/>
            </w14:solidFill>
          </w14:textFill>
        </w:rPr>
        <w:drawing>
          <wp:anchor distT="0" distB="0" distL="114300" distR="114300" simplePos="0" relativeHeight="251734016" behindDoc="0" locked="0" layoutInCell="1" allowOverlap="1">
            <wp:simplePos x="0" y="0"/>
            <wp:positionH relativeFrom="column">
              <wp:posOffset>1066165</wp:posOffset>
            </wp:positionH>
            <wp:positionV relativeFrom="paragraph">
              <wp:posOffset>104775</wp:posOffset>
            </wp:positionV>
            <wp:extent cx="934720" cy="876300"/>
            <wp:effectExtent l="0" t="0" r="0" b="0"/>
            <wp:wrapNone/>
            <wp:docPr id="3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pic:cNvPicPr>
                      <a:picLocks noChangeAspect="1"/>
                    </pic:cNvPicPr>
                  </pic:nvPicPr>
                  <pic:blipFill>
                    <a:blip r:embed="rId26"/>
                    <a:stretch>
                      <a:fillRect/>
                    </a:stretch>
                  </pic:blipFill>
                  <pic:spPr>
                    <a:xfrm>
                      <a:off x="0" y="0"/>
                      <a:ext cx="934720" cy="876300"/>
                    </a:xfrm>
                    <a:prstGeom prst="rect">
                      <a:avLst/>
                    </a:prstGeom>
                    <a:noFill/>
                    <a:ln>
                      <a:noFill/>
                    </a:ln>
                  </pic:spPr>
                </pic:pic>
              </a:graphicData>
            </a:graphic>
          </wp:anchor>
        </w:drawing>
      </w:r>
      <w:r>
        <w:rPr>
          <w:color w:val="000000" w:themeColor="text1"/>
          <w:lang w:val="en-US" w:bidi="ar-SA"/>
          <w14:textFill>
            <w14:solidFill>
              <w14:schemeClr w14:val="tx1"/>
            </w14:solidFill>
          </w14:textFill>
        </w:rPr>
        <w:drawing>
          <wp:inline distT="0" distB="0" distL="0" distR="0">
            <wp:extent cx="7240270" cy="487997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8"/>
                    <a:stretch>
                      <a:fillRect/>
                    </a:stretch>
                  </pic:blipFill>
                  <pic:spPr>
                    <a:xfrm>
                      <a:off x="0" y="0"/>
                      <a:ext cx="7252423" cy="4888196"/>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0" w:num="1"/>
          <w:docGrid w:type="linesAndChars" w:linePitch="326" w:charSpace="-551"/>
        </w:sectPr>
      </w:pPr>
      <w:r>
        <w:rPr>
          <w:rFonts w:ascii="Times New Roman" w:hAnsiTheme="minorEastAsia" w:eastAsiaTheme="minorEastAsia"/>
          <w:b/>
          <w:bCs/>
          <w:color w:val="000000" w:themeColor="text1"/>
          <w:szCs w:val="24"/>
          <w14:textFill>
            <w14:solidFill>
              <w14:schemeClr w14:val="tx1"/>
            </w14:solidFill>
          </w14:textFill>
        </w:rPr>
        <w:t>图2-4-1本项目敏感保护目标图</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项目主要运输路线为沿红兴隆大街及西兴路进入厂区，运输路线环境保护目标</w:t>
      </w:r>
      <w:r>
        <w:rPr>
          <w:rFonts w:ascii="Times New Roman" w:hAnsi="Times New Roman" w:cs="Times New Roman" w:eastAsiaTheme="minorEastAsia"/>
          <w:color w:val="000000" w:themeColor="text1"/>
          <w:sz w:val="24"/>
          <w:szCs w:val="24"/>
          <w:lang w:val="en-US"/>
          <w14:textFill>
            <w14:solidFill>
              <w14:schemeClr w14:val="tx1"/>
            </w14:solidFill>
          </w14:textFill>
        </w:rPr>
        <w:t>见表2-4-</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表2-4-</w:t>
      </w:r>
      <w:r>
        <w:rPr>
          <w:rFonts w:hint="eastAsia" w:ascii="Times New Roman" w:hAnsiTheme="minorEastAsia" w:eastAsiaTheme="minorEastAsia"/>
          <w:b/>
          <w:bCs/>
          <w:color w:val="000000" w:themeColor="text1"/>
          <w:szCs w:val="24"/>
          <w14:textFill>
            <w14:solidFill>
              <w14:schemeClr w14:val="tx1"/>
            </w14:solidFill>
          </w14:textFill>
        </w:rPr>
        <w:t>2  运输线路环境敏感目标一览表</w:t>
      </w:r>
    </w:p>
    <w:tbl>
      <w:tblPr>
        <w:tblStyle w:val="7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58"/>
        <w:gridCol w:w="1459"/>
        <w:gridCol w:w="1472"/>
        <w:gridCol w:w="1482"/>
        <w:gridCol w:w="1485"/>
        <w:gridCol w:w="18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6" w:hRule="atLeast"/>
        </w:trPr>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环境要素</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保护对象</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方位</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距离（m）</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受影响人数（人）</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声环境</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友谊嘉园</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西侧</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500</w:t>
            </w:r>
          </w:p>
        </w:tc>
        <w:tc>
          <w:tcPr>
            <w:tcW w:w="152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《声环境质量标准》</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(GB3096-2008)2 类区标准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第一中学</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北侧</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60</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200</w:t>
            </w:r>
          </w:p>
        </w:tc>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职业教育中心</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北侧</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150</w:t>
            </w:r>
          </w:p>
        </w:tc>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石河小区</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北侧</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350</w:t>
            </w:r>
          </w:p>
        </w:tc>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曙光之家小区</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南侧</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550</w:t>
            </w:r>
          </w:p>
        </w:tc>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隆福花园小区</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南侧、东侧</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550</w:t>
            </w:r>
          </w:p>
        </w:tc>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香槟水岸小区</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西侧</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100</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350</w:t>
            </w:r>
          </w:p>
        </w:tc>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环境空气</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友谊嘉园</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西侧</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500</w:t>
            </w:r>
          </w:p>
        </w:tc>
        <w:tc>
          <w:tcPr>
            <w:tcW w:w="152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《环境空气质量标准》（GB3095-2012）二级标准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第一中学</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北侧</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60</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200</w:t>
            </w:r>
          </w:p>
        </w:tc>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职业教育中心</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北侧</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150</w:t>
            </w:r>
          </w:p>
        </w:tc>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石河小区</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北侧</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350</w:t>
            </w:r>
          </w:p>
        </w:tc>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曙光之家小区</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南侧</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550</w:t>
            </w:r>
          </w:p>
        </w:tc>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隆福花园小区</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南侧、东侧</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550</w:t>
            </w:r>
          </w:p>
        </w:tc>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香槟水岸小区</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西侧</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100</w:t>
            </w:r>
          </w:p>
        </w:tc>
        <w:tc>
          <w:tcPr>
            <w:tcW w:w="15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350</w:t>
            </w:r>
          </w:p>
        </w:tc>
        <w:tc>
          <w:tcPr>
            <w:tcW w:w="15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bl>
    <w:p>
      <w:pPr>
        <w:pStyle w:val="90"/>
        <w:ind w:firstLine="210"/>
        <w:rPr>
          <w:color w:val="000000" w:themeColor="text1"/>
          <w14:textFill>
            <w14:solidFill>
              <w14:schemeClr w14:val="tx1"/>
            </w14:solidFill>
          </w14:textFill>
        </w:rPr>
      </w:pPr>
    </w:p>
    <w:p>
      <w:pPr>
        <w:ind w:firstLine="18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35040" behindDoc="0" locked="0" layoutInCell="1" allowOverlap="1">
            <wp:simplePos x="0" y="0"/>
            <wp:positionH relativeFrom="column">
              <wp:posOffset>243205</wp:posOffset>
            </wp:positionH>
            <wp:positionV relativeFrom="paragraph">
              <wp:posOffset>57785</wp:posOffset>
            </wp:positionV>
            <wp:extent cx="934720" cy="876300"/>
            <wp:effectExtent l="0" t="0" r="0" b="0"/>
            <wp:wrapNone/>
            <wp:docPr id="5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2"/>
                    <pic:cNvPicPr>
                      <a:picLocks noChangeAspect="1"/>
                    </pic:cNvPicPr>
                  </pic:nvPicPr>
                  <pic:blipFill>
                    <a:blip r:embed="rId26"/>
                    <a:stretch>
                      <a:fillRect/>
                    </a:stretch>
                  </pic:blipFill>
                  <pic:spPr>
                    <a:xfrm>
                      <a:off x="0" y="0"/>
                      <a:ext cx="934720" cy="876300"/>
                    </a:xfrm>
                    <a:prstGeom prst="rect">
                      <a:avLst/>
                    </a:prstGeom>
                    <a:noFill/>
                    <a:ln>
                      <a:noFill/>
                    </a:ln>
                  </pic:spPr>
                </pic:pic>
              </a:graphicData>
            </a:graphic>
          </wp:anchor>
        </w:drawing>
      </w:r>
      <w:r>
        <w:rPr>
          <w:color w:val="000000" w:themeColor="text1"/>
          <w:lang w:val="en-US" w:bidi="ar-SA"/>
          <w14:textFill>
            <w14:solidFill>
              <w14:schemeClr w14:val="tx1"/>
            </w14:solidFill>
          </w14:textFill>
        </w:rPr>
        <w:drawing>
          <wp:anchor distT="0" distB="0" distL="114300" distR="114300" simplePos="0" relativeHeight="251725824" behindDoc="0" locked="0" layoutInCell="1" allowOverlap="1">
            <wp:simplePos x="0" y="0"/>
            <wp:positionH relativeFrom="column">
              <wp:posOffset>4264660</wp:posOffset>
            </wp:positionH>
            <wp:positionV relativeFrom="paragraph">
              <wp:posOffset>3058160</wp:posOffset>
            </wp:positionV>
            <wp:extent cx="1148715" cy="771525"/>
            <wp:effectExtent l="0" t="0" r="0" b="9525"/>
            <wp:wrapNone/>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1148715" cy="771525"/>
                    </a:xfrm>
                    <a:prstGeom prst="rect">
                      <a:avLst/>
                    </a:prstGeom>
                  </pic:spPr>
                </pic:pic>
              </a:graphicData>
            </a:graphic>
          </wp:anchor>
        </w:drawing>
      </w:r>
      <w:r>
        <w:rPr>
          <w:color w:val="000000" w:themeColor="text1"/>
          <w:lang w:val="en-US" w:bidi="ar-SA"/>
          <w14:textFill>
            <w14:solidFill>
              <w14:schemeClr w14:val="tx1"/>
            </w14:solidFill>
          </w14:textFill>
        </w:rPr>
        <w:drawing>
          <wp:inline distT="0" distB="0" distL="0" distR="0">
            <wp:extent cx="5486400" cy="3963035"/>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30"/>
                    <a:stretch>
                      <a:fillRect/>
                    </a:stretch>
                  </pic:blipFill>
                  <pic:spPr>
                    <a:xfrm>
                      <a:off x="0" y="0"/>
                      <a:ext cx="5486400" cy="3963035"/>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2-4-</w:t>
      </w:r>
      <w:r>
        <w:rPr>
          <w:rFonts w:hint="eastAsia" w:ascii="Times New Roman" w:hAnsiTheme="minorEastAsia" w:eastAsiaTheme="minorEastAsia"/>
          <w:b/>
          <w:bCs/>
          <w:color w:val="000000" w:themeColor="text1"/>
          <w:szCs w:val="24"/>
          <w14:textFill>
            <w14:solidFill>
              <w14:schemeClr w14:val="tx1"/>
            </w14:solidFill>
          </w14:textFill>
        </w:rPr>
        <w:t>2  运输线路环境敏感目标分布图</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sectPr>
          <w:headerReference r:id="rId10" w:type="default"/>
          <w:pgSz w:w="11906" w:h="16838"/>
          <w:pgMar w:top="1814" w:right="1474" w:bottom="1814" w:left="1474" w:header="1418" w:footer="1418" w:gutter="0"/>
          <w:pgBorders>
            <w:top w:val="none" w:sz="0" w:space="0"/>
            <w:left w:val="none" w:sz="0" w:space="0"/>
            <w:bottom w:val="none" w:sz="0" w:space="0"/>
            <w:right w:val="none" w:sz="0" w:space="0"/>
          </w:pgBorders>
          <w:cols w:space="720" w:num="1"/>
          <w:docGrid w:linePitch="312" w:charSpace="0"/>
        </w:sectPr>
      </w:pPr>
    </w:p>
    <w:p>
      <w:pPr>
        <w:pStyle w:val="3"/>
        <w:ind w:firstLine="878"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75" w:name="_Toc162605166"/>
      <w:r>
        <w:rPr>
          <w:rFonts w:ascii="Times New Roman" w:hAnsi="Times New Roman" w:eastAsia="新宋体" w:cstheme="minorBidi"/>
          <w:color w:val="000000" w:themeColor="text1"/>
          <w:szCs w:val="24"/>
          <w:lang w:val="en-US" w:bidi="ar-SA"/>
          <w14:textFill>
            <w14:solidFill>
              <w14:schemeClr w14:val="tx1"/>
            </w14:solidFill>
          </w14:textFill>
        </w:rPr>
        <w:t>3建设项目工程分析</w:t>
      </w:r>
      <w:bookmarkEnd w:id="75"/>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76" w:name="_Toc162605167"/>
      <w:bookmarkStart w:id="77" w:name="_Toc532974705"/>
      <w:bookmarkStart w:id="78" w:name="_Toc534545006"/>
      <w:r>
        <w:rPr>
          <w:rFonts w:ascii="Times New Roman" w:hAnsi="Times New Roman" w:cs="Times New Roman" w:eastAsiaTheme="minorEastAsia"/>
          <w:color w:val="000000" w:themeColor="text1"/>
          <w:szCs w:val="24"/>
          <w:lang w:val="en-US" w:bidi="ar-SA"/>
          <w14:textFill>
            <w14:solidFill>
              <w14:schemeClr w14:val="tx1"/>
            </w14:solidFill>
          </w14:textFill>
        </w:rPr>
        <w:t>3.1原有工程概况</w:t>
      </w:r>
      <w:bookmarkEnd w:id="76"/>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79" w:name="_Toc19219"/>
      <w:r>
        <w:rPr>
          <w:rFonts w:ascii="Times New Roman" w:hAnsi="Times New Roman" w:eastAsia="新宋体" w:cstheme="minorBidi"/>
          <w:color w:val="000000" w:themeColor="text1"/>
          <w:szCs w:val="24"/>
          <w:lang w:val="en-US" w:bidi="ar-SA"/>
          <w14:textFill>
            <w14:solidFill>
              <w14:schemeClr w14:val="tx1"/>
            </w14:solidFill>
          </w14:textFill>
        </w:rPr>
        <w:t>3.1.1原有项目</w:t>
      </w:r>
      <w:r>
        <w:rPr>
          <w:rFonts w:hint="eastAsia" w:ascii="Times New Roman" w:hAnsi="Times New Roman" w:eastAsia="新宋体" w:cstheme="minorBidi"/>
          <w:color w:val="000000" w:themeColor="text1"/>
          <w:szCs w:val="24"/>
          <w:lang w:val="en-US" w:bidi="ar-SA"/>
          <w14:textFill>
            <w14:solidFill>
              <w14:schemeClr w14:val="tx1"/>
            </w14:solidFill>
          </w14:textFill>
        </w:rPr>
        <w:t>概况及</w:t>
      </w:r>
      <w:r>
        <w:rPr>
          <w:rFonts w:ascii="Times New Roman" w:hAnsi="Times New Roman" w:eastAsia="新宋体" w:cstheme="minorBidi"/>
          <w:color w:val="000000" w:themeColor="text1"/>
          <w:szCs w:val="24"/>
          <w:lang w:val="en-US" w:bidi="ar-SA"/>
          <w14:textFill>
            <w14:solidFill>
              <w14:schemeClr w14:val="tx1"/>
            </w14:solidFill>
          </w14:textFill>
        </w:rPr>
        <w:t>环保手续履行情况</w:t>
      </w:r>
      <w:bookmarkEnd w:id="79"/>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2011年黑龙江省农垦总局红兴隆管理局在管理局局直南侧建设局直集中供热站项目，建设2台70MW燃煤热水锅炉，包含热力站14座。锅炉烟气采用湿式氧化镁法脱硫、干式+湿式除尘器、低氮燃烧于2011年10月26日取得原黑龙江省环境保护厅垦区环境保护局批复文件《关于黑龙江省农垦总局红兴隆管理局供暖工程环境影响报告书审批意见的复函》（黑垦环函[2011]40号）。于2013年3月编制《黑龙江省农垦红兴隆管理局局直集中供热站项目建设项目竣工环境保护验收检测报告》，并通过原黑龙江省环境保护厅垦区环境保护局验收。已取得排污许可证，排污许可证编号为：91233002592739887W001R，按照要求执行排污许可台账及例行监测执行报告。建设单位已完成突发环境事件应急预案备案，于2020年4月26日由双鸭山市生态环境局红兴隆分局予以备案，备案编号为：230507-2020-001-L。</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2022年，中央环保督查要求对现有锅炉实行超低排放改造。黑龙江农泉兴隆热力有限公司对现有2台70MW热水锅炉脱硫设备进行改造，同时将现有除尘设备更换为两台布袋式除尘。①脱硫设备改造，脱硫塔主体改造；扩建脱硫设备用房，扩建面积100.27平方米。改造后脱硫设备仍采用湿式氧化镁法脱硫。②拆除原有除尘设备，新安装2台布袋式除尘器及配套设施，包括除尘系统管道及附属设施。于2022年11月4日，进行红兴隆分公司局直地区供热改造工程环境影响备案登记，备案号为</w:t>
      </w:r>
      <w:r>
        <w:rPr>
          <w:rFonts w:ascii="Times New Roman" w:hAnsi="Times New Roman" w:cs="Times New Roman" w:eastAsiaTheme="minorEastAsia"/>
          <w:color w:val="000000" w:themeColor="text1"/>
          <w:sz w:val="24"/>
          <w:szCs w:val="24"/>
          <w:lang w:val="en-US"/>
          <w14:textFill>
            <w14:solidFill>
              <w14:schemeClr w14:val="tx1"/>
            </w14:solidFill>
          </w14:textFill>
        </w:rPr>
        <w:t>20222399000300000004</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。目前，除尘及脱硫设施改造已经完成，并于2023年供热期运行。</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80" w:name="_Toc27351"/>
      <w:r>
        <w:rPr>
          <w:rFonts w:ascii="Times New Roman" w:hAnsi="Times New Roman" w:eastAsia="新宋体" w:cstheme="minorBidi"/>
          <w:color w:val="000000" w:themeColor="text1"/>
          <w:szCs w:val="24"/>
          <w:lang w:val="en-US" w:bidi="ar-SA"/>
          <w14:textFill>
            <w14:solidFill>
              <w14:schemeClr w14:val="tx1"/>
            </w14:solidFill>
          </w14:textFill>
        </w:rPr>
        <w:t>3.1.</w:t>
      </w:r>
      <w:r>
        <w:rPr>
          <w:rFonts w:hint="eastAsia" w:ascii="Times New Roman" w:hAnsi="Times New Roman" w:eastAsia="新宋体" w:cstheme="minorBidi"/>
          <w:color w:val="000000" w:themeColor="text1"/>
          <w:szCs w:val="24"/>
          <w:lang w:val="en-US" w:bidi="ar-SA"/>
          <w14:textFill>
            <w14:solidFill>
              <w14:schemeClr w14:val="tx1"/>
            </w14:solidFill>
          </w14:textFill>
        </w:rPr>
        <w:t>2</w:t>
      </w:r>
      <w:r>
        <w:rPr>
          <w:rFonts w:ascii="Times New Roman" w:hAnsi="Times New Roman" w:eastAsia="新宋体" w:cstheme="minorBidi"/>
          <w:color w:val="000000" w:themeColor="text1"/>
          <w:szCs w:val="24"/>
          <w:lang w:val="en-US" w:bidi="ar-SA"/>
          <w14:textFill>
            <w14:solidFill>
              <w14:schemeClr w14:val="tx1"/>
            </w14:solidFill>
          </w14:textFill>
        </w:rPr>
        <w:t>原有工程项目组成</w:t>
      </w:r>
      <w:bookmarkEnd w:id="80"/>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原有工程由</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2台70MW燃煤热水锅炉</w:t>
      </w:r>
      <w:r>
        <w:rPr>
          <w:rFonts w:ascii="Times New Roman" w:hAnsi="Times New Roman" w:cs="Times New Roman" w:eastAsiaTheme="minorEastAsia"/>
          <w:color w:val="000000" w:themeColor="text1"/>
          <w:sz w:val="24"/>
          <w:szCs w:val="24"/>
          <w:lang w:val="en-US"/>
          <w14:textFill>
            <w14:solidFill>
              <w14:schemeClr w14:val="tx1"/>
            </w14:solidFill>
          </w14:textFill>
        </w:rPr>
        <w:t>、上煤系统、除灰渣系统组成；公用工程主要是给排水、供电、供热；环保工程为锅炉烟气处理、烟囱，噪声降噪，固废处置及在线监测系统组成；依托工程：项目生活污水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排入</w:t>
      </w:r>
      <w:r>
        <w:rPr>
          <w:rFonts w:ascii="Times New Roman" w:hAnsi="Times New Roman" w:cs="Times New Roman" w:eastAsiaTheme="minorEastAsia"/>
          <w:color w:val="000000" w:themeColor="text1"/>
          <w:sz w:val="24"/>
          <w:szCs w:val="24"/>
          <w:lang w:val="en-US"/>
          <w14:textFill>
            <w14:solidFill>
              <w14:schemeClr w14:val="tx1"/>
            </w14:solidFill>
          </w14:textFill>
        </w:rPr>
        <w:t>防渗化粪池</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，定期清运至黑龙江红兴隆农垦清洁污水处理有限公司（集中污水处理厂）进行处理。</w:t>
      </w:r>
      <w:r>
        <w:rPr>
          <w:rFonts w:ascii="Times New Roman" w:hAnsi="Times New Roman" w:cs="Times New Roman" w:eastAsiaTheme="minorEastAsia"/>
          <w:color w:val="000000" w:themeColor="text1"/>
          <w:sz w:val="24"/>
          <w:szCs w:val="24"/>
          <w:lang w:val="en-US"/>
          <w14:textFill>
            <w14:solidFill>
              <w14:schemeClr w14:val="tx1"/>
            </w14:solidFill>
          </w14:textFill>
        </w:rPr>
        <w:t>工程组成一览表见表3-1-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表3-1-</w:t>
      </w:r>
      <w:r>
        <w:rPr>
          <w:rFonts w:hint="eastAsia" w:ascii="Times New Roman" w:hAnsiTheme="minorEastAsia" w:eastAsiaTheme="minorEastAsia"/>
          <w:b/>
          <w:bCs/>
          <w:color w:val="000000" w:themeColor="text1"/>
          <w:szCs w:val="24"/>
          <w14:textFill>
            <w14:solidFill>
              <w14:schemeClr w14:val="tx1"/>
            </w14:solidFill>
          </w14:textFill>
        </w:rPr>
        <w:t>1</w:t>
      </w:r>
      <w:r>
        <w:rPr>
          <w:rFonts w:ascii="Times New Roman" w:hAnsiTheme="minorEastAsia" w:eastAsiaTheme="minorEastAsia"/>
          <w:b/>
          <w:bCs/>
          <w:color w:val="000000" w:themeColor="text1"/>
          <w:szCs w:val="24"/>
          <w14:textFill>
            <w14:solidFill>
              <w14:schemeClr w14:val="tx1"/>
            </w14:solidFill>
          </w14:textFill>
        </w:rPr>
        <w:t>原有工程项目组成一览表</w:t>
      </w:r>
    </w:p>
    <w:tbl>
      <w:tblPr>
        <w:tblStyle w:val="7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4"/>
        <w:gridCol w:w="855"/>
        <w:gridCol w:w="1440"/>
        <w:gridCol w:w="4664"/>
        <w:gridCol w:w="14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exact"/>
          <w:tblHeader/>
        </w:trPr>
        <w:tc>
          <w:tcPr>
            <w:tcW w:w="1689"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项目组成</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建设内容及规模</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3" w:hRule="exact"/>
        </w:trPr>
        <w:tc>
          <w:tcPr>
            <w:tcW w:w="43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锅炉工程</w:t>
            </w:r>
          </w:p>
        </w:tc>
        <w:tc>
          <w:tcPr>
            <w:tcW w:w="46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主体工程</w:t>
            </w: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原有锅炉房内建有</w:t>
            </w:r>
            <w:r>
              <w:rPr>
                <w:rFonts w:hint="eastAsia" w:ascii="Times New Roman" w:eastAsiaTheme="minorEastAsia"/>
                <w:color w:val="000000" w:themeColor="text1"/>
                <w:sz w:val="21"/>
                <w:szCs w:val="21"/>
                <w14:textFill>
                  <w14:solidFill>
                    <w14:schemeClr w14:val="tx1"/>
                  </w14:solidFill>
                </w14:textFill>
              </w:rPr>
              <w:t>2台70MW燃煤热水锅炉。</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8" w:hRule="exac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热力管网工程</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敷设供暖一次管网 6431m，最大干管直径 ND800。供暖管道一路从热源厂出来沿西兴路、工厂南街向西至西部供热区域南端，主干线最大管径为630×8，沿途设一座换热站。供暖管道另一路从热源厂沿西兴路、第二小学北门待建道路、工商南路、工商北路、学府路、中兴路至建设路，，沿途设13座换热站。</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43" w:hRule="exac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换热站工程</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包含热力站14 座，热力站最大容量11MW。换热站分ABC三类建筑：A型换热站8座每座建筑面积170m</w:t>
            </w:r>
            <w:r>
              <w:rPr>
                <w:rFonts w:hint="eastAsia" w:ascii="Times New Roman" w:eastAsiaTheme="minorEastAsia"/>
                <w:color w:val="000000" w:themeColor="text1"/>
                <w:sz w:val="21"/>
                <w:szCs w:val="21"/>
                <w:vertAlign w:val="superscript"/>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，B型换热站1座，建筑面积185 m</w:t>
            </w:r>
            <w:r>
              <w:rPr>
                <w:rFonts w:hint="eastAsia" w:ascii="Times New Roman" w:eastAsiaTheme="minorEastAsia"/>
                <w:color w:val="000000" w:themeColor="text1"/>
                <w:sz w:val="21"/>
                <w:szCs w:val="21"/>
                <w:vertAlign w:val="superscript"/>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，C 型换热站3座，每座建筑面积215 m</w:t>
            </w:r>
            <w:r>
              <w:rPr>
                <w:rFonts w:hint="eastAsia" w:ascii="Times New Roman" w:eastAsiaTheme="minorEastAsia"/>
                <w:color w:val="000000" w:themeColor="text1"/>
                <w:sz w:val="21"/>
                <w:szCs w:val="21"/>
                <w:vertAlign w:val="superscript"/>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6" w:hRule="exac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上煤系统</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厂内运输，从煤场到锅炉房运煤采用单斗装载机、碎煤机、大倾角皮带输送机、平皮带输送机等设备，运煤能力200t/h。</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13" w:hRule="exac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除灰渣系统</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除渣系统拟采用重型链条除渣机除渣，炉渣由落渣口落入除渣机，由除渣机将渣送入贮渣斗暂存，再由自卸汽车运到综合利用加工厂，渣量：39052.8t/a。采用布袋除尘器，除尘后进入脱硫塔，去除烟气中二氧化硫，灰渣运至半封闭灰渣场暂存，定期同渣一些运到综合利用加工厂，灰量:17064。本项目年产灰渣量56116.8t/a。</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0" w:hRule="exac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辅助工程</w:t>
            </w: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药剂存储</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本项目脱硫剂（氧化镁）存放间位于原有锅炉房内，厂区中部位置，用于存储脱硫剂。</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51" w:hRule="exac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燃料储存</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储煤场位于厂内南侧，为半封闭式储煤场，占地面积36000m</w:t>
            </w:r>
            <w:r>
              <w:rPr>
                <w:rFonts w:ascii="Times New Roman" w:eastAsiaTheme="minorEastAsia"/>
                <w:color w:val="000000" w:themeColor="text1"/>
                <w:sz w:val="21"/>
                <w:szCs w:val="21"/>
                <w:vertAlign w:val="superscript"/>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，堆煤高度4m，可储煤50000吨。</w:t>
            </w:r>
            <w:r>
              <w:rPr>
                <w:rFonts w:hint="eastAsia" w:ascii="Times New Roman" w:eastAsiaTheme="minorEastAsia"/>
                <w:color w:val="000000" w:themeColor="text1"/>
                <w:sz w:val="21"/>
                <w:szCs w:val="21"/>
                <w14:textFill>
                  <w14:solidFill>
                    <w14:schemeClr w14:val="tx1"/>
                  </w14:solidFill>
                </w14:textFill>
              </w:rPr>
              <w:t>在储煤场四周设置防风抑尘网（长度550m，高度10m）并才用苫布遮盖，定期洒水增湿降尘</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3" w:hRule="exac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软化水处理系统</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热源厂供水为管局局直自来水厂，来水已经过除铁、除锰等预处理，热源厂无需再进行除铁、除等预处理，热网补充水处理采用全自动软化水器，对原进行软化处理，热网补水量为40t/h。</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灰渣场</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位于现有锅炉房东侧，占地面积为21000m</w:t>
            </w:r>
            <w:r>
              <w:rPr>
                <w:rFonts w:hint="eastAsia" w:ascii="Times New Roman" w:eastAsiaTheme="minorEastAsia"/>
                <w:color w:val="000000" w:themeColor="text1"/>
                <w:sz w:val="21"/>
                <w:szCs w:val="21"/>
                <w:vertAlign w:val="superscript"/>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，可存储灰渣量约为20000t，为半封闭结构。在储煤场四周设置防风抑尘网（长度400m，高度10m）并才用苫布遮盖，定期洒水增湿降尘</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点火方式</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本项目厂内不设柴油罐，仅点火时由罐车运输至厂区进行点火作业（油罐车→油过滤器→供油泵→锅炉）。根据当地的气象条件，锅炉点火助燃油采用轻柴油，冬季采用-10或-20号轻柴油。</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危废贮存库</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位于厂区原有锅炉房东侧，面积</w:t>
            </w:r>
            <w:r>
              <w:rPr>
                <w:rFonts w:hint="eastAsia" w:ascii="Times New Roman" w:eastAsiaTheme="minorEastAsia"/>
                <w:color w:val="000000" w:themeColor="text1"/>
                <w:sz w:val="21"/>
                <w:szCs w:val="21"/>
                <w14:textFill>
                  <w14:solidFill>
                    <w14:schemeClr w14:val="tx1"/>
                  </w14:solidFill>
                </w14:textFill>
              </w:rPr>
              <w:t>50</w:t>
            </w:r>
            <w:r>
              <w:rPr>
                <w:rFonts w:ascii="Times New Roman" w:eastAsiaTheme="minorEastAsia"/>
                <w:color w:val="000000" w:themeColor="text1"/>
                <w:sz w:val="21"/>
                <w:szCs w:val="21"/>
                <w14:textFill>
                  <w14:solidFill>
                    <w14:schemeClr w14:val="tx1"/>
                  </w14:solidFill>
                </w14:textFill>
              </w:rPr>
              <w:t>m</w:t>
            </w:r>
            <w:r>
              <w:rPr>
                <w:rFonts w:ascii="Times New Roman" w:eastAsiaTheme="minorEastAsia"/>
                <w:color w:val="000000" w:themeColor="text1"/>
                <w:sz w:val="21"/>
                <w:szCs w:val="21"/>
                <w:vertAlign w:val="superscript"/>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。危废贮存库采取严格的防渗措施，防渗层为水泥地面硬化，上铺设2mm厚高密度聚乙烯，渗透系数≤10</w:t>
            </w:r>
            <w:r>
              <w:rPr>
                <w:rFonts w:ascii="Times New Roman" w:eastAsiaTheme="minorEastAsia"/>
                <w:color w:val="000000" w:themeColor="text1"/>
                <w:sz w:val="21"/>
                <w:szCs w:val="21"/>
                <w:vertAlign w:val="superscript"/>
                <w14:textFill>
                  <w14:solidFill>
                    <w14:schemeClr w14:val="tx1"/>
                  </w14:solidFill>
                </w14:textFill>
              </w:rPr>
              <w:t>-10</w:t>
            </w:r>
            <w:r>
              <w:rPr>
                <w:rFonts w:ascii="Times New Roman" w:eastAsiaTheme="minorEastAsia"/>
                <w:color w:val="000000" w:themeColor="text1"/>
                <w:sz w:val="21"/>
                <w:szCs w:val="21"/>
                <w14:textFill>
                  <w14:solidFill>
                    <w14:schemeClr w14:val="tx1"/>
                  </w14:solidFill>
                </w14:textFill>
              </w:rPr>
              <w:t>cm/s；符合《危险废物贮存污染控制标准》（GB18597-20</w:t>
            </w:r>
            <w:r>
              <w:rPr>
                <w:rFonts w:hint="eastAsia" w:ascii="Times New Roman" w:eastAsiaTheme="minorEastAsia"/>
                <w:color w:val="000000" w:themeColor="text1"/>
                <w:sz w:val="21"/>
                <w:szCs w:val="21"/>
                <w14:textFill>
                  <w14:solidFill>
                    <w14:schemeClr w14:val="tx1"/>
                  </w14:solidFill>
                </w14:textFill>
              </w:rPr>
              <w:t>23</w:t>
            </w:r>
            <w:r>
              <w:rPr>
                <w:rFonts w:ascii="Times New Roman" w:eastAsiaTheme="minorEastAsia"/>
                <w:color w:val="000000" w:themeColor="text1"/>
                <w:sz w:val="21"/>
                <w:szCs w:val="21"/>
                <w14:textFill>
                  <w14:solidFill>
                    <w14:schemeClr w14:val="tx1"/>
                  </w14:solidFill>
                </w14:textFill>
              </w:rPr>
              <w:t>）要求</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公用工程</w:t>
            </w: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给水系统</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生产、生活用水以市政管网供水为水源，需水量为1446.85t/d；水源来水直接供生产使用，热源厂水源由北部局直自来水厂专线引入一DN200给水干管，输送能力200m</w:t>
            </w:r>
            <w:r>
              <w:rPr>
                <w:rFonts w:hint="eastAsia" w:ascii="Times New Roman" w:eastAsiaTheme="minorEastAsia"/>
                <w:color w:val="000000" w:themeColor="text1"/>
                <w:sz w:val="21"/>
                <w:szCs w:val="21"/>
                <w:vertAlign w:val="superscript"/>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/h。</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排水系统</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生活污水</w:t>
            </w:r>
            <w:r>
              <w:rPr>
                <w:rFonts w:hint="eastAsia" w:ascii="Times New Roman" w:eastAsiaTheme="minorEastAsia"/>
                <w:color w:val="000000" w:themeColor="text1"/>
                <w:sz w:val="21"/>
                <w:szCs w:val="21"/>
                <w14:textFill>
                  <w14:solidFill>
                    <w14:schemeClr w14:val="tx1"/>
                  </w14:solidFill>
                </w14:textFill>
              </w:rPr>
              <w:t>排入</w:t>
            </w:r>
            <w:r>
              <w:rPr>
                <w:rFonts w:ascii="Times New Roman" w:eastAsiaTheme="minorEastAsia"/>
                <w:color w:val="000000" w:themeColor="text1"/>
                <w:sz w:val="21"/>
                <w:szCs w:val="21"/>
                <w14:textFill>
                  <w14:solidFill>
                    <w14:schemeClr w14:val="tx1"/>
                  </w14:solidFill>
                </w14:textFill>
              </w:rPr>
              <w:t>防渗化粪池</w:t>
            </w:r>
            <w:r>
              <w:rPr>
                <w:rFonts w:hint="eastAsia" w:ascii="Times New Roman" w:eastAsiaTheme="minorEastAsia"/>
                <w:color w:val="000000" w:themeColor="text1"/>
                <w:sz w:val="21"/>
                <w:szCs w:val="21"/>
                <w14:textFill>
                  <w14:solidFill>
                    <w14:schemeClr w14:val="tx1"/>
                  </w14:solidFill>
                </w14:textFill>
              </w:rPr>
              <w:t>，定期清运至黑龙江红兴隆农垦清洁污水处理有限公司（集中污水处理厂）进行处理。</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工业废水主要为锅炉冷却废水、酸碱废水、锅炉排污废水。锅炉排污废水69.65t/d，化学处理废水和冷却废水28.35t/d，全部用于煤场降尘、车间冲洗和除灰冲渣本工程的生产废水不外排</w:t>
            </w:r>
            <w:r>
              <w:rPr>
                <w:rFonts w:ascii="Times New Roman" w:eastAsiaTheme="minorEastAsia"/>
                <w:color w:val="000000" w:themeColor="text1"/>
                <w:sz w:val="21"/>
                <w:szCs w:val="21"/>
                <w14:textFill>
                  <w14:solidFill>
                    <w14:schemeClr w14:val="tx1"/>
                  </w14:solidFill>
                </w14:textFill>
              </w:rPr>
              <w:t>。</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exac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供热工程</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本项目冬季取暖由厂区内锅炉房提供。</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exac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供电工程</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由市政供电网提供。</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2" w:hRule="exac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环保工程</w:t>
            </w:r>
          </w:p>
        </w:tc>
        <w:tc>
          <w:tcPr>
            <w:tcW w:w="785"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烟气处理</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原有除尘工艺为干式+湿式除尘器，去除效率约为90%</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于2022年进行改造，</w:t>
            </w:r>
            <w:r>
              <w:rPr>
                <w:rFonts w:ascii="Times New Roman" w:eastAsiaTheme="minorEastAsia"/>
                <w:color w:val="000000" w:themeColor="text1"/>
                <w:sz w:val="21"/>
                <w:szCs w:val="21"/>
                <w14:textFill>
                  <w14:solidFill>
                    <w14:schemeClr w14:val="tx1"/>
                  </w14:solidFill>
                </w14:textFill>
              </w:rPr>
              <w:t>安装布袋除尘设备，除尘效率不低于99.</w:t>
            </w:r>
            <w:r>
              <w:rPr>
                <w:rFonts w:hint="eastAsia" w:ascii="Times New Roman" w:eastAsiaTheme="minorEastAsia"/>
                <w:color w:val="000000" w:themeColor="text1"/>
                <w:sz w:val="21"/>
                <w:szCs w:val="21"/>
                <w14:textFill>
                  <w14:solidFill>
                    <w14:schemeClr w14:val="tx1"/>
                  </w14:solidFill>
                </w14:textFill>
              </w:rPr>
              <w:t>9</w:t>
            </w:r>
            <w:r>
              <w:rPr>
                <w:rFonts w:ascii="Times New Roman" w:eastAsiaTheme="minorEastAsia"/>
                <w:color w:val="000000" w:themeColor="text1"/>
                <w:sz w:val="21"/>
                <w:szCs w:val="21"/>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63" w:hRule="exac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原有脱硫工艺为</w:t>
            </w:r>
            <w:r>
              <w:rPr>
                <w:rFonts w:ascii="Times New Roman" w:eastAsiaTheme="minorEastAsia"/>
                <w:color w:val="000000" w:themeColor="text1"/>
                <w:sz w:val="21"/>
                <w:szCs w:val="21"/>
                <w14:textFill>
                  <w14:solidFill>
                    <w14:schemeClr w14:val="tx1"/>
                  </w14:solidFill>
                </w14:textFill>
              </w:rPr>
              <w:t>湿式镁法脱硫</w:t>
            </w:r>
            <w:r>
              <w:rPr>
                <w:rFonts w:hint="eastAsia" w:ascii="Times New Roman" w:eastAsiaTheme="minorEastAsia"/>
                <w:color w:val="000000" w:themeColor="text1"/>
                <w:sz w:val="21"/>
                <w:szCs w:val="21"/>
                <w14:textFill>
                  <w14:solidFill>
                    <w14:schemeClr w14:val="tx1"/>
                  </w14:solidFill>
                </w14:textFill>
              </w:rPr>
              <w:t>，但设备老旧，去除效率约为60%</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于2022年进行改造，更换脱硫设备，</w:t>
            </w:r>
            <w:r>
              <w:rPr>
                <w:rFonts w:ascii="Times New Roman" w:eastAsiaTheme="minorEastAsia"/>
                <w:color w:val="000000" w:themeColor="text1"/>
                <w:sz w:val="21"/>
                <w:szCs w:val="21"/>
                <w14:textFill>
                  <w14:solidFill>
                    <w14:schemeClr w14:val="tx1"/>
                  </w14:solidFill>
                </w14:textFill>
              </w:rPr>
              <w:t>配备湿式镁法脱硫塔除尘脱硫系统，脱硫效率不低于</w:t>
            </w:r>
            <w:r>
              <w:rPr>
                <w:rFonts w:hint="eastAsia" w:ascii="Times New Roman" w:eastAsiaTheme="minorEastAsia"/>
                <w:color w:val="000000" w:themeColor="text1"/>
                <w:sz w:val="21"/>
                <w:szCs w:val="21"/>
                <w14:textFill>
                  <w14:solidFill>
                    <w14:schemeClr w14:val="tx1"/>
                  </w14:solidFill>
                </w14:textFill>
              </w:rPr>
              <w:t>95</w:t>
            </w: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0" w:hRule="exac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采用低氮燃烧技术</w:t>
            </w:r>
            <w:r>
              <w:rPr>
                <w:rFonts w:ascii="Times New Roman" w:eastAsiaTheme="minorEastAsia"/>
                <w:color w:val="000000" w:themeColor="text1"/>
                <w:sz w:val="21"/>
                <w:szCs w:val="21"/>
                <w14:textFill>
                  <w14:solidFill>
                    <w14:schemeClr w14:val="tx1"/>
                  </w14:solidFill>
                </w14:textFill>
              </w:rPr>
              <w:t>，脱硝效率</w:t>
            </w:r>
            <w:r>
              <w:rPr>
                <w:rFonts w:hint="eastAsia" w:ascii="Times New Roman" w:eastAsiaTheme="minorEastAsia"/>
                <w:color w:val="000000" w:themeColor="text1"/>
                <w:sz w:val="21"/>
                <w:szCs w:val="21"/>
                <w14:textFill>
                  <w14:solidFill>
                    <w14:schemeClr w14:val="tx1"/>
                  </w14:solidFill>
                </w14:textFill>
              </w:rPr>
              <w:t>约为30</w:t>
            </w:r>
            <w:r>
              <w:rPr>
                <w:rFonts w:ascii="Times New Roman" w:eastAsiaTheme="minorEastAsia"/>
                <w:color w:val="000000" w:themeColor="text1"/>
                <w:sz w:val="21"/>
                <w:szCs w:val="21"/>
                <w14:textFill>
                  <w14:solidFill>
                    <w14:schemeClr w14:val="tx1"/>
                  </w14:solidFill>
                </w14:textFill>
              </w:rPr>
              <w:t>%</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原有燃煤热水锅炉处理后的烟气通过高</w:t>
            </w:r>
            <w:r>
              <w:rPr>
                <w:rFonts w:hint="eastAsia" w:ascii="Times New Roman" w:eastAsiaTheme="minorEastAsia"/>
                <w:color w:val="000000" w:themeColor="text1"/>
                <w:sz w:val="21"/>
                <w:szCs w:val="21"/>
                <w14:textFill>
                  <w14:solidFill>
                    <w14:schemeClr w14:val="tx1"/>
                  </w14:solidFill>
                </w14:textFill>
              </w:rPr>
              <w:t>100</w:t>
            </w:r>
            <w:r>
              <w:rPr>
                <w:rFonts w:ascii="Times New Roman" w:eastAsiaTheme="minorEastAsia"/>
                <w:color w:val="000000" w:themeColor="text1"/>
                <w:sz w:val="21"/>
                <w:szCs w:val="21"/>
                <w14:textFill>
                  <w14:solidFill>
                    <w14:schemeClr w14:val="tx1"/>
                  </w14:solidFill>
                </w14:textFill>
              </w:rPr>
              <w:t>m、出口内径</w:t>
            </w:r>
            <w:r>
              <w:rPr>
                <w:rFonts w:hint="eastAsia" w:ascii="Times New Roman" w:eastAsiaTheme="minorEastAsia"/>
                <w:color w:val="000000" w:themeColor="text1"/>
                <w:sz w:val="21"/>
                <w:szCs w:val="21"/>
                <w14:textFill>
                  <w14:solidFill>
                    <w14:schemeClr w14:val="tx1"/>
                  </w14:solidFill>
                </w14:textFill>
              </w:rPr>
              <w:t>3.0</w:t>
            </w:r>
            <w:r>
              <w:rPr>
                <w:rFonts w:ascii="Times New Roman" w:eastAsiaTheme="minorEastAsia"/>
                <w:color w:val="000000" w:themeColor="text1"/>
                <w:sz w:val="21"/>
                <w:szCs w:val="21"/>
                <w14:textFill>
                  <w14:solidFill>
                    <w14:schemeClr w14:val="tx1"/>
                  </w14:solidFill>
                </w14:textFill>
              </w:rPr>
              <w:t>m的烟囱排放</w:t>
            </w:r>
            <w:r>
              <w:rPr>
                <w:rFonts w:hint="eastAsia" w:ascii="Times New Roman" w:eastAsiaTheme="minorEastAsia"/>
                <w:color w:val="000000" w:themeColor="text1"/>
                <w:sz w:val="21"/>
                <w:szCs w:val="21"/>
                <w14:textFill>
                  <w14:solidFill>
                    <w14:schemeClr w14:val="tx1"/>
                  </w14:solidFill>
                </w14:textFill>
              </w:rPr>
              <w:t>，安装有在线监测装置</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按有关规程、规定控制设备噪声，合理布局，采取降噪措施</w:t>
            </w:r>
            <w:r>
              <w:rPr>
                <w:rFonts w:hint="eastAsia" w:ascii="Times New Roman" w:eastAsiaTheme="minorEastAsia"/>
                <w:color w:val="000000" w:themeColor="text1"/>
                <w:sz w:val="21"/>
                <w:szCs w:val="21"/>
                <w14:textFill>
                  <w14:solidFill>
                    <w14:schemeClr w14:val="tx1"/>
                  </w14:solidFill>
                </w14:textFill>
              </w:rPr>
              <w:t>；热力站布置在远离居民、又不影响供热的地方，对热力站的墙面采用隔声或吸声材料进行处理;尽量选用低暖声设备。</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固废</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锅炉产生的灰渣和脱硫固废全部用于制砖综合利用。生活垃圾统一收集，由环卫部门集中卫作生填埋处置</w:t>
            </w:r>
            <w:r>
              <w:rPr>
                <w:rFonts w:ascii="Times New Roman" w:eastAsiaTheme="minorEastAsia"/>
                <w:color w:val="000000" w:themeColor="text1"/>
                <w:sz w:val="21"/>
                <w:szCs w:val="21"/>
                <w14:textFill>
                  <w14:solidFill>
                    <w14:schemeClr w14:val="tx1"/>
                  </w14:solidFill>
                </w14:textFill>
              </w:rPr>
              <w:t>。软化水系统产生的废树脂为</w:t>
            </w:r>
            <w:r>
              <w:rPr>
                <w:rFonts w:hint="eastAsia" w:ascii="Times New Roman" w:eastAsiaTheme="minorEastAsia"/>
                <w:color w:val="000000" w:themeColor="text1"/>
                <w:sz w:val="21"/>
                <w:szCs w:val="21"/>
                <w14:textFill>
                  <w14:solidFill>
                    <w14:schemeClr w14:val="tx1"/>
                  </w14:solidFill>
                </w14:textFill>
              </w:rPr>
              <w:t>一般固体废物</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集中收集后交由树脂生产单位回收处置</w:t>
            </w:r>
            <w:r>
              <w:rPr>
                <w:rFonts w:ascii="Times New Roman" w:eastAsiaTheme="minorEastAsia"/>
                <w:color w:val="000000" w:themeColor="text1"/>
                <w:sz w:val="21"/>
                <w:szCs w:val="21"/>
                <w14:textFill>
                  <w14:solidFill>
                    <w14:schemeClr w14:val="tx1"/>
                  </w14:solidFill>
                </w14:textFill>
              </w:rPr>
              <w:t>。</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3" w:hRule="atLeas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在线监测设备</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设置在线实时监测设施，在线监测装置设置位置遵照《固定污染源烟气排放连续监测技术规范》要求</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75" w:hRule="atLeast"/>
        </w:trPr>
        <w:tc>
          <w:tcPr>
            <w:tcW w:w="43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依托工程</w:t>
            </w:r>
          </w:p>
        </w:tc>
        <w:tc>
          <w:tcPr>
            <w:tcW w:w="78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黑龙江红兴隆农垦清洁污水处理有限公司（污水处理厂）</w:t>
            </w:r>
          </w:p>
        </w:tc>
        <w:tc>
          <w:tcPr>
            <w:tcW w:w="25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项目排水为生活污水，</w:t>
            </w:r>
            <w:r>
              <w:rPr>
                <w:rFonts w:hint="eastAsia" w:ascii="Times New Roman" w:eastAsiaTheme="minorEastAsia"/>
                <w:color w:val="000000" w:themeColor="text1"/>
                <w:sz w:val="21"/>
                <w:szCs w:val="21"/>
                <w14:textFill>
                  <w14:solidFill>
                    <w14:schemeClr w14:val="tx1"/>
                  </w14:solidFill>
                </w14:textFill>
              </w:rPr>
              <w:t>排入</w:t>
            </w:r>
            <w:r>
              <w:rPr>
                <w:rFonts w:ascii="Times New Roman" w:eastAsiaTheme="minorEastAsia"/>
                <w:color w:val="000000" w:themeColor="text1"/>
                <w:sz w:val="21"/>
                <w:szCs w:val="21"/>
                <w14:textFill>
                  <w14:solidFill>
                    <w14:schemeClr w14:val="tx1"/>
                  </w14:solidFill>
                </w14:textFill>
              </w:rPr>
              <w:t>防渗化粪池</w:t>
            </w:r>
            <w:r>
              <w:rPr>
                <w:rFonts w:hint="eastAsia" w:ascii="Times New Roman" w:eastAsiaTheme="minorEastAsia"/>
                <w:color w:val="000000" w:themeColor="text1"/>
                <w:sz w:val="21"/>
                <w:szCs w:val="21"/>
                <w14:textFill>
                  <w14:solidFill>
                    <w14:schemeClr w14:val="tx1"/>
                  </w14:solidFill>
                </w14:textFill>
              </w:rPr>
              <w:t>，定期清运至黑龙江红兴隆农垦清洁污水处理有限公司进行处理</w:t>
            </w:r>
            <w:r>
              <w:rPr>
                <w:rFonts w:ascii="Times New Roman" w:eastAsiaTheme="minorEastAsia"/>
                <w:color w:val="000000" w:themeColor="text1"/>
                <w:sz w:val="21"/>
                <w:szCs w:val="21"/>
                <w14:textFill>
                  <w14:solidFill>
                    <w14:schemeClr w14:val="tx1"/>
                  </w14:solidFill>
                </w14:textFill>
              </w:rPr>
              <w:t>。本项目废水排放量占污水厂处理规模比例很小，并达到污水处理厂入厂水质控制指标。</w:t>
            </w:r>
          </w:p>
        </w:tc>
        <w:tc>
          <w:tcPr>
            <w:tcW w:w="7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81" w:name="_Toc3216"/>
      <w:r>
        <w:rPr>
          <w:rFonts w:ascii="Times New Roman" w:hAnsi="Times New Roman" w:cs="Times New Roman" w:eastAsiaTheme="minorEastAsia"/>
          <w:color w:val="000000" w:themeColor="text1"/>
          <w:sz w:val="24"/>
          <w:szCs w:val="24"/>
          <w:lang w:val="en-US"/>
          <w14:textFill>
            <w14:solidFill>
              <w14:schemeClr w14:val="tx1"/>
            </w14:solidFill>
          </w14:textFill>
        </w:rPr>
        <w:t>黑龙江农垦兴隆热力有限公司现有2台70MW热水锅炉，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最大</w:t>
      </w:r>
      <w:r>
        <w:rPr>
          <w:rFonts w:ascii="Times New Roman" w:hAnsi="Times New Roman" w:cs="Times New Roman" w:eastAsiaTheme="minorEastAsia"/>
          <w:color w:val="000000" w:themeColor="text1"/>
          <w:sz w:val="24"/>
          <w:szCs w:val="24"/>
          <w:lang w:val="en-US"/>
          <w14:textFill>
            <w14:solidFill>
              <w14:schemeClr w14:val="tx1"/>
            </w14:solidFill>
          </w14:textFill>
        </w:rPr>
        <w:t>供热能力260万平方米，现有供热面积</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19</w:t>
      </w:r>
      <w:r>
        <w:rPr>
          <w:rFonts w:ascii="Times New Roman" w:hAnsi="Times New Roman" w:cs="Times New Roman" w:eastAsiaTheme="minorEastAsia"/>
          <w:color w:val="000000" w:themeColor="text1"/>
          <w:sz w:val="24"/>
          <w:szCs w:val="24"/>
          <w:lang w:val="en-US"/>
          <w14:textFill>
            <w14:solidFill>
              <w14:schemeClr w14:val="tx1"/>
            </w14:solidFill>
          </w14:textFill>
        </w:rPr>
        <w:t>0万平方米。2023年，供热范围内，有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6</w:t>
      </w:r>
      <w:r>
        <w:rPr>
          <w:rFonts w:ascii="Times New Roman" w:hAnsi="Times New Roman" w:cs="Times New Roman" w:eastAsiaTheme="minorEastAsia"/>
          <w:color w:val="000000" w:themeColor="text1"/>
          <w:sz w:val="24"/>
          <w:szCs w:val="24"/>
          <w:lang w:val="en-US"/>
          <w14:textFill>
            <w14:solidFill>
              <w14:schemeClr w14:val="tx1"/>
            </w14:solidFill>
          </w14:textFill>
        </w:rPr>
        <w:t>5万平方米的供热面积报停，不在供热范围内。</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黑龙江农垦兴隆热力有限公司现有实际供热面</w:t>
      </w:r>
      <w:r>
        <w:rPr>
          <w:rFonts w:ascii="Times New Roman" w:hAnsi="Times New Roman" w:cs="Times New Roman" w:eastAsiaTheme="minorEastAsia"/>
          <w:color w:val="000000" w:themeColor="text1"/>
          <w:sz w:val="24"/>
          <w:szCs w:val="24"/>
          <w:lang w:val="en-US"/>
          <w14:textFill>
            <w14:solidFill>
              <w14:schemeClr w14:val="tx1"/>
            </w14:solidFill>
          </w14:textFill>
        </w:rPr>
        <w:t>积1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25万平方米。</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3.1.</w:t>
      </w:r>
      <w:r>
        <w:rPr>
          <w:rFonts w:hint="eastAsia" w:ascii="Times New Roman" w:hAnsi="Times New Roman" w:eastAsia="新宋体" w:cstheme="minorBidi"/>
          <w:color w:val="000000" w:themeColor="text1"/>
          <w:szCs w:val="24"/>
          <w:lang w:val="en-US" w:bidi="ar-SA"/>
          <w14:textFill>
            <w14:solidFill>
              <w14:schemeClr w14:val="tx1"/>
            </w14:solidFill>
          </w14:textFill>
        </w:rPr>
        <w:t>3</w:t>
      </w:r>
      <w:r>
        <w:rPr>
          <w:rFonts w:ascii="Times New Roman" w:hAnsi="Times New Roman" w:eastAsia="新宋体" w:cstheme="minorBidi"/>
          <w:color w:val="000000" w:themeColor="text1"/>
          <w:szCs w:val="24"/>
          <w:lang w:val="en-US" w:bidi="ar-SA"/>
          <w14:textFill>
            <w14:solidFill>
              <w14:schemeClr w14:val="tx1"/>
            </w14:solidFill>
          </w14:textFill>
        </w:rPr>
        <w:t>厂区原有项目工程分析</w:t>
      </w:r>
      <w:bookmarkEnd w:id="81"/>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82" w:name="_Toc13355"/>
      <w:r>
        <w:rPr>
          <w:rFonts w:ascii="Times New Roman" w:hAnsi="Times New Roman" w:cs="Times New Roman" w:eastAsiaTheme="minorEastAsia"/>
          <w:color w:val="000000" w:themeColor="text1"/>
          <w:sz w:val="24"/>
          <w:szCs w:val="24"/>
          <w:lang w:val="en-US" w:bidi="ar-SA"/>
          <w14:textFill>
            <w14:solidFill>
              <w14:schemeClr w14:val="tx1"/>
            </w14:solidFill>
          </w14:textFill>
        </w:rPr>
        <w:t>3.1.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3</w:t>
      </w:r>
      <w:r>
        <w:rPr>
          <w:rFonts w:ascii="Times New Roman" w:hAnsi="Times New Roman" w:cs="Times New Roman" w:eastAsiaTheme="minorEastAsia"/>
          <w:color w:val="000000" w:themeColor="text1"/>
          <w:sz w:val="24"/>
          <w:szCs w:val="24"/>
          <w:lang w:val="en-US" w:bidi="ar-SA"/>
          <w14:textFill>
            <w14:solidFill>
              <w14:schemeClr w14:val="tx1"/>
            </w14:solidFill>
          </w14:textFill>
        </w:rPr>
        <w:t>.1厂区原有原辅材料及能源使用情况</w:t>
      </w:r>
      <w:bookmarkEnd w:id="82"/>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根据黑龙江农垦兴隆热力有限公司年度排污许可执行报告，</w:t>
      </w:r>
      <w:r>
        <w:rPr>
          <w:rFonts w:ascii="Times New Roman" w:hAnsi="Times New Roman" w:cs="Times New Roman" w:eastAsiaTheme="minorEastAsia"/>
          <w:color w:val="000000" w:themeColor="text1"/>
          <w:sz w:val="24"/>
          <w:szCs w:val="24"/>
          <w:lang w:val="en-US"/>
          <w14:textFill>
            <w14:solidFill>
              <w14:schemeClr w14:val="tx1"/>
            </w14:solidFill>
          </w14:textFill>
        </w:rPr>
        <w:t>厂区原有项目热源厂内主要原辅材料及能源消耗详见表3-1-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表3-1-</w:t>
      </w:r>
      <w:r>
        <w:rPr>
          <w:rFonts w:hint="eastAsia" w:ascii="Times New Roman" w:hAnsiTheme="minorEastAsia" w:eastAsiaTheme="minorEastAsia"/>
          <w:b/>
          <w:bCs/>
          <w:color w:val="000000" w:themeColor="text1"/>
          <w:szCs w:val="24"/>
          <w14:textFill>
            <w14:solidFill>
              <w14:schemeClr w14:val="tx1"/>
            </w14:solidFill>
          </w14:textFill>
        </w:rPr>
        <w:t>2</w:t>
      </w:r>
      <w:r>
        <w:rPr>
          <w:rFonts w:ascii="Times New Roman" w:hAnsiTheme="minorEastAsia" w:eastAsiaTheme="minorEastAsia"/>
          <w:b/>
          <w:bCs/>
          <w:color w:val="000000" w:themeColor="text1"/>
          <w:szCs w:val="24"/>
          <w14:textFill>
            <w14:solidFill>
              <w14:schemeClr w14:val="tx1"/>
            </w14:solidFill>
          </w14:textFill>
        </w:rPr>
        <w:t xml:space="preserve"> 厂区原有原辅材料及能源消耗</w:t>
      </w:r>
    </w:p>
    <w:tbl>
      <w:tblPr>
        <w:tblStyle w:val="7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3"/>
        <w:gridCol w:w="2020"/>
        <w:gridCol w:w="1483"/>
        <w:gridCol w:w="1449"/>
        <w:gridCol w:w="34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8" w:type="pct"/>
            <w:tcBorders>
              <w:top w:val="single" w:color="auto" w:sz="12" w:space="0"/>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1100" w:type="pct"/>
            <w:tcBorders>
              <w:top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类别</w:t>
            </w:r>
          </w:p>
        </w:tc>
        <w:tc>
          <w:tcPr>
            <w:tcW w:w="808" w:type="pct"/>
            <w:tcBorders>
              <w:top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名称</w:t>
            </w:r>
          </w:p>
        </w:tc>
        <w:tc>
          <w:tcPr>
            <w:tcW w:w="789" w:type="pct"/>
            <w:tcBorders>
              <w:top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年用量</w:t>
            </w:r>
          </w:p>
        </w:tc>
        <w:tc>
          <w:tcPr>
            <w:tcW w:w="1862" w:type="pct"/>
            <w:tcBorders>
              <w:top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8" w:type="pc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1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原料</w:t>
            </w:r>
          </w:p>
        </w:tc>
        <w:tc>
          <w:tcPr>
            <w:tcW w:w="80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燃料煤</w:t>
            </w:r>
          </w:p>
        </w:tc>
        <w:tc>
          <w:tcPr>
            <w:tcW w:w="78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8.4</w:t>
            </w:r>
            <w:r>
              <w:rPr>
                <w:rFonts w:ascii="Times New Roman" w:eastAsiaTheme="minorEastAsia"/>
                <w:color w:val="000000" w:themeColor="text1"/>
                <w:sz w:val="21"/>
                <w:szCs w:val="21"/>
                <w14:textFill>
                  <w14:solidFill>
                    <w14:schemeClr w14:val="tx1"/>
                  </w14:solidFill>
                </w14:textFill>
              </w:rPr>
              <w:t>万t</w:t>
            </w:r>
          </w:p>
        </w:tc>
        <w:tc>
          <w:tcPr>
            <w:tcW w:w="1862"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双鸭山市</w:t>
            </w:r>
            <w:r>
              <w:rPr>
                <w:rFonts w:ascii="Times New Roman" w:eastAsiaTheme="minorEastAsia"/>
                <w:color w:val="000000" w:themeColor="text1"/>
                <w:sz w:val="21"/>
                <w:szCs w:val="21"/>
                <w14:textFill>
                  <w14:solidFill>
                    <w14:schemeClr w14:val="tx1"/>
                  </w14:solidFill>
                </w14:textFill>
              </w:rPr>
              <w:t>煤矿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8" w:type="pc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11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辅料</w:t>
            </w:r>
          </w:p>
        </w:tc>
        <w:tc>
          <w:tcPr>
            <w:tcW w:w="80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脱硫剂</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（氧化镁）</w:t>
            </w:r>
          </w:p>
        </w:tc>
        <w:tc>
          <w:tcPr>
            <w:tcW w:w="78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w:t>
            </w:r>
            <w:r>
              <w:rPr>
                <w:rFonts w:hint="eastAsia" w:ascii="Times New Roman" w:eastAsiaTheme="minorEastAsia"/>
                <w:color w:val="000000" w:themeColor="text1"/>
                <w:sz w:val="21"/>
                <w:szCs w:val="21"/>
                <w14:textFill>
                  <w14:solidFill>
                    <w14:schemeClr w14:val="tx1"/>
                  </w14:solidFill>
                </w14:textFill>
              </w:rPr>
              <w:t>5</w:t>
            </w:r>
            <w:r>
              <w:rPr>
                <w:rFonts w:ascii="Times New Roman" w:eastAsiaTheme="minorEastAsia"/>
                <w:color w:val="000000" w:themeColor="text1"/>
                <w:sz w:val="21"/>
                <w:szCs w:val="21"/>
                <w14:textFill>
                  <w14:solidFill>
                    <w14:schemeClr w14:val="tx1"/>
                  </w14:solidFill>
                </w14:textFill>
              </w:rPr>
              <w:t>t/a</w:t>
            </w:r>
          </w:p>
        </w:tc>
        <w:tc>
          <w:tcPr>
            <w:tcW w:w="1862"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外购</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存放间位于原有锅炉房内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8" w:type="pc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1100"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能源</w:t>
            </w:r>
          </w:p>
        </w:tc>
        <w:tc>
          <w:tcPr>
            <w:tcW w:w="80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电</w:t>
            </w:r>
          </w:p>
        </w:tc>
        <w:tc>
          <w:tcPr>
            <w:tcW w:w="78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192万kwh</w:t>
            </w:r>
          </w:p>
        </w:tc>
        <w:tc>
          <w:tcPr>
            <w:tcW w:w="1862"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区域电网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8" w:type="pct"/>
            <w:tcBorders>
              <w:left w:val="nil"/>
              <w:bottom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w:t>
            </w:r>
          </w:p>
        </w:tc>
        <w:tc>
          <w:tcPr>
            <w:tcW w:w="1100" w:type="pct"/>
            <w:vMerge w:val="continue"/>
            <w:tcBorders>
              <w:bottom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8" w:type="pct"/>
            <w:tcBorders>
              <w:bottom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w:t>
            </w:r>
          </w:p>
        </w:tc>
        <w:tc>
          <w:tcPr>
            <w:tcW w:w="789" w:type="pct"/>
            <w:tcBorders>
              <w:bottom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326160</w:t>
            </w:r>
            <w:r>
              <w:rPr>
                <w:rFonts w:ascii="Times New Roman" w:eastAsiaTheme="minorEastAsia"/>
                <w:color w:val="000000" w:themeColor="text1"/>
                <w:sz w:val="21"/>
                <w:szCs w:val="21"/>
                <w14:textFill>
                  <w14:solidFill>
                    <w14:schemeClr w14:val="tx1"/>
                  </w14:solidFill>
                </w14:textFill>
              </w:rPr>
              <w:t>t/a</w:t>
            </w:r>
          </w:p>
        </w:tc>
        <w:tc>
          <w:tcPr>
            <w:tcW w:w="1862" w:type="pct"/>
            <w:tcBorders>
              <w:bottom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自来水</w:t>
            </w:r>
          </w:p>
        </w:tc>
      </w:tr>
    </w:tbl>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83" w:name="_Toc1968"/>
      <w:r>
        <w:rPr>
          <w:rFonts w:ascii="Times New Roman" w:hAnsi="Times New Roman" w:cs="Times New Roman" w:eastAsiaTheme="minorEastAsia"/>
          <w:color w:val="000000" w:themeColor="text1"/>
          <w:sz w:val="24"/>
          <w:szCs w:val="24"/>
          <w:lang w:val="en-US" w:bidi="ar-SA"/>
          <w14:textFill>
            <w14:solidFill>
              <w14:schemeClr w14:val="tx1"/>
            </w14:solidFill>
          </w14:textFill>
        </w:rPr>
        <w:t>3.1.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3</w:t>
      </w:r>
      <w:r>
        <w:rPr>
          <w:rFonts w:ascii="Times New Roman" w:hAnsi="Times New Roman" w:cs="Times New Roman" w:eastAsiaTheme="minorEastAsia"/>
          <w:color w:val="000000" w:themeColor="text1"/>
          <w:sz w:val="24"/>
          <w:szCs w:val="24"/>
          <w:lang w:val="en-US" w:bidi="ar-SA"/>
          <w14:textFill>
            <w14:solidFill>
              <w14:schemeClr w14:val="tx1"/>
            </w14:solidFill>
          </w14:textFill>
        </w:rPr>
        <w:t>.2厂区原有工程工艺分析</w:t>
      </w:r>
      <w:bookmarkEnd w:id="83"/>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原有项目营运期主要是锅炉房的运行，包括配套环保设施的运行。锅炉房采用倾斜皮带输送机和水平皮带运输机联合上煤方式，将原煤送入锅炉中燃烧，待锅炉中水加热至一定温度后送至热网。高温热水和用户返回的低温水在热网中经换热站进行热交换，换热后高温热水回至主干管，温水送至热用户。</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厂区原有2台70MW燃煤热水锅炉</w:t>
      </w:r>
      <w:r>
        <w:rPr>
          <w:rFonts w:ascii="Times New Roman" w:hAnsi="Times New Roman" w:cs="Times New Roman" w:eastAsiaTheme="minorEastAsia"/>
          <w:color w:val="000000" w:themeColor="text1"/>
          <w:sz w:val="24"/>
          <w:szCs w:val="24"/>
          <w:lang w:val="en-US"/>
          <w14:textFill>
            <w14:solidFill>
              <w14:schemeClr w14:val="tx1"/>
            </w14:solidFill>
          </w14:textFill>
        </w:rPr>
        <w:t>安装布袋除尘设备，除尘效率不低于99.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配备湿式镁法脱硫塔除尘脱硫系统，脱硫效率不低于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95</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采用低氮燃烧技术</w:t>
      </w:r>
      <w:r>
        <w:rPr>
          <w:rFonts w:ascii="Times New Roman" w:hAnsi="Times New Roman" w:cs="Times New Roman" w:eastAsiaTheme="minorEastAsia"/>
          <w:color w:val="000000" w:themeColor="text1"/>
          <w:sz w:val="24"/>
          <w:szCs w:val="24"/>
          <w:lang w:val="en-US"/>
          <w14:textFill>
            <w14:solidFill>
              <w14:schemeClr w14:val="tx1"/>
            </w14:solidFill>
          </w14:textFill>
        </w:rPr>
        <w:t>，脱硝效率</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约为30</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原有燃煤热水锅炉处理后的烟气通过高</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100</w:t>
      </w:r>
      <w:r>
        <w:rPr>
          <w:rFonts w:ascii="Times New Roman" w:hAnsi="Times New Roman" w:cs="Times New Roman" w:eastAsiaTheme="minorEastAsia"/>
          <w:color w:val="000000" w:themeColor="text1"/>
          <w:sz w:val="24"/>
          <w:szCs w:val="24"/>
          <w:lang w:val="en-US"/>
          <w14:textFill>
            <w14:solidFill>
              <w14:schemeClr w14:val="tx1"/>
            </w14:solidFill>
          </w14:textFill>
        </w:rPr>
        <w:t>m、出口内径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3.0</w:t>
      </w:r>
      <w:r>
        <w:rPr>
          <w:rFonts w:ascii="Times New Roman" w:hAnsi="Times New Roman" w:cs="Times New Roman" w:eastAsiaTheme="minorEastAsia"/>
          <w:color w:val="000000" w:themeColor="text1"/>
          <w:sz w:val="24"/>
          <w:szCs w:val="24"/>
          <w:lang w:val="en-US"/>
          <w14:textFill>
            <w14:solidFill>
              <w14:schemeClr w14:val="tx1"/>
            </w14:solidFill>
          </w14:textFill>
        </w:rPr>
        <w:t>m的烟囱排放</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ind w:firstLine="180"/>
        <w:rPr>
          <w:rFonts w:hAnsi="Times New Roman"/>
          <w:snapToGrid w:val="0"/>
          <w:color w:val="000000" w:themeColor="text1"/>
          <w14:textFill>
            <w14:solidFill>
              <w14:schemeClr w14:val="tx1"/>
            </w14:solidFill>
          </w14:textFill>
        </w:rPr>
      </w:pPr>
      <w:r>
        <w:rPr>
          <w:snapToGrid w:val="0"/>
          <w:color w:val="000000" w:themeColor="text1"/>
          <w14:textFill>
            <w14:solidFill>
              <w14:schemeClr w14:val="tx1"/>
            </w14:solidFill>
          </w14:textFill>
        </w:rPr>
        <w:t>原有锅炉房工艺流程见图</w:t>
      </w:r>
      <w:r>
        <w:rPr>
          <w:rFonts w:hAnsi="Times New Roman"/>
          <w:snapToGrid w:val="0"/>
          <w:color w:val="000000" w:themeColor="text1"/>
          <w14:textFill>
            <w14:solidFill>
              <w14:schemeClr w14:val="tx1"/>
            </w14:solidFill>
          </w14:textFill>
        </w:rPr>
        <w:t>3-1-1</w:t>
      </w:r>
      <w:r>
        <w:rPr>
          <w:snapToGrid w:val="0"/>
          <w:color w:val="000000" w:themeColor="text1"/>
          <w14:textFill>
            <w14:solidFill>
              <w14:schemeClr w14:val="tx1"/>
            </w14:solidFill>
          </w14:textFill>
        </w:rPr>
        <w:t>。</w:t>
      </w:r>
    </w:p>
    <w:p>
      <w:pPr>
        <w:pStyle w:val="95"/>
        <w:rPr>
          <w:rFonts w:ascii="Times New Roman" w:eastAsiaTheme="minorEastAsia"/>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671185" cy="3549015"/>
            <wp:effectExtent l="0" t="0" r="5715" b="13335"/>
            <wp:docPr id="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0"/>
                    <pic:cNvPicPr>
                      <a:picLocks noChangeAspect="1"/>
                    </pic:cNvPicPr>
                  </pic:nvPicPr>
                  <pic:blipFill>
                    <a:blip r:embed="rId31"/>
                    <a:stretch>
                      <a:fillRect/>
                    </a:stretch>
                  </pic:blipFill>
                  <pic:spPr>
                    <a:xfrm>
                      <a:off x="0" y="0"/>
                      <a:ext cx="5671185" cy="3549015"/>
                    </a:xfrm>
                    <a:prstGeom prst="rect">
                      <a:avLst/>
                    </a:prstGeom>
                    <a:noFill/>
                    <a:ln>
                      <a:noFill/>
                    </a:ln>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图3-1-1  原有锅炉房工艺流程</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84" w:name="_Toc16353"/>
      <w:r>
        <w:rPr>
          <w:rFonts w:ascii="Times New Roman" w:hAnsi="Times New Roman" w:eastAsia="新宋体" w:cstheme="minorBidi"/>
          <w:color w:val="000000" w:themeColor="text1"/>
          <w:szCs w:val="24"/>
          <w:lang w:val="en-US" w:bidi="ar-SA"/>
          <w14:textFill>
            <w14:solidFill>
              <w14:schemeClr w14:val="tx1"/>
            </w14:solidFill>
          </w14:textFill>
        </w:rPr>
        <w:t>3.1.</w:t>
      </w:r>
      <w:r>
        <w:rPr>
          <w:rFonts w:hint="eastAsia" w:ascii="Times New Roman" w:hAnsi="Times New Roman" w:eastAsia="新宋体" w:cstheme="minorBidi"/>
          <w:color w:val="000000" w:themeColor="text1"/>
          <w:szCs w:val="24"/>
          <w:lang w:val="en-US" w:bidi="ar-SA"/>
          <w14:textFill>
            <w14:solidFill>
              <w14:schemeClr w14:val="tx1"/>
            </w14:solidFill>
          </w14:textFill>
        </w:rPr>
        <w:t>4</w:t>
      </w:r>
      <w:r>
        <w:rPr>
          <w:rFonts w:ascii="Times New Roman" w:hAnsi="Times New Roman" w:eastAsia="新宋体" w:cstheme="minorBidi"/>
          <w:color w:val="000000" w:themeColor="text1"/>
          <w:szCs w:val="24"/>
          <w:lang w:val="en-US" w:bidi="ar-SA"/>
          <w14:textFill>
            <w14:solidFill>
              <w14:schemeClr w14:val="tx1"/>
            </w14:solidFill>
          </w14:textFill>
        </w:rPr>
        <w:t xml:space="preserve"> 厂区原有公用工程</w:t>
      </w:r>
      <w:bookmarkEnd w:id="84"/>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85" w:name="_Toc14108"/>
      <w:r>
        <w:rPr>
          <w:rFonts w:ascii="Times New Roman" w:hAnsi="Times New Roman" w:cs="Times New Roman" w:eastAsiaTheme="minorEastAsia"/>
          <w:color w:val="000000" w:themeColor="text1"/>
          <w:sz w:val="24"/>
          <w:szCs w:val="24"/>
          <w:lang w:val="en-US" w:bidi="ar-SA"/>
          <w14:textFill>
            <w14:solidFill>
              <w14:schemeClr w14:val="tx1"/>
            </w14:solidFill>
          </w14:textFill>
        </w:rPr>
        <w:t>3.1.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4</w:t>
      </w:r>
      <w:r>
        <w:rPr>
          <w:rFonts w:ascii="Times New Roman" w:hAnsi="Times New Roman" w:cs="Times New Roman" w:eastAsiaTheme="minorEastAsia"/>
          <w:color w:val="000000" w:themeColor="text1"/>
          <w:sz w:val="24"/>
          <w:szCs w:val="24"/>
          <w:lang w:val="en-US" w:bidi="ar-SA"/>
          <w14:textFill>
            <w14:solidFill>
              <w14:schemeClr w14:val="tx1"/>
            </w14:solidFill>
          </w14:textFill>
        </w:rPr>
        <w:t>.1 给水</w:t>
      </w:r>
      <w:bookmarkEnd w:id="85"/>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项目区目前给水采用市政自来水，供水能力可以满足工程需要。项目供水系统有锅炉补充水、工业用水及生活消防用水三部分组成，生产</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生活用水量为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1446.85</w:t>
      </w:r>
      <w:r>
        <w:rPr>
          <w:rFonts w:ascii="Times New Roman" w:hAnsi="Times New Roman" w:cs="Times New Roman" w:eastAsiaTheme="minorEastAsia"/>
          <w:color w:val="000000" w:themeColor="text1"/>
          <w:sz w:val="24"/>
          <w:szCs w:val="24"/>
          <w:lang w:val="en-US"/>
          <w14:textFill>
            <w14:solidFill>
              <w14:schemeClr w14:val="tx1"/>
            </w14:solidFill>
          </w14:textFill>
        </w:rPr>
        <w:t>t/d。</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（1）锅炉补充水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一次网管网最大补水量为1347.85t/d。</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（2）工业用水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厂区原有项目运行期间，工业用水量为98t/d。输煤降尘用水，8.4t/d；除灰渣用水38t/d；地坪冲洗用水1.4t/d；脱硫用水50.2t/d。</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（3）生活用水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项目定员25人，生活用水量为1t/d。</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（4）消防用水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按《建筑防火规范》厂区内设室内外消火栓系统，其中室内消火栓设计流量为10L/s，火灾延续时间2小时；室外消火栓设计流量为15L/s，火灾延续时间2小时。共需消防用水量180t。</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86" w:name="_Toc10739"/>
      <w:r>
        <w:rPr>
          <w:rFonts w:ascii="Times New Roman" w:hAnsi="Times New Roman" w:cs="Times New Roman" w:eastAsiaTheme="minorEastAsia"/>
          <w:color w:val="000000" w:themeColor="text1"/>
          <w:sz w:val="24"/>
          <w:szCs w:val="24"/>
          <w:lang w:val="en-US" w:bidi="ar-SA"/>
          <w14:textFill>
            <w14:solidFill>
              <w14:schemeClr w14:val="tx1"/>
            </w14:solidFill>
          </w14:textFill>
        </w:rPr>
        <w:t>3.1.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4</w:t>
      </w:r>
      <w:r>
        <w:rPr>
          <w:rFonts w:ascii="Times New Roman" w:hAnsi="Times New Roman" w:cs="Times New Roman" w:eastAsiaTheme="minorEastAsia"/>
          <w:color w:val="000000" w:themeColor="text1"/>
          <w:sz w:val="24"/>
          <w:szCs w:val="24"/>
          <w:lang w:val="en-US" w:bidi="ar-SA"/>
          <w14:textFill>
            <w14:solidFill>
              <w14:schemeClr w14:val="tx1"/>
            </w14:solidFill>
          </w14:textFill>
        </w:rPr>
        <w:t>.2 排水</w:t>
      </w:r>
      <w:bookmarkEnd w:id="86"/>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本项目产生的废水有锅炉排污水和生活污水。锅炉排污水用于输煤降尘、除灰渣、脱硫及地面冲洗，不外排；项目排水为生活污水，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排入</w:t>
      </w:r>
      <w:r>
        <w:rPr>
          <w:rFonts w:ascii="Times New Roman" w:hAnsi="Times New Roman" w:cs="Times New Roman" w:eastAsiaTheme="minorEastAsia"/>
          <w:color w:val="000000" w:themeColor="text1"/>
          <w:sz w:val="24"/>
          <w:szCs w:val="24"/>
          <w:lang w:val="en-US"/>
          <w14:textFill>
            <w14:solidFill>
              <w14:schemeClr w14:val="tx1"/>
            </w14:solidFill>
          </w14:textFill>
        </w:rPr>
        <w:t>防渗化粪池</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，定期清运至黑龙江红兴隆农垦清洁污水处理有限公司（集中污水处理厂）进行处理</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原有项目水平衡图见下图。</w:t>
      </w:r>
    </w:p>
    <w:p>
      <w:pPr>
        <w:ind w:firstLine="180"/>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114300" distR="114300">
            <wp:extent cx="4918075" cy="4124325"/>
            <wp:effectExtent l="0" t="0" r="0" b="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2"/>
                    <a:stretch>
                      <a:fillRect/>
                    </a:stretch>
                  </pic:blipFill>
                  <pic:spPr>
                    <a:xfrm>
                      <a:off x="0" y="0"/>
                      <a:ext cx="4918376" cy="4124325"/>
                    </a:xfrm>
                    <a:prstGeom prst="rect">
                      <a:avLst/>
                    </a:prstGeom>
                    <a:noFill/>
                    <a:ln>
                      <a:noFill/>
                    </a:ln>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图3-1-2  原有项目水平衡图（t/d）</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87" w:name="_Toc24581"/>
      <w:r>
        <w:rPr>
          <w:rFonts w:ascii="Times New Roman" w:hAnsi="Times New Roman" w:cs="Times New Roman" w:eastAsiaTheme="minorEastAsia"/>
          <w:color w:val="000000" w:themeColor="text1"/>
          <w:sz w:val="24"/>
          <w:szCs w:val="24"/>
          <w:lang w:val="en-US" w:bidi="ar-SA"/>
          <w14:textFill>
            <w14:solidFill>
              <w14:schemeClr w14:val="tx1"/>
            </w14:solidFill>
          </w14:textFill>
        </w:rPr>
        <w:t>3.1.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4</w:t>
      </w:r>
      <w:r>
        <w:rPr>
          <w:rFonts w:ascii="Times New Roman" w:hAnsi="Times New Roman" w:cs="Times New Roman" w:eastAsiaTheme="minorEastAsia"/>
          <w:color w:val="000000" w:themeColor="text1"/>
          <w:sz w:val="24"/>
          <w:szCs w:val="24"/>
          <w:lang w:val="en-US" w:bidi="ar-SA"/>
          <w14:textFill>
            <w14:solidFill>
              <w14:schemeClr w14:val="tx1"/>
            </w14:solidFill>
          </w14:textFill>
        </w:rPr>
        <w:t>.3 供电</w:t>
      </w:r>
      <w:bookmarkEnd w:id="87"/>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项目区现用电由市政电网提供。</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88" w:name="_Toc2427"/>
      <w:r>
        <w:rPr>
          <w:rFonts w:ascii="Times New Roman" w:hAnsi="Times New Roman" w:cs="Times New Roman" w:eastAsiaTheme="minorEastAsia"/>
          <w:color w:val="000000" w:themeColor="text1"/>
          <w:sz w:val="24"/>
          <w:szCs w:val="24"/>
          <w:lang w:val="en-US" w:bidi="ar-SA"/>
          <w14:textFill>
            <w14:solidFill>
              <w14:schemeClr w14:val="tx1"/>
            </w14:solidFill>
          </w14:textFill>
        </w:rPr>
        <w:t>3.1.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4</w:t>
      </w:r>
      <w:r>
        <w:rPr>
          <w:rFonts w:ascii="Times New Roman" w:hAnsi="Times New Roman" w:cs="Times New Roman" w:eastAsiaTheme="minorEastAsia"/>
          <w:color w:val="000000" w:themeColor="text1"/>
          <w:sz w:val="24"/>
          <w:szCs w:val="24"/>
          <w:lang w:val="en-US" w:bidi="ar-SA"/>
          <w14:textFill>
            <w14:solidFill>
              <w14:schemeClr w14:val="tx1"/>
            </w14:solidFill>
          </w14:textFill>
        </w:rPr>
        <w:t>.4 供热</w:t>
      </w:r>
      <w:bookmarkEnd w:id="88"/>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项目办公区域供热由厂区锅炉房供给。</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89" w:name="_Toc970"/>
      <w:r>
        <w:rPr>
          <w:rFonts w:ascii="Times New Roman" w:hAnsi="Times New Roman" w:eastAsia="新宋体" w:cstheme="minorBidi"/>
          <w:color w:val="000000" w:themeColor="text1"/>
          <w:szCs w:val="24"/>
          <w:lang w:val="en-US" w:bidi="ar-SA"/>
          <w14:textFill>
            <w14:solidFill>
              <w14:schemeClr w14:val="tx1"/>
            </w14:solidFill>
          </w14:textFill>
        </w:rPr>
        <w:t>3.1.</w:t>
      </w:r>
      <w:r>
        <w:rPr>
          <w:rFonts w:hint="eastAsia" w:ascii="Times New Roman" w:hAnsi="Times New Roman" w:eastAsia="新宋体" w:cstheme="minorBidi"/>
          <w:color w:val="000000" w:themeColor="text1"/>
          <w:szCs w:val="24"/>
          <w:lang w:val="en-US" w:bidi="ar-SA"/>
          <w14:textFill>
            <w14:solidFill>
              <w14:schemeClr w14:val="tx1"/>
            </w14:solidFill>
          </w14:textFill>
        </w:rPr>
        <w:t>5</w:t>
      </w:r>
      <w:r>
        <w:rPr>
          <w:rFonts w:ascii="Times New Roman" w:hAnsi="Times New Roman" w:eastAsia="新宋体" w:cstheme="minorBidi"/>
          <w:color w:val="000000" w:themeColor="text1"/>
          <w:szCs w:val="24"/>
          <w:lang w:val="en-US" w:bidi="ar-SA"/>
          <w14:textFill>
            <w14:solidFill>
              <w14:schemeClr w14:val="tx1"/>
            </w14:solidFill>
          </w14:textFill>
        </w:rPr>
        <w:t xml:space="preserve"> 原有劳动定员及工作制度</w:t>
      </w:r>
      <w:bookmarkEnd w:id="89"/>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本项目劳动定员共25人，换热站无人值守。年工作日为183天，锅炉运行时数为4392h（折合满负荷运行</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2928</w:t>
      </w:r>
      <w:r>
        <w:rPr>
          <w:rFonts w:ascii="Times New Roman" w:hAnsi="Times New Roman" w:cs="Times New Roman" w:eastAsiaTheme="minorEastAsia"/>
          <w:color w:val="000000" w:themeColor="text1"/>
          <w:sz w:val="24"/>
          <w:szCs w:val="24"/>
          <w:lang w:val="en-US"/>
          <w14:textFill>
            <w14:solidFill>
              <w14:schemeClr w14:val="tx1"/>
            </w14:solidFill>
          </w14:textFill>
        </w:rPr>
        <w:t>小时），每班工作8小时。</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90" w:name="_Toc25532"/>
      <w:r>
        <w:rPr>
          <w:rFonts w:ascii="Times New Roman" w:hAnsi="Times New Roman" w:eastAsia="新宋体" w:cstheme="minorBidi"/>
          <w:color w:val="000000" w:themeColor="text1"/>
          <w:szCs w:val="24"/>
          <w:lang w:val="en-US" w:bidi="ar-SA"/>
          <w14:textFill>
            <w14:solidFill>
              <w14:schemeClr w14:val="tx1"/>
            </w14:solidFill>
          </w14:textFill>
        </w:rPr>
        <w:t>3.1.</w:t>
      </w:r>
      <w:r>
        <w:rPr>
          <w:rFonts w:hint="eastAsia" w:ascii="Times New Roman" w:hAnsi="Times New Roman" w:eastAsia="新宋体" w:cstheme="minorBidi"/>
          <w:color w:val="000000" w:themeColor="text1"/>
          <w:szCs w:val="24"/>
          <w:lang w:val="en-US" w:bidi="ar-SA"/>
          <w14:textFill>
            <w14:solidFill>
              <w14:schemeClr w14:val="tx1"/>
            </w14:solidFill>
          </w14:textFill>
        </w:rPr>
        <w:t>6</w:t>
      </w:r>
      <w:r>
        <w:rPr>
          <w:rFonts w:ascii="Times New Roman" w:hAnsi="Times New Roman" w:eastAsia="新宋体" w:cstheme="minorBidi"/>
          <w:color w:val="000000" w:themeColor="text1"/>
          <w:szCs w:val="24"/>
          <w:lang w:val="en-US" w:bidi="ar-SA"/>
          <w14:textFill>
            <w14:solidFill>
              <w14:schemeClr w14:val="tx1"/>
            </w14:solidFill>
          </w14:textFill>
        </w:rPr>
        <w:t xml:space="preserve"> 厂区原有项目污染物排放及污染防治措施情况</w:t>
      </w:r>
      <w:bookmarkEnd w:id="90"/>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结合项目厂区原有实际情况，项目产生废物主要为废水、废气、噪声及固废。</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91" w:name="_Toc32373"/>
      <w:r>
        <w:rPr>
          <w:rFonts w:ascii="Times New Roman" w:hAnsi="Times New Roman" w:cs="Times New Roman" w:eastAsiaTheme="minorEastAsia"/>
          <w:color w:val="000000" w:themeColor="text1"/>
          <w:sz w:val="24"/>
          <w:szCs w:val="24"/>
          <w:lang w:val="en-US" w:bidi="ar-SA"/>
          <w14:textFill>
            <w14:solidFill>
              <w14:schemeClr w14:val="tx1"/>
            </w14:solidFill>
          </w14:textFill>
        </w:rPr>
        <w:t>3.1.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6</w:t>
      </w:r>
      <w:r>
        <w:rPr>
          <w:rFonts w:ascii="Times New Roman" w:hAnsi="Times New Roman" w:cs="Times New Roman" w:eastAsiaTheme="minorEastAsia"/>
          <w:color w:val="000000" w:themeColor="text1"/>
          <w:sz w:val="24"/>
          <w:szCs w:val="24"/>
          <w:lang w:val="en-US" w:bidi="ar-SA"/>
          <w14:textFill>
            <w14:solidFill>
              <w14:schemeClr w14:val="tx1"/>
            </w14:solidFill>
          </w14:textFill>
        </w:rPr>
        <w:t>.1 原有项目污染物产生及相应污染防治措施</w:t>
      </w:r>
      <w:bookmarkEnd w:id="91"/>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2022年，黑龙江农泉兴隆热力有限公司对现有2台70MW热水锅炉脱硫设备进行改造，同时将现有除尘设备更换为两台布袋式除尘，改造后脱硫设备仍采用湿式氧化镁法脱硫。现已改造完成并于2023年供热期运行。</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厂区原有污染源及已采取污染防治措施情况见表3-1-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表3-1-</w:t>
      </w:r>
      <w:r>
        <w:rPr>
          <w:rFonts w:hint="eastAsia" w:ascii="Times New Roman" w:hAnsiTheme="minorEastAsia" w:eastAsiaTheme="minorEastAsia"/>
          <w:b/>
          <w:bCs/>
          <w:color w:val="000000" w:themeColor="text1"/>
          <w:szCs w:val="24"/>
          <w14:textFill>
            <w14:solidFill>
              <w14:schemeClr w14:val="tx1"/>
            </w14:solidFill>
          </w14:textFill>
        </w:rPr>
        <w:t xml:space="preserve">3 </w:t>
      </w:r>
      <w:r>
        <w:rPr>
          <w:rFonts w:ascii="Times New Roman" w:hAnsiTheme="minorEastAsia" w:eastAsiaTheme="minorEastAsia"/>
          <w:b/>
          <w:bCs/>
          <w:color w:val="000000" w:themeColor="text1"/>
          <w:szCs w:val="24"/>
          <w14:textFill>
            <w14:solidFill>
              <w14:schemeClr w14:val="tx1"/>
            </w14:solidFill>
          </w14:textFill>
        </w:rPr>
        <w:t>厂区原有工程污染源及已采取污染防治措施情况</w:t>
      </w:r>
    </w:p>
    <w:tbl>
      <w:tblPr>
        <w:tblStyle w:val="7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8"/>
        <w:gridCol w:w="1405"/>
        <w:gridCol w:w="1194"/>
        <w:gridCol w:w="2404"/>
        <w:gridCol w:w="31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533" w:type="pct"/>
            <w:tcBorders>
              <w:top w:val="single" w:color="auto" w:sz="12" w:space="0"/>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污染物类别</w:t>
            </w:r>
          </w:p>
        </w:tc>
        <w:tc>
          <w:tcPr>
            <w:tcW w:w="766" w:type="pct"/>
            <w:tcBorders>
              <w:top w:val="single" w:color="auto" w:sz="12" w:space="0"/>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w:t>
            </w:r>
          </w:p>
        </w:tc>
        <w:tc>
          <w:tcPr>
            <w:tcW w:w="651" w:type="pct"/>
            <w:tcBorders>
              <w:top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w:t>
            </w:r>
          </w:p>
        </w:tc>
        <w:tc>
          <w:tcPr>
            <w:tcW w:w="1310" w:type="pct"/>
            <w:tcBorders>
              <w:top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防治措施</w:t>
            </w:r>
          </w:p>
        </w:tc>
        <w:tc>
          <w:tcPr>
            <w:tcW w:w="1740" w:type="pct"/>
            <w:tcBorders>
              <w:top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624" w:hRule="atLeast"/>
          <w:jc w:val="center"/>
        </w:trPr>
        <w:tc>
          <w:tcPr>
            <w:tcW w:w="533" w:type="pct"/>
            <w:vMerge w:val="restar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废气</w:t>
            </w:r>
          </w:p>
        </w:tc>
        <w:tc>
          <w:tcPr>
            <w:tcW w:w="7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2台70MW燃煤热水锅炉</w:t>
            </w:r>
          </w:p>
        </w:tc>
        <w:tc>
          <w:tcPr>
            <w:tcW w:w="651"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有组织</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SO2</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NOX</w:t>
            </w:r>
          </w:p>
        </w:tc>
        <w:tc>
          <w:tcPr>
            <w:tcW w:w="13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烟气除尘采用</w:t>
            </w:r>
            <w:r>
              <w:rPr>
                <w:rFonts w:hint="eastAsia" w:ascii="Times New Roman" w:eastAsiaTheme="minorEastAsia"/>
                <w:color w:val="000000" w:themeColor="text1"/>
                <w:sz w:val="21"/>
                <w:szCs w:val="21"/>
                <w14:textFill>
                  <w14:solidFill>
                    <w14:schemeClr w14:val="tx1"/>
                  </w14:solidFill>
                </w14:textFill>
              </w:rPr>
              <w:t>布袋</w:t>
            </w:r>
            <w:r>
              <w:rPr>
                <w:rFonts w:ascii="Times New Roman" w:eastAsiaTheme="minorEastAsia"/>
                <w:color w:val="000000" w:themeColor="text1"/>
                <w:sz w:val="21"/>
                <w:szCs w:val="21"/>
                <w14:textFill>
                  <w14:solidFill>
                    <w14:schemeClr w14:val="tx1"/>
                  </w14:solidFill>
                </w14:textFill>
              </w:rPr>
              <w:t>除尘器，除尘效率≥</w:t>
            </w:r>
            <w:r>
              <w:rPr>
                <w:rFonts w:hint="eastAsia" w:ascii="Times New Roman" w:eastAsiaTheme="minorEastAsia"/>
                <w:color w:val="000000" w:themeColor="text1"/>
                <w:sz w:val="21"/>
                <w:szCs w:val="21"/>
                <w14:textFill>
                  <w14:solidFill>
                    <w14:schemeClr w14:val="tx1"/>
                  </w14:solidFill>
                </w14:textFill>
              </w:rPr>
              <w:t>99.95</w:t>
            </w:r>
            <w:r>
              <w:rPr>
                <w:rFonts w:ascii="Times New Roman" w:eastAsiaTheme="minorEastAsia"/>
                <w:color w:val="000000" w:themeColor="text1"/>
                <w:sz w:val="21"/>
                <w:szCs w:val="21"/>
                <w14:textFill>
                  <w14:solidFill>
                    <w14:schemeClr w14:val="tx1"/>
                  </w14:solidFill>
                </w14:textFill>
              </w:rPr>
              <w:t>%；烟气脱硫采用氧化镁法脱硫，脱硫效率≥</w:t>
            </w:r>
            <w:r>
              <w:rPr>
                <w:rFonts w:hint="eastAsia" w:ascii="Times New Roman" w:eastAsiaTheme="minorEastAsia"/>
                <w:color w:val="000000" w:themeColor="text1"/>
                <w:sz w:val="21"/>
                <w:szCs w:val="21"/>
                <w14:textFill>
                  <w14:solidFill>
                    <w14:schemeClr w14:val="tx1"/>
                  </w14:solidFill>
                </w14:textFill>
              </w:rPr>
              <w:t>95</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；采用低氮燃烧</w:t>
            </w:r>
            <w:r>
              <w:rPr>
                <w:rFonts w:ascii="Times New Roman" w:eastAsiaTheme="minorEastAsia"/>
                <w:color w:val="000000" w:themeColor="text1"/>
                <w:sz w:val="21"/>
                <w:szCs w:val="21"/>
                <w14:textFill>
                  <w14:solidFill>
                    <w14:schemeClr w14:val="tx1"/>
                  </w14:solidFill>
                </w14:textFill>
              </w:rPr>
              <w:t>，脱硝效率不低于</w:t>
            </w:r>
            <w:r>
              <w:rPr>
                <w:rFonts w:hint="eastAsia" w:ascii="Times New Roman" w:eastAsiaTheme="minorEastAsia"/>
                <w:color w:val="000000" w:themeColor="text1"/>
                <w:sz w:val="21"/>
                <w:szCs w:val="21"/>
                <w14:textFill>
                  <w14:solidFill>
                    <w14:schemeClr w14:val="tx1"/>
                  </w14:solidFill>
                </w14:textFill>
              </w:rPr>
              <w:t>30</w:t>
            </w:r>
            <w:r>
              <w:rPr>
                <w:rFonts w:ascii="Times New Roman" w:eastAsiaTheme="minorEastAsia"/>
                <w:color w:val="000000" w:themeColor="text1"/>
                <w:sz w:val="21"/>
                <w:szCs w:val="21"/>
                <w14:textFill>
                  <w14:solidFill>
                    <w14:schemeClr w14:val="tx1"/>
                  </w14:solidFill>
                </w14:textFill>
              </w:rPr>
              <w:t>%。处理后的烟气通过</w:t>
            </w:r>
            <w:r>
              <w:rPr>
                <w:rFonts w:hint="eastAsia" w:ascii="Times New Roman" w:eastAsiaTheme="minorEastAsia"/>
                <w:color w:val="000000" w:themeColor="text1"/>
                <w:sz w:val="21"/>
                <w:szCs w:val="21"/>
                <w14:textFill>
                  <w14:solidFill>
                    <w14:schemeClr w14:val="tx1"/>
                  </w14:solidFill>
                </w14:textFill>
              </w:rPr>
              <w:t>100</w:t>
            </w:r>
            <w:r>
              <w:rPr>
                <w:rFonts w:ascii="Times New Roman" w:eastAsiaTheme="minorEastAsia"/>
                <w:color w:val="000000" w:themeColor="text1"/>
                <w:sz w:val="21"/>
                <w:szCs w:val="21"/>
                <w14:textFill>
                  <w14:solidFill>
                    <w14:schemeClr w14:val="tx1"/>
                  </w14:solidFill>
                </w14:textFill>
              </w:rPr>
              <w:t>m、出口内径</w:t>
            </w:r>
            <w:r>
              <w:rPr>
                <w:rFonts w:hint="eastAsia" w:ascii="Times New Roman" w:eastAsiaTheme="minorEastAsia"/>
                <w:color w:val="000000" w:themeColor="text1"/>
                <w:sz w:val="21"/>
                <w:szCs w:val="21"/>
                <w14:textFill>
                  <w14:solidFill>
                    <w14:schemeClr w14:val="tx1"/>
                  </w14:solidFill>
                </w14:textFill>
              </w:rPr>
              <w:t>3.0</w:t>
            </w:r>
            <w:r>
              <w:rPr>
                <w:rFonts w:ascii="Times New Roman" w:eastAsiaTheme="minorEastAsia"/>
                <w:color w:val="000000" w:themeColor="text1"/>
                <w:sz w:val="21"/>
                <w:szCs w:val="21"/>
                <w14:textFill>
                  <w14:solidFill>
                    <w14:schemeClr w14:val="tx1"/>
                  </w14:solidFill>
                </w14:textFill>
              </w:rPr>
              <w:t>m的烟囱排放</w:t>
            </w:r>
          </w:p>
        </w:tc>
        <w:tc>
          <w:tcPr>
            <w:tcW w:w="174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《锅炉大气污染物排放标准》（GB13271-2014）中表</w:t>
            </w:r>
            <w:r>
              <w:rPr>
                <w:rFonts w:hint="eastAsia" w:ascii="Times New Roman" w:eastAsiaTheme="minorEastAsia"/>
                <w:color w:val="000000" w:themeColor="text1"/>
                <w:sz w:val="21"/>
                <w:szCs w:val="21"/>
                <w14:textFill>
                  <w14:solidFill>
                    <w14:schemeClr w14:val="tx1"/>
                  </w14:solidFill>
                </w14:textFill>
              </w:rPr>
              <w:t>1在用</w:t>
            </w:r>
            <w:r>
              <w:rPr>
                <w:rFonts w:ascii="Times New Roman" w:eastAsiaTheme="minorEastAsia"/>
                <w:color w:val="000000" w:themeColor="text1"/>
                <w:sz w:val="21"/>
                <w:szCs w:val="21"/>
                <w14:textFill>
                  <w14:solidFill>
                    <w14:schemeClr w14:val="tx1"/>
                  </w14:solidFill>
                </w14:textFill>
              </w:rPr>
              <w:t>锅炉大气污染物排放浓度限值</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r>
              <w:rPr>
                <w:rFonts w:hint="eastAsia" w:ascii="Times New Roman" w:eastAsiaTheme="minorEastAsia"/>
                <w:color w:val="000000" w:themeColor="text1"/>
                <w:sz w:val="21"/>
                <w:szCs w:val="21"/>
                <w14:textFill>
                  <w14:solidFill>
                    <w14:schemeClr w14:val="tx1"/>
                  </w14:solidFill>
                </w14:textFill>
              </w:rPr>
              <w:t>8</w:t>
            </w:r>
            <w:r>
              <w:rPr>
                <w:rFonts w:ascii="Times New Roman" w:eastAsiaTheme="minorEastAsia"/>
                <w:color w:val="000000" w:themeColor="text1"/>
                <w:sz w:val="21"/>
                <w:szCs w:val="21"/>
                <w14:textFill>
                  <w14:solidFill>
                    <w14:schemeClr w14:val="tx1"/>
                  </w14:solidFill>
                </w14:textFill>
              </w:rPr>
              <w:t>0mg/m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，SO2≤</w:t>
            </w:r>
            <w:r>
              <w:rPr>
                <w:rFonts w:hint="eastAsia" w:ascii="Times New Roman" w:eastAsiaTheme="minorEastAsia"/>
                <w:color w:val="000000" w:themeColor="text1"/>
                <w:sz w:val="21"/>
                <w:szCs w:val="21"/>
                <w14:textFill>
                  <w14:solidFill>
                    <w14:schemeClr w14:val="tx1"/>
                  </w14:solidFill>
                </w14:textFill>
              </w:rPr>
              <w:t>4</w:t>
            </w:r>
            <w:r>
              <w:rPr>
                <w:rFonts w:ascii="Times New Roman" w:eastAsiaTheme="minorEastAsia"/>
                <w:color w:val="000000" w:themeColor="text1"/>
                <w:sz w:val="21"/>
                <w:szCs w:val="21"/>
                <w14:textFill>
                  <w14:solidFill>
                    <w14:schemeClr w14:val="tx1"/>
                  </w14:solidFill>
                </w14:textFill>
              </w:rPr>
              <w:t>00mg/m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，NOx≤</w:t>
            </w:r>
            <w:r>
              <w:rPr>
                <w:rFonts w:hint="eastAsia" w:ascii="Times New Roman" w:eastAsiaTheme="minorEastAsia"/>
                <w:color w:val="000000" w:themeColor="text1"/>
                <w:sz w:val="21"/>
                <w:szCs w:val="21"/>
                <w14:textFill>
                  <w14:solidFill>
                    <w14:schemeClr w14:val="tx1"/>
                  </w14:solidFill>
                </w14:textFill>
              </w:rPr>
              <w:t>4</w:t>
            </w:r>
            <w:r>
              <w:rPr>
                <w:rFonts w:ascii="Times New Roman" w:eastAsiaTheme="minorEastAsia"/>
                <w:color w:val="000000" w:themeColor="text1"/>
                <w:sz w:val="21"/>
                <w:szCs w:val="21"/>
                <w14:textFill>
                  <w14:solidFill>
                    <w14:schemeClr w14:val="tx1"/>
                  </w14:solidFill>
                </w14:textFill>
              </w:rPr>
              <w:t>00mg/m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4" w:hRule="atLeast"/>
          <w:jc w:val="center"/>
        </w:trPr>
        <w:tc>
          <w:tcPr>
            <w:tcW w:w="533" w:type="pct"/>
            <w:vMerge w:val="continue"/>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煤场</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无组织</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粉尘</w:t>
            </w:r>
          </w:p>
        </w:tc>
        <w:tc>
          <w:tcPr>
            <w:tcW w:w="13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半</w:t>
            </w:r>
            <w:r>
              <w:rPr>
                <w:rFonts w:ascii="Times New Roman" w:eastAsiaTheme="minorEastAsia"/>
                <w:color w:val="000000" w:themeColor="text1"/>
                <w:sz w:val="21"/>
                <w:szCs w:val="21"/>
                <w14:textFill>
                  <w14:solidFill>
                    <w14:schemeClr w14:val="tx1"/>
                  </w14:solidFill>
                </w14:textFill>
              </w:rPr>
              <w:t>封闭式储煤场，</w:t>
            </w:r>
            <w:r>
              <w:rPr>
                <w:rFonts w:hint="eastAsia" w:ascii="Times New Roman" w:eastAsiaTheme="minorEastAsia"/>
                <w:color w:val="000000" w:themeColor="text1"/>
                <w:sz w:val="21"/>
                <w:szCs w:val="21"/>
                <w14:textFill>
                  <w14:solidFill>
                    <w14:schemeClr w14:val="tx1"/>
                  </w14:solidFill>
                </w14:textFill>
              </w:rPr>
              <w:t>在储煤场四周设置防风抑尘网（长度550m，高度10m）并才用苫布遮盖，定期洒水增湿降尘</w:t>
            </w:r>
          </w:p>
        </w:tc>
        <w:tc>
          <w:tcPr>
            <w:tcW w:w="174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《大气污染物综合排放标准》(GB16297-1996)厂界无组织监控浓度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3" w:type="pct"/>
            <w:vMerge w:val="restar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废水</w:t>
            </w:r>
          </w:p>
        </w:tc>
        <w:tc>
          <w:tcPr>
            <w:tcW w:w="7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锅炉排污水</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SS</w:t>
            </w:r>
          </w:p>
        </w:tc>
        <w:tc>
          <w:tcPr>
            <w:tcW w:w="13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锅炉排污水回用于冲渣、输煤系统的洒水抑尘、地面冲洗。</w:t>
            </w:r>
          </w:p>
        </w:tc>
        <w:tc>
          <w:tcPr>
            <w:tcW w:w="174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6" w:hRule="exact"/>
          <w:jc w:val="center"/>
        </w:trPr>
        <w:tc>
          <w:tcPr>
            <w:tcW w:w="533" w:type="pct"/>
            <w:vMerge w:val="continue"/>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生活污水</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CODcr、NH3-N等</w:t>
            </w:r>
          </w:p>
        </w:tc>
        <w:tc>
          <w:tcPr>
            <w:tcW w:w="13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生活污水</w:t>
            </w:r>
            <w:r>
              <w:rPr>
                <w:rFonts w:hint="eastAsia" w:ascii="Times New Roman" w:eastAsiaTheme="minorEastAsia"/>
                <w:color w:val="000000" w:themeColor="text1"/>
                <w:sz w:val="21"/>
                <w:szCs w:val="21"/>
                <w14:textFill>
                  <w14:solidFill>
                    <w14:schemeClr w14:val="tx1"/>
                  </w14:solidFill>
                </w14:textFill>
              </w:rPr>
              <w:t>排入</w:t>
            </w:r>
            <w:r>
              <w:rPr>
                <w:rFonts w:ascii="Times New Roman" w:eastAsiaTheme="minorEastAsia"/>
                <w:color w:val="000000" w:themeColor="text1"/>
                <w:sz w:val="21"/>
                <w:szCs w:val="21"/>
                <w14:textFill>
                  <w14:solidFill>
                    <w14:schemeClr w14:val="tx1"/>
                  </w14:solidFill>
                </w14:textFill>
              </w:rPr>
              <w:t>防渗化粪池</w:t>
            </w:r>
            <w:r>
              <w:rPr>
                <w:rFonts w:hint="eastAsia" w:ascii="Times New Roman" w:eastAsiaTheme="minorEastAsia"/>
                <w:color w:val="000000" w:themeColor="text1"/>
                <w:sz w:val="21"/>
                <w:szCs w:val="21"/>
                <w14:textFill>
                  <w14:solidFill>
                    <w14:schemeClr w14:val="tx1"/>
                  </w14:solidFill>
                </w14:textFill>
              </w:rPr>
              <w:t>，定期清运至黑龙江红兴隆农垦清洁污水处理有限公司（集中污水处理厂）进行处理</w:t>
            </w:r>
          </w:p>
        </w:tc>
        <w:tc>
          <w:tcPr>
            <w:tcW w:w="174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污水处理厂</w:t>
            </w:r>
            <w:r>
              <w:rPr>
                <w:rFonts w:ascii="Times New Roman" w:eastAsiaTheme="minorEastAsia"/>
                <w:color w:val="000000" w:themeColor="text1"/>
                <w:sz w:val="21"/>
                <w:szCs w:val="21"/>
                <w14:textFill>
                  <w14:solidFill>
                    <w14:schemeClr w14:val="tx1"/>
                  </w14:solidFill>
                </w14:textFill>
              </w:rPr>
              <w:t>入厂水质控制指标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3" w:type="pc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7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风机、水泵车辆等设备</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13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选用低噪声设备、减振、隔声、减速慢行</w:t>
            </w:r>
          </w:p>
        </w:tc>
        <w:tc>
          <w:tcPr>
            <w:tcW w:w="174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《工业企业厂界环境噪声排放标准》（GB12348-2008）</w:t>
            </w: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9" w:hRule="exact"/>
          <w:jc w:val="center"/>
        </w:trPr>
        <w:tc>
          <w:tcPr>
            <w:tcW w:w="533" w:type="pct"/>
            <w:vMerge w:val="restar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固体废物</w:t>
            </w:r>
          </w:p>
        </w:tc>
        <w:tc>
          <w:tcPr>
            <w:tcW w:w="7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灰渣、脱硫渣</w:t>
            </w:r>
          </w:p>
        </w:tc>
        <w:tc>
          <w:tcPr>
            <w:tcW w:w="13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脱硫渣、炉渣随产随运，除尘灰暂存于项目区封闭灰库，全部外售综合利用</w:t>
            </w:r>
          </w:p>
        </w:tc>
        <w:tc>
          <w:tcPr>
            <w:tcW w:w="1740" w:type="pct"/>
            <w:vMerge w:val="restar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《一般工业固体废物贮存和填埋污染控制标准》</w:t>
            </w:r>
            <w:r>
              <w:rPr>
                <w:rFonts w:ascii="Times New Roman" w:eastAsiaTheme="minorEastAsia"/>
                <w:color w:val="000000" w:themeColor="text1"/>
                <w:sz w:val="21"/>
                <w:szCs w:val="21"/>
                <w14:textFill>
                  <w14:solidFill>
                    <w14:schemeClr w14:val="tx1"/>
                  </w14:solidFill>
                </w14:textFill>
              </w:rPr>
              <w:t>(GB18599-2020)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9" w:hRule="exact"/>
          <w:jc w:val="center"/>
        </w:trPr>
        <w:tc>
          <w:tcPr>
            <w:tcW w:w="533" w:type="pct"/>
            <w:vMerge w:val="continue"/>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软化水系统</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废树脂</w:t>
            </w:r>
          </w:p>
        </w:tc>
        <w:tc>
          <w:tcPr>
            <w:tcW w:w="13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软化水系统产生的废树脂为</w:t>
            </w:r>
            <w:r>
              <w:rPr>
                <w:rFonts w:hint="eastAsia" w:ascii="Times New Roman" w:eastAsiaTheme="minorEastAsia"/>
                <w:color w:val="000000" w:themeColor="text1"/>
                <w:sz w:val="21"/>
                <w:szCs w:val="21"/>
                <w14:textFill>
                  <w14:solidFill>
                    <w14:schemeClr w14:val="tx1"/>
                  </w14:solidFill>
                </w14:textFill>
              </w:rPr>
              <w:t>一般固体废物</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集中收集后交由树脂生产企业回收处置</w:t>
            </w:r>
          </w:p>
        </w:tc>
        <w:tc>
          <w:tcPr>
            <w:tcW w:w="1740" w:type="pct"/>
            <w:vMerge w:val="continue"/>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3" w:type="pct"/>
            <w:vMerge w:val="continue"/>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工作人员</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生活垃圾</w:t>
            </w:r>
          </w:p>
        </w:tc>
        <w:tc>
          <w:tcPr>
            <w:tcW w:w="13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暂存于项目区生活垃圾箱，由市政环卫部门统一处理</w:t>
            </w:r>
          </w:p>
        </w:tc>
        <w:tc>
          <w:tcPr>
            <w:tcW w:w="1740" w:type="pct"/>
            <w:vMerge w:val="continue"/>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33" w:type="pct"/>
            <w:tcBorders>
              <w:left w:val="nil"/>
              <w:bottom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bookmarkStart w:id="92" w:name="_Toc18699"/>
            <w:r>
              <w:rPr>
                <w:rFonts w:hint="eastAsia" w:ascii="Times New Roman" w:eastAsiaTheme="minorEastAsia"/>
                <w:color w:val="000000" w:themeColor="text1"/>
                <w:sz w:val="21"/>
                <w:szCs w:val="21"/>
                <w14:textFill>
                  <w14:solidFill>
                    <w14:schemeClr w14:val="tx1"/>
                  </w14:solidFill>
                </w14:textFill>
              </w:rPr>
              <w:t>危险废物</w:t>
            </w:r>
          </w:p>
        </w:tc>
        <w:tc>
          <w:tcPr>
            <w:tcW w:w="766" w:type="pct"/>
            <w:tcBorders>
              <w:bottom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设备维修</w:t>
            </w:r>
          </w:p>
        </w:tc>
        <w:tc>
          <w:tcPr>
            <w:tcW w:w="651" w:type="pct"/>
            <w:tcBorders>
              <w:bottom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废机油</w:t>
            </w:r>
          </w:p>
        </w:tc>
        <w:tc>
          <w:tcPr>
            <w:tcW w:w="1310" w:type="pct"/>
            <w:tcBorders>
              <w:bottom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集中收集后在危废贮存库内暂存，后委托具有资质单位进行处置</w:t>
            </w:r>
          </w:p>
        </w:tc>
        <w:tc>
          <w:tcPr>
            <w:tcW w:w="1740" w:type="pct"/>
            <w:tcBorders>
              <w:bottom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《危险废物贮存污染控制标准》（</w:t>
            </w:r>
            <w:r>
              <w:rPr>
                <w:rFonts w:ascii="Times New Roman" w:eastAsiaTheme="minorEastAsia"/>
                <w:color w:val="000000" w:themeColor="text1"/>
                <w:sz w:val="21"/>
                <w:szCs w:val="21"/>
                <w14:textFill>
                  <w14:solidFill>
                    <w14:schemeClr w14:val="tx1"/>
                  </w14:solidFill>
                </w14:textFill>
              </w:rPr>
              <w:t>GB18597-20</w:t>
            </w:r>
            <w:r>
              <w:rPr>
                <w:rFonts w:hint="eastAsia" w:ascii="Times New Roman" w:eastAsiaTheme="minorEastAsia"/>
                <w:color w:val="000000" w:themeColor="text1"/>
                <w:sz w:val="21"/>
                <w:szCs w:val="21"/>
                <w14:textFill>
                  <w14:solidFill>
                    <w14:schemeClr w14:val="tx1"/>
                  </w14:solidFill>
                </w14:textFill>
              </w:rPr>
              <w:t>23）</w:t>
            </w:r>
          </w:p>
        </w:tc>
      </w:tr>
    </w:tbl>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6</w:t>
      </w:r>
      <w:r>
        <w:rPr>
          <w:rFonts w:ascii="Times New Roman" w:hAnsi="Times New Roman" w:cs="Times New Roman" w:eastAsiaTheme="minorEastAsia"/>
          <w:color w:val="000000" w:themeColor="text1"/>
          <w:sz w:val="24"/>
          <w:szCs w:val="24"/>
          <w:lang w:val="en-US" w:bidi="ar-SA"/>
          <w14:textFill>
            <w14:solidFill>
              <w14:schemeClr w14:val="tx1"/>
            </w14:solidFill>
          </w14:textFill>
        </w:rPr>
        <w:t>.2 废气</w:t>
      </w:r>
      <w:bookmarkEnd w:id="92"/>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2022年11月，黑龙江农泉兴隆热力有限公司对现有2台70MW热水锅炉脱硫设备进行改造，同时将现有除尘设备更换为两台布袋式除尘，改造后脱硫设备仍采用湿式氧化镁法脱硫，并于2023年供热期运行。</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根据建设单位2023年10月-12月在线监测数据</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w:t>
      </w:r>
      <w:r>
        <w:rPr>
          <w:rFonts w:ascii="Times New Roman" w:hAnsi="Times New Roman" w:cs="Times New Roman" w:eastAsiaTheme="minorEastAsia"/>
          <w:color w:val="000000" w:themeColor="text1"/>
          <w:sz w:val="24"/>
          <w:szCs w:val="24"/>
          <w:lang w:val="en-US"/>
          <w14:textFill>
            <w14:solidFill>
              <w14:schemeClr w14:val="tx1"/>
            </w14:solidFill>
          </w14:textFill>
        </w:rPr>
        <w:t>原有热水锅炉烟气经过处理后SO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X</w:t>
      </w:r>
      <w:r>
        <w:rPr>
          <w:rFonts w:ascii="Times New Roman" w:hAnsi="Times New Roman" w:cs="Times New Roman" w:eastAsiaTheme="minorEastAsia"/>
          <w:color w:val="000000" w:themeColor="text1"/>
          <w:sz w:val="24"/>
          <w:szCs w:val="24"/>
          <w:lang w:val="en-US"/>
          <w14:textFill>
            <w14:solidFill>
              <w14:schemeClr w14:val="tx1"/>
            </w14:solidFill>
          </w14:textFill>
        </w:rPr>
        <w:t>、颗粒物的排放浓度均能够满足《锅炉大气污染物排放标准》（GB13271-2014）表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1在用</w:t>
      </w:r>
      <w:r>
        <w:rPr>
          <w:rFonts w:ascii="Times New Roman" w:hAnsi="Times New Roman" w:cs="Times New Roman" w:eastAsiaTheme="minorEastAsia"/>
          <w:color w:val="000000" w:themeColor="text1"/>
          <w:sz w:val="24"/>
          <w:szCs w:val="24"/>
          <w:lang w:val="en-US"/>
          <w14:textFill>
            <w14:solidFill>
              <w14:schemeClr w14:val="tx1"/>
            </w14:solidFill>
          </w14:textFill>
        </w:rPr>
        <w:t>锅炉大气污染物排放浓度限值要求（SO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00 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X</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00 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、颗粒物：</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w:t>
      </w:r>
      <w:r>
        <w:rPr>
          <w:rFonts w:ascii="Times New Roman" w:hAnsi="Times New Roman" w:cs="Times New Roman" w:eastAsiaTheme="minorEastAsia"/>
          <w:color w:val="000000" w:themeColor="text1"/>
          <w:sz w:val="24"/>
          <w:szCs w:val="24"/>
          <w:lang w:val="en-US"/>
          <w14:textFill>
            <w14:solidFill>
              <w14:schemeClr w14:val="tx1"/>
            </w14:solidFill>
          </w14:textFill>
        </w:rPr>
        <w:t>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、汞及其化合物：0.05mg/m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、烟气黑度≤1级）。</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根据《黑龙江省农垦红兴隆管理局局直集中供热站项目建设项目竣工环境保护验收检测报告》，厂界无组织粉尘能够满足《大气污染物综合排放标准》(GB16297-1996)厂界无组织监控浓度。</w:t>
      </w:r>
    </w:p>
    <w:p>
      <w:pPr>
        <w:pStyle w:val="89"/>
        <w:ind w:firstLine="180"/>
        <w:rPr>
          <w:color w:val="000000" w:themeColor="text1"/>
          <w:lang w:val="en-US"/>
          <w14:textFill>
            <w14:solidFill>
              <w14:schemeClr w14:val="tx1"/>
            </w14:solidFill>
          </w14:textFill>
        </w:rPr>
      </w:pPr>
    </w:p>
    <w:p>
      <w:pPr>
        <w:pStyle w:val="90"/>
        <w:ind w:firstLine="210"/>
        <w:rPr>
          <w:color w:val="000000" w:themeColor="text1"/>
          <w:lang w:val="en-US"/>
          <w14:textFill>
            <w14:solidFill>
              <w14:schemeClr w14:val="tx1"/>
            </w14:solidFill>
          </w14:textFill>
        </w:rPr>
      </w:pPr>
    </w:p>
    <w:p>
      <w:pPr>
        <w:ind w:firstLine="180"/>
        <w:rPr>
          <w:color w:val="000000" w:themeColor="text1"/>
          <w:lang w:val="en-US"/>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表3-1-</w:t>
      </w:r>
      <w:r>
        <w:rPr>
          <w:rFonts w:hint="eastAsia" w:ascii="Times New Roman" w:hAnsiTheme="minorEastAsia" w:eastAsiaTheme="minorEastAsia"/>
          <w:b/>
          <w:bCs/>
          <w:color w:val="000000" w:themeColor="text1"/>
          <w:szCs w:val="24"/>
          <w14:textFill>
            <w14:solidFill>
              <w14:schemeClr w14:val="tx1"/>
            </w14:solidFill>
          </w14:textFill>
        </w:rPr>
        <w:t xml:space="preserve">4 </w:t>
      </w:r>
      <w:r>
        <w:rPr>
          <w:rFonts w:ascii="Times New Roman" w:hAnsiTheme="minorEastAsia" w:eastAsiaTheme="minorEastAsia"/>
          <w:b/>
          <w:bCs/>
          <w:color w:val="000000" w:themeColor="text1"/>
          <w:szCs w:val="24"/>
          <w14:textFill>
            <w14:solidFill>
              <w14:schemeClr w14:val="tx1"/>
            </w14:solidFill>
          </w14:textFill>
        </w:rPr>
        <w:t>原有锅炉大气污染物排放</w:t>
      </w:r>
      <w:r>
        <w:rPr>
          <w:rFonts w:hint="eastAsia" w:ascii="Times New Roman" w:hAnsiTheme="minorEastAsia" w:eastAsiaTheme="minorEastAsia"/>
          <w:b/>
          <w:bCs/>
          <w:color w:val="000000" w:themeColor="text1"/>
          <w:szCs w:val="24"/>
          <w14:textFill>
            <w14:solidFill>
              <w14:schemeClr w14:val="tx1"/>
            </w14:solidFill>
          </w14:textFill>
        </w:rPr>
        <w:t>在线监测</w:t>
      </w:r>
      <w:r>
        <w:rPr>
          <w:rFonts w:ascii="Times New Roman" w:hAnsiTheme="minorEastAsia" w:eastAsiaTheme="minorEastAsia"/>
          <w:b/>
          <w:bCs/>
          <w:color w:val="000000" w:themeColor="text1"/>
          <w:szCs w:val="24"/>
          <w14:textFill>
            <w14:solidFill>
              <w14:schemeClr w14:val="tx1"/>
            </w14:solidFill>
          </w14:textFill>
        </w:rPr>
        <w:t>结果</w:t>
      </w:r>
    </w:p>
    <w:tbl>
      <w:tblPr>
        <w:tblStyle w:val="7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7"/>
        <w:gridCol w:w="1646"/>
        <w:gridCol w:w="1592"/>
        <w:gridCol w:w="1603"/>
        <w:gridCol w:w="1660"/>
        <w:gridCol w:w="16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5" w:hRule="atLeast"/>
          <w:jc w:val="center"/>
        </w:trPr>
        <w:tc>
          <w:tcPr>
            <w:tcW w:w="5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采样点位</w:t>
            </w:r>
          </w:p>
        </w:tc>
        <w:tc>
          <w:tcPr>
            <w:tcW w:w="8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采样时间</w:t>
            </w: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检测项目</w:t>
            </w:r>
          </w:p>
        </w:tc>
        <w:tc>
          <w:tcPr>
            <w:tcW w:w="8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实测浓度(mg/m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9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折算浓度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9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排放速率（t</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3" w:hRule="exact"/>
          <w:jc w:val="center"/>
        </w:trPr>
        <w:tc>
          <w:tcPr>
            <w:tcW w:w="54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w:t>
            </w:r>
            <w:r>
              <w:rPr>
                <w:rFonts w:hint="eastAsia" w:ascii="Times New Roman" w:eastAsiaTheme="minorEastAsia"/>
                <w:color w:val="000000" w:themeColor="text1"/>
                <w:sz w:val="21"/>
                <w:szCs w:val="21"/>
                <w14:textFill>
                  <w14:solidFill>
                    <w14:schemeClr w14:val="tx1"/>
                  </w14:solidFill>
                </w14:textFill>
              </w:rPr>
              <w:t>除尘器后采样口</w:t>
            </w:r>
          </w:p>
        </w:tc>
        <w:tc>
          <w:tcPr>
            <w:tcW w:w="89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w:t>
            </w:r>
            <w:r>
              <w:rPr>
                <w:rFonts w:hint="eastAsia" w:ascii="Times New Roman" w:eastAsiaTheme="minorEastAsia"/>
                <w:color w:val="000000" w:themeColor="text1"/>
                <w:sz w:val="21"/>
                <w:szCs w:val="21"/>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年</w:t>
            </w:r>
            <w:r>
              <w:rPr>
                <w:rFonts w:hint="eastAsia" w:ascii="Times New Roman" w:eastAsiaTheme="minorEastAsia"/>
                <w:color w:val="000000" w:themeColor="text1"/>
                <w:sz w:val="21"/>
                <w:szCs w:val="21"/>
                <w14:textFill>
                  <w14:solidFill>
                    <w14:schemeClr w14:val="tx1"/>
                  </w14:solidFill>
                </w14:textFill>
              </w:rPr>
              <w:t>10</w:t>
            </w:r>
            <w:r>
              <w:rPr>
                <w:rFonts w:ascii="Times New Roman" w:eastAsiaTheme="minorEastAsia"/>
                <w:color w:val="000000" w:themeColor="text1"/>
                <w:sz w:val="21"/>
                <w:szCs w:val="21"/>
                <w14:textFill>
                  <w14:solidFill>
                    <w14:schemeClr w14:val="tx1"/>
                  </w14:solidFill>
                </w14:textFill>
              </w:rPr>
              <w:t>月</w:t>
            </w:r>
            <w:r>
              <w:rPr>
                <w:rFonts w:hint="eastAsia" w:ascii="Times New Roman" w:eastAsiaTheme="minorEastAsia"/>
                <w:color w:val="000000" w:themeColor="text1"/>
                <w:sz w:val="21"/>
                <w:szCs w:val="21"/>
                <w14:textFill>
                  <w14:solidFill>
                    <w14:schemeClr w14:val="tx1"/>
                  </w14:solidFill>
                </w14:textFill>
              </w:rPr>
              <w:t>均值（样本数：30666）</w:t>
            </w: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标杆烟气流量（m</w:t>
            </w:r>
            <w:r>
              <w:rPr>
                <w:rFonts w:hint="eastAsia" w:ascii="Times New Roman" w:eastAsiaTheme="minorEastAsia"/>
                <w:color w:val="000000" w:themeColor="text1"/>
                <w:sz w:val="21"/>
                <w:szCs w:val="21"/>
                <w:vertAlign w:val="superscript"/>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/d）</w:t>
            </w:r>
          </w:p>
        </w:tc>
        <w:tc>
          <w:tcPr>
            <w:tcW w:w="2689"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375.51×10</w:t>
            </w:r>
            <w:r>
              <w:rPr>
                <w:rFonts w:hint="eastAsia" w:ascii="Times New Roman" w:eastAsiaTheme="minorEastAsia"/>
                <w:color w:val="000000" w:themeColor="text1"/>
                <w:sz w:val="21"/>
                <w:szCs w:val="21"/>
                <w:vertAlign w:val="superscript"/>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54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含氧量（%）</w:t>
            </w:r>
          </w:p>
        </w:tc>
        <w:tc>
          <w:tcPr>
            <w:tcW w:w="2689"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54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烟尘</w:t>
            </w:r>
          </w:p>
        </w:tc>
        <w:tc>
          <w:tcPr>
            <w:tcW w:w="8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30.83</w:t>
            </w:r>
          </w:p>
        </w:tc>
        <w:tc>
          <w:tcPr>
            <w:tcW w:w="9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47.49</w:t>
            </w:r>
          </w:p>
        </w:tc>
        <w:tc>
          <w:tcPr>
            <w:tcW w:w="9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0.1182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54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二氧化硫</w:t>
            </w:r>
          </w:p>
        </w:tc>
        <w:tc>
          <w:tcPr>
            <w:tcW w:w="8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107.80</w:t>
            </w:r>
          </w:p>
        </w:tc>
        <w:tc>
          <w:tcPr>
            <w:tcW w:w="9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162.38</w:t>
            </w:r>
          </w:p>
        </w:tc>
        <w:tc>
          <w:tcPr>
            <w:tcW w:w="9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0.6099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54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氮氧化物</w:t>
            </w:r>
          </w:p>
        </w:tc>
        <w:tc>
          <w:tcPr>
            <w:tcW w:w="8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93.69</w:t>
            </w:r>
          </w:p>
        </w:tc>
        <w:tc>
          <w:tcPr>
            <w:tcW w:w="9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140.62</w:t>
            </w:r>
          </w:p>
        </w:tc>
        <w:tc>
          <w:tcPr>
            <w:tcW w:w="9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0.5279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54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w:t>
            </w:r>
            <w:r>
              <w:rPr>
                <w:rFonts w:hint="eastAsia" w:ascii="Times New Roman" w:eastAsiaTheme="minorEastAsia"/>
                <w:color w:val="000000" w:themeColor="text1"/>
                <w:sz w:val="21"/>
                <w:szCs w:val="21"/>
                <w14:textFill>
                  <w14:solidFill>
                    <w14:schemeClr w14:val="tx1"/>
                  </w14:solidFill>
                </w14:textFill>
              </w:rPr>
              <w:t>除尘器后采样口</w:t>
            </w:r>
          </w:p>
        </w:tc>
        <w:tc>
          <w:tcPr>
            <w:tcW w:w="89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w:t>
            </w:r>
            <w:r>
              <w:rPr>
                <w:rFonts w:hint="eastAsia" w:ascii="Times New Roman" w:eastAsiaTheme="minorEastAsia"/>
                <w:color w:val="000000" w:themeColor="text1"/>
                <w:sz w:val="21"/>
                <w:szCs w:val="21"/>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年</w:t>
            </w:r>
            <w:r>
              <w:rPr>
                <w:rFonts w:hint="eastAsia" w:ascii="Times New Roman" w:eastAsiaTheme="minorEastAsia"/>
                <w:color w:val="000000" w:themeColor="text1"/>
                <w:sz w:val="21"/>
                <w:szCs w:val="21"/>
                <w14:textFill>
                  <w14:solidFill>
                    <w14:schemeClr w14:val="tx1"/>
                  </w14:solidFill>
                </w14:textFill>
              </w:rPr>
              <w:t>11</w:t>
            </w:r>
            <w:r>
              <w:rPr>
                <w:rFonts w:ascii="Times New Roman" w:eastAsiaTheme="minorEastAsia"/>
                <w:color w:val="000000" w:themeColor="text1"/>
                <w:sz w:val="21"/>
                <w:szCs w:val="21"/>
                <w14:textFill>
                  <w14:solidFill>
                    <w14:schemeClr w14:val="tx1"/>
                  </w14:solidFill>
                </w14:textFill>
              </w:rPr>
              <w:t>月</w:t>
            </w:r>
            <w:r>
              <w:rPr>
                <w:rFonts w:hint="eastAsia" w:ascii="Times New Roman" w:eastAsiaTheme="minorEastAsia"/>
                <w:color w:val="000000" w:themeColor="text1"/>
                <w:sz w:val="21"/>
                <w:szCs w:val="21"/>
                <w14:textFill>
                  <w14:solidFill>
                    <w14:schemeClr w14:val="tx1"/>
                  </w14:solidFill>
                </w14:textFill>
              </w:rPr>
              <w:t>均值（样本数：42899）</w:t>
            </w: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标杆烟气流量（m</w:t>
            </w:r>
            <w:r>
              <w:rPr>
                <w:rFonts w:hint="eastAsia" w:ascii="Times New Roman" w:eastAsiaTheme="minorEastAsia"/>
                <w:color w:val="000000" w:themeColor="text1"/>
                <w:sz w:val="21"/>
                <w:szCs w:val="21"/>
                <w:vertAlign w:val="superscript"/>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/d）</w:t>
            </w:r>
          </w:p>
        </w:tc>
        <w:tc>
          <w:tcPr>
            <w:tcW w:w="2689"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730.62×10</w:t>
            </w:r>
            <w:r>
              <w:rPr>
                <w:rFonts w:hint="eastAsia" w:ascii="Times New Roman" w:eastAsiaTheme="minorEastAsia"/>
                <w:color w:val="000000" w:themeColor="text1"/>
                <w:sz w:val="21"/>
                <w:szCs w:val="21"/>
                <w:vertAlign w:val="superscript"/>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54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含氧量（%）</w:t>
            </w:r>
          </w:p>
        </w:tc>
        <w:tc>
          <w:tcPr>
            <w:tcW w:w="2689"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13.63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54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烟尘</w:t>
            </w:r>
          </w:p>
        </w:tc>
        <w:tc>
          <w:tcPr>
            <w:tcW w:w="8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29.61</w:t>
            </w:r>
          </w:p>
        </w:tc>
        <w:tc>
          <w:tcPr>
            <w:tcW w:w="9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55.72</w:t>
            </w:r>
          </w:p>
        </w:tc>
        <w:tc>
          <w:tcPr>
            <w:tcW w:w="9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0.2131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54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二氧化硫</w:t>
            </w:r>
          </w:p>
        </w:tc>
        <w:tc>
          <w:tcPr>
            <w:tcW w:w="8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107.02</w:t>
            </w:r>
          </w:p>
        </w:tc>
        <w:tc>
          <w:tcPr>
            <w:tcW w:w="9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167.90</w:t>
            </w:r>
          </w:p>
        </w:tc>
        <w:tc>
          <w:tcPr>
            <w:tcW w:w="9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0.8287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54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氮氧化物</w:t>
            </w:r>
          </w:p>
        </w:tc>
        <w:tc>
          <w:tcPr>
            <w:tcW w:w="8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149.87</w:t>
            </w:r>
          </w:p>
        </w:tc>
        <w:tc>
          <w:tcPr>
            <w:tcW w:w="9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235.92</w:t>
            </w:r>
          </w:p>
        </w:tc>
        <w:tc>
          <w:tcPr>
            <w:tcW w:w="9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1.1461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54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w:t>
            </w:r>
            <w:r>
              <w:rPr>
                <w:rFonts w:hint="eastAsia" w:ascii="Times New Roman" w:eastAsiaTheme="minorEastAsia"/>
                <w:color w:val="000000" w:themeColor="text1"/>
                <w:sz w:val="21"/>
                <w:szCs w:val="21"/>
                <w14:textFill>
                  <w14:solidFill>
                    <w14:schemeClr w14:val="tx1"/>
                  </w14:solidFill>
                </w14:textFill>
              </w:rPr>
              <w:t>除尘器后采样口</w:t>
            </w:r>
          </w:p>
        </w:tc>
        <w:tc>
          <w:tcPr>
            <w:tcW w:w="89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w:t>
            </w:r>
            <w:r>
              <w:rPr>
                <w:rFonts w:hint="eastAsia" w:ascii="Times New Roman" w:eastAsiaTheme="minorEastAsia"/>
                <w:color w:val="000000" w:themeColor="text1"/>
                <w:sz w:val="21"/>
                <w:szCs w:val="21"/>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年</w:t>
            </w:r>
            <w:r>
              <w:rPr>
                <w:rFonts w:hint="eastAsia" w:ascii="Times New Roman" w:eastAsiaTheme="minorEastAsia"/>
                <w:color w:val="000000" w:themeColor="text1"/>
                <w:sz w:val="21"/>
                <w:szCs w:val="21"/>
                <w14:textFill>
                  <w14:solidFill>
                    <w14:schemeClr w14:val="tx1"/>
                  </w14:solidFill>
                </w14:textFill>
              </w:rPr>
              <w:t>12</w:t>
            </w:r>
            <w:r>
              <w:rPr>
                <w:rFonts w:ascii="Times New Roman" w:eastAsiaTheme="minorEastAsia"/>
                <w:color w:val="000000" w:themeColor="text1"/>
                <w:sz w:val="21"/>
                <w:szCs w:val="21"/>
                <w14:textFill>
                  <w14:solidFill>
                    <w14:schemeClr w14:val="tx1"/>
                  </w14:solidFill>
                </w14:textFill>
              </w:rPr>
              <w:t>月</w:t>
            </w:r>
            <w:r>
              <w:rPr>
                <w:rFonts w:hint="eastAsia" w:ascii="Times New Roman" w:eastAsiaTheme="minorEastAsia"/>
                <w:color w:val="000000" w:themeColor="text1"/>
                <w:sz w:val="21"/>
                <w:szCs w:val="21"/>
                <w14:textFill>
                  <w14:solidFill>
                    <w14:schemeClr w14:val="tx1"/>
                  </w14:solidFill>
                </w14:textFill>
              </w:rPr>
              <w:t>均值（样本数：35019）</w:t>
            </w: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标杆烟气流量（m</w:t>
            </w:r>
            <w:r>
              <w:rPr>
                <w:rFonts w:hint="eastAsia" w:ascii="Times New Roman" w:eastAsiaTheme="minorEastAsia"/>
                <w:color w:val="000000" w:themeColor="text1"/>
                <w:sz w:val="21"/>
                <w:szCs w:val="21"/>
                <w:vertAlign w:val="superscript"/>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/d）</w:t>
            </w:r>
          </w:p>
        </w:tc>
        <w:tc>
          <w:tcPr>
            <w:tcW w:w="2689"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676.13×10</w:t>
            </w:r>
            <w:r>
              <w:rPr>
                <w:rFonts w:hint="eastAsia" w:ascii="Times New Roman" w:eastAsiaTheme="minorEastAsia"/>
                <w:color w:val="000000" w:themeColor="text1"/>
                <w:sz w:val="21"/>
                <w:szCs w:val="21"/>
                <w:vertAlign w:val="superscript"/>
                <w14:textFill>
                  <w14:solidFill>
                    <w14:schemeClr w14:val="tx1"/>
                  </w14:solidFill>
                </w14:textFill>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54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含氧量（%）</w:t>
            </w:r>
          </w:p>
        </w:tc>
        <w:tc>
          <w:tcPr>
            <w:tcW w:w="2689"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11.73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54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烟尘</w:t>
            </w:r>
          </w:p>
        </w:tc>
        <w:tc>
          <w:tcPr>
            <w:tcW w:w="8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32.62</w:t>
            </w:r>
          </w:p>
        </w:tc>
        <w:tc>
          <w:tcPr>
            <w:tcW w:w="9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64.16</w:t>
            </w:r>
          </w:p>
        </w:tc>
        <w:tc>
          <w:tcPr>
            <w:tcW w:w="9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0.2213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54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二氧化硫</w:t>
            </w:r>
          </w:p>
        </w:tc>
        <w:tc>
          <w:tcPr>
            <w:tcW w:w="8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150.02</w:t>
            </w:r>
          </w:p>
        </w:tc>
        <w:tc>
          <w:tcPr>
            <w:tcW w:w="9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189.15</w:t>
            </w:r>
          </w:p>
        </w:tc>
        <w:tc>
          <w:tcPr>
            <w:tcW w:w="9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1.0237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54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氮氧化物</w:t>
            </w:r>
          </w:p>
        </w:tc>
        <w:tc>
          <w:tcPr>
            <w:tcW w:w="8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200.24</w:t>
            </w:r>
          </w:p>
        </w:tc>
        <w:tc>
          <w:tcPr>
            <w:tcW w:w="9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260.36</w:t>
            </w:r>
          </w:p>
        </w:tc>
        <w:tc>
          <w:tcPr>
            <w:tcW w:w="9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1.3837</w:t>
            </w:r>
          </w:p>
        </w:tc>
      </w:tr>
    </w:tbl>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93" w:name="_Toc31161"/>
      <w:r>
        <w:rPr>
          <w:rFonts w:ascii="Times New Roman" w:hAnsi="Times New Roman" w:cs="Times New Roman" w:eastAsiaTheme="minorEastAsia"/>
          <w:color w:val="000000" w:themeColor="text1"/>
          <w:sz w:val="24"/>
          <w:szCs w:val="24"/>
          <w:lang w:val="en-US" w:bidi="ar-SA"/>
          <w14:textFill>
            <w14:solidFill>
              <w14:schemeClr w14:val="tx1"/>
            </w14:solidFill>
          </w14:textFill>
        </w:rPr>
        <w:t>3.1.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6</w:t>
      </w:r>
      <w:r>
        <w:rPr>
          <w:rFonts w:ascii="Times New Roman" w:hAnsi="Times New Roman" w:cs="Times New Roman" w:eastAsiaTheme="minorEastAsia"/>
          <w:color w:val="000000" w:themeColor="text1"/>
          <w:sz w:val="24"/>
          <w:szCs w:val="24"/>
          <w:lang w:val="en-US" w:bidi="ar-SA"/>
          <w14:textFill>
            <w14:solidFill>
              <w14:schemeClr w14:val="tx1"/>
            </w14:solidFill>
          </w14:textFill>
        </w:rPr>
        <w:t>.3 废水</w:t>
      </w:r>
      <w:bookmarkEnd w:id="93"/>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根据《黑龙江省农垦红兴隆管理局局直集中供热站项目建设项目竣工环境保护验收检测报告》，</w:t>
      </w:r>
      <w:r>
        <w:rPr>
          <w:rFonts w:ascii="Times New Roman" w:hAnsi="Times New Roman" w:cs="Times New Roman" w:eastAsiaTheme="minorEastAsia"/>
          <w:color w:val="000000" w:themeColor="text1"/>
          <w:sz w:val="24"/>
          <w:szCs w:val="24"/>
          <w:lang w:val="en-US"/>
          <w14:textFill>
            <w14:solidFill>
              <w14:schemeClr w14:val="tx1"/>
            </w14:solidFill>
          </w14:textFill>
        </w:rPr>
        <w:t>本项目废水有锅炉排污水和生活污水。锅炉排污水用于输煤降尘、除灰渣、地面冲洗及脱硫塔脱硫，不外排。</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生活污水产生量为0.8t/d、292t/a，其主要污染物为COD、氨氮，浓度分别为300mg/L、30mg/L，可以满足</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红兴隆管理局污水处理厂</w:t>
      </w:r>
      <w:r>
        <w:rPr>
          <w:rFonts w:ascii="Times New Roman" w:hAnsi="Times New Roman" w:cs="Times New Roman" w:eastAsiaTheme="minorEastAsia"/>
          <w:color w:val="000000" w:themeColor="text1"/>
          <w:sz w:val="24"/>
          <w:szCs w:val="24"/>
          <w:lang w:val="en-US"/>
          <w14:textFill>
            <w14:solidFill>
              <w14:schemeClr w14:val="tx1"/>
            </w14:solidFill>
          </w14:textFill>
        </w:rPr>
        <w:t>入厂水质控制指标，生活污水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排入</w:t>
      </w:r>
      <w:r>
        <w:rPr>
          <w:rFonts w:ascii="Times New Roman" w:hAnsi="Times New Roman" w:cs="Times New Roman" w:eastAsiaTheme="minorEastAsia"/>
          <w:color w:val="000000" w:themeColor="text1"/>
          <w:sz w:val="24"/>
          <w:szCs w:val="24"/>
          <w:lang w:val="en-US"/>
          <w14:textFill>
            <w14:solidFill>
              <w14:schemeClr w14:val="tx1"/>
            </w14:solidFill>
          </w14:textFill>
        </w:rPr>
        <w:t>防渗化粪池</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，定期清运至黑龙江红兴隆农垦清洁污水处理有限公司（集中污水处理厂）进行处理。</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94" w:name="_Toc21586"/>
      <w:r>
        <w:rPr>
          <w:rFonts w:ascii="Times New Roman" w:hAnsi="Times New Roman" w:cs="Times New Roman" w:eastAsiaTheme="minorEastAsia"/>
          <w:color w:val="000000" w:themeColor="text1"/>
          <w:sz w:val="24"/>
          <w:szCs w:val="24"/>
          <w:lang w:val="en-US" w:bidi="ar-SA"/>
          <w14:textFill>
            <w14:solidFill>
              <w14:schemeClr w14:val="tx1"/>
            </w14:solidFill>
          </w14:textFill>
        </w:rPr>
        <w:t>3.1.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6</w:t>
      </w:r>
      <w:r>
        <w:rPr>
          <w:rFonts w:ascii="Times New Roman" w:hAnsi="Times New Roman" w:cs="Times New Roman" w:eastAsiaTheme="minorEastAsia"/>
          <w:color w:val="000000" w:themeColor="text1"/>
          <w:sz w:val="24"/>
          <w:szCs w:val="24"/>
          <w:lang w:val="en-US" w:bidi="ar-SA"/>
          <w14:textFill>
            <w14:solidFill>
              <w14:schemeClr w14:val="tx1"/>
            </w14:solidFill>
          </w14:textFill>
        </w:rPr>
        <w:t>.4 噪声</w:t>
      </w:r>
      <w:bookmarkEnd w:id="94"/>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项目原有噪声源主要为鼓风机、引风机、除渣机、输送机以及各种泵等，其声压级在85-100dB(A)之间，目前已对设备采取消声、减振、锅炉房主体建筑门窗封闭等措施。</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根据《黑龙江省农垦红兴隆管理局局直集中供热站项目建设项目竣工环境保护验收检测报告》，</w:t>
      </w:r>
      <w:r>
        <w:rPr>
          <w:rFonts w:ascii="Times New Roman" w:hAnsi="Times New Roman" w:cs="Times New Roman" w:eastAsiaTheme="minorEastAsia"/>
          <w:color w:val="000000" w:themeColor="text1"/>
          <w:sz w:val="24"/>
          <w:szCs w:val="24"/>
          <w:lang w:val="en-US"/>
          <w14:textFill>
            <w14:solidFill>
              <w14:schemeClr w14:val="tx1"/>
            </w14:solidFill>
          </w14:textFill>
        </w:rPr>
        <w:t>项目锅炉房厂界四周昼间、夜间噪声监测值均能够满足《工业企业厂界环境噪声排放标准》（GB12348-2008）中</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类声环境功能区标准要求。</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95" w:name="_Toc25804"/>
      <w:r>
        <w:rPr>
          <w:rFonts w:ascii="Times New Roman" w:hAnsi="Times New Roman" w:cs="Times New Roman" w:eastAsiaTheme="minorEastAsia"/>
          <w:color w:val="000000" w:themeColor="text1"/>
          <w:sz w:val="24"/>
          <w:szCs w:val="24"/>
          <w:lang w:val="en-US" w:bidi="ar-SA"/>
          <w14:textFill>
            <w14:solidFill>
              <w14:schemeClr w14:val="tx1"/>
            </w14:solidFill>
          </w14:textFill>
        </w:rPr>
        <w:t>3.1.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6</w:t>
      </w:r>
      <w:r>
        <w:rPr>
          <w:rFonts w:ascii="Times New Roman" w:hAnsi="Times New Roman" w:cs="Times New Roman" w:eastAsiaTheme="minorEastAsia"/>
          <w:color w:val="000000" w:themeColor="text1"/>
          <w:sz w:val="24"/>
          <w:szCs w:val="24"/>
          <w:lang w:val="en-US" w:bidi="ar-SA"/>
          <w14:textFill>
            <w14:solidFill>
              <w14:schemeClr w14:val="tx1"/>
            </w14:solidFill>
          </w14:textFill>
        </w:rPr>
        <w:t>.5 固废</w:t>
      </w:r>
      <w:bookmarkEnd w:id="95"/>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原有工程固体废物主要为职工生活垃圾、锅炉燃烧产生的炉灰渣及脱硫渣等。生活垃圾产生量为4.56t/a，目前项目区已经设置垃圾箱，生活垃圾暂存于垃圾箱内，每天由环卫部门统一收集至城市垃圾中转站，最终送垃圾场填埋处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锅炉灰渣产生量为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15396.9</w:t>
      </w:r>
      <w:r>
        <w:rPr>
          <w:rFonts w:ascii="Times New Roman" w:hAnsi="Times New Roman" w:cs="Times New Roman" w:eastAsiaTheme="minorEastAsia"/>
          <w:color w:val="000000" w:themeColor="text1"/>
          <w:sz w:val="24"/>
          <w:szCs w:val="24"/>
          <w:lang w:val="en-US"/>
          <w14:textFill>
            <w14:solidFill>
              <w14:schemeClr w14:val="tx1"/>
            </w14:solidFill>
          </w14:textFill>
        </w:rPr>
        <w:t>t/a，通过机械除渣系统，进入储渣</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场</w:t>
      </w:r>
      <w:r>
        <w:rPr>
          <w:rFonts w:ascii="Times New Roman" w:hAnsi="Times New Roman" w:cs="Times New Roman" w:eastAsiaTheme="minorEastAsia"/>
          <w:color w:val="000000" w:themeColor="text1"/>
          <w:sz w:val="24"/>
          <w:szCs w:val="24"/>
          <w:lang w:val="en-US"/>
          <w14:textFill>
            <w14:solidFill>
              <w14:schemeClr w14:val="tx1"/>
            </w14:solidFill>
          </w14:textFill>
        </w:rPr>
        <w:t>，外售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给黑龙江省东北大自然粮油集团有限公司及盛博煤炭经销处</w:t>
      </w:r>
      <w:r>
        <w:rPr>
          <w:rFonts w:ascii="Times New Roman" w:hAnsi="Times New Roman" w:cs="Times New Roman" w:eastAsiaTheme="minorEastAsia"/>
          <w:color w:val="000000" w:themeColor="text1"/>
          <w:sz w:val="24"/>
          <w:szCs w:val="24"/>
          <w:lang w:val="en-US"/>
          <w14:textFill>
            <w14:solidFill>
              <w14:schemeClr w14:val="tx1"/>
            </w14:solidFill>
          </w14:textFill>
        </w:rPr>
        <w:t>综合利用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（买卖协议见附件）</w:t>
      </w:r>
      <w:r>
        <w:rPr>
          <w:rFonts w:ascii="Times New Roman" w:hAnsi="Times New Roman" w:cs="Times New Roman" w:eastAsiaTheme="minorEastAsia"/>
          <w:color w:val="000000" w:themeColor="text1"/>
          <w:sz w:val="24"/>
          <w:szCs w:val="24"/>
          <w:lang w:val="en-US"/>
          <w14:textFill>
            <w14:solidFill>
              <w14:schemeClr w14:val="tx1"/>
            </w14:solidFill>
          </w14:textFill>
        </w:rPr>
        <w:t>。原有灰渣去向合理。项目脱硫渣产生量约为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500</w:t>
      </w:r>
      <w:r>
        <w:rPr>
          <w:rFonts w:ascii="Times New Roman" w:hAnsi="Times New Roman" w:cs="Times New Roman" w:eastAsiaTheme="minorEastAsia"/>
          <w:color w:val="000000" w:themeColor="text1"/>
          <w:sz w:val="24"/>
          <w:szCs w:val="24"/>
          <w:lang w:val="en-US"/>
          <w14:textFill>
            <w14:solidFill>
              <w14:schemeClr w14:val="tx1"/>
            </w14:solidFill>
          </w14:textFill>
        </w:rPr>
        <w:t>t/a，均外售综合利用。</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项目软化水系统产生的废树脂约为1t/a，软化水系统产生的废树脂为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一般固体废物</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集中收集后交由树脂生产企业回收处置</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本项目废机油产生量为0.</w:t>
      </w:r>
      <w:r>
        <w:rPr>
          <w:rFonts w:ascii="Times New Roman" w:hAnsi="Times New Roman" w:cs="Times New Roman" w:eastAsiaTheme="minorEastAsia"/>
          <w:color w:val="000000" w:themeColor="text1"/>
          <w:sz w:val="24"/>
          <w:szCs w:val="24"/>
          <w:lang w:val="en-US"/>
          <w14:textFill>
            <w14:solidFill>
              <w14:schemeClr w14:val="tx1"/>
            </w14:solidFill>
          </w14:textFill>
        </w:rPr>
        <w:t>1t/a，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集中收集后在危废贮存库内暂存，后委托具有资质单位进行处置。</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项目固废排放情况及处置现状见表3-1-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表3-1-</w:t>
      </w:r>
      <w:r>
        <w:rPr>
          <w:rFonts w:hint="eastAsia" w:ascii="Times New Roman" w:hAnsiTheme="minorEastAsia" w:eastAsiaTheme="minorEastAsia"/>
          <w:b/>
          <w:bCs/>
          <w:color w:val="000000" w:themeColor="text1"/>
          <w:szCs w:val="24"/>
          <w14:textFill>
            <w14:solidFill>
              <w14:schemeClr w14:val="tx1"/>
            </w14:solidFill>
          </w14:textFill>
        </w:rPr>
        <w:t>5 原有工程</w:t>
      </w:r>
      <w:r>
        <w:rPr>
          <w:rFonts w:ascii="Times New Roman" w:hAnsiTheme="minorEastAsia" w:eastAsiaTheme="minorEastAsia"/>
          <w:b/>
          <w:bCs/>
          <w:color w:val="000000" w:themeColor="text1"/>
          <w:szCs w:val="24"/>
          <w14:textFill>
            <w14:solidFill>
              <w14:schemeClr w14:val="tx1"/>
            </w14:solidFill>
          </w14:textFill>
        </w:rPr>
        <w:t>固废排放情况及处置现状</w:t>
      </w:r>
    </w:p>
    <w:tbl>
      <w:tblPr>
        <w:tblStyle w:val="7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80"/>
        <w:gridCol w:w="2099"/>
        <w:gridCol w:w="1598"/>
        <w:gridCol w:w="42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6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11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87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w:t>
            </w:r>
          </w:p>
        </w:tc>
        <w:tc>
          <w:tcPr>
            <w:tcW w:w="23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处理方式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6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1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灰渣量</w:t>
            </w:r>
          </w:p>
        </w:tc>
        <w:tc>
          <w:tcPr>
            <w:tcW w:w="87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15396.9</w:t>
            </w:r>
            <w:r>
              <w:rPr>
                <w:rFonts w:ascii="Times New Roman" w:eastAsiaTheme="minorEastAsia"/>
                <w:color w:val="000000" w:themeColor="text1"/>
                <w:sz w:val="21"/>
                <w:szCs w:val="21"/>
                <w14:textFill>
                  <w14:solidFill>
                    <w14:schemeClr w14:val="tx1"/>
                  </w14:solidFill>
                </w14:textFill>
              </w:rPr>
              <w:t>t/a</w:t>
            </w:r>
          </w:p>
        </w:tc>
        <w:tc>
          <w:tcPr>
            <w:tcW w:w="2342"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锅炉灰渣、脱硫渣等均外售</w:t>
            </w:r>
            <w:r>
              <w:rPr>
                <w:rFonts w:hint="eastAsia" w:ascii="Times New Roman" w:eastAsiaTheme="minorEastAsia"/>
                <w:color w:val="000000" w:themeColor="text1"/>
                <w:sz w:val="21"/>
                <w:szCs w:val="21"/>
                <w14:textFill>
                  <w14:solidFill>
                    <w14:schemeClr w14:val="tx1"/>
                  </w14:solidFill>
                </w14:textFill>
              </w:rPr>
              <w:t>给黑龙江省东北大自然粮油集团有限公司及盛博煤炭经销处</w:t>
            </w:r>
            <w:r>
              <w:rPr>
                <w:rFonts w:ascii="Times New Roman" w:eastAsiaTheme="minorEastAsia"/>
                <w:color w:val="000000" w:themeColor="text1"/>
                <w:sz w:val="21"/>
                <w:szCs w:val="21"/>
                <w14:textFill>
                  <w14:solidFill>
                    <w14:schemeClr w14:val="tx1"/>
                  </w14:solidFill>
                </w14:textFill>
              </w:rPr>
              <w:t>综合利用</w:t>
            </w:r>
            <w:r>
              <w:rPr>
                <w:rFonts w:hint="eastAsia" w:ascii="Times New Roman" w:eastAsiaTheme="minorEastAsia"/>
                <w:color w:val="000000" w:themeColor="text1"/>
                <w:sz w:val="21"/>
                <w:szCs w:val="21"/>
                <w14:textFill>
                  <w14:solidFill>
                    <w14:schemeClr w14:val="tx1"/>
                  </w14:solidFill>
                </w14:textFill>
              </w:rPr>
              <w:t>（买卖协议见附件）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6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11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脱硫渣</w:t>
            </w:r>
          </w:p>
        </w:tc>
        <w:tc>
          <w:tcPr>
            <w:tcW w:w="87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500</w:t>
            </w:r>
            <w:r>
              <w:rPr>
                <w:rFonts w:ascii="Times New Roman" w:eastAsiaTheme="minorEastAsia"/>
                <w:color w:val="000000" w:themeColor="text1"/>
                <w:sz w:val="21"/>
                <w:szCs w:val="21"/>
                <w14:textFill>
                  <w14:solidFill>
                    <w14:schemeClr w14:val="tx1"/>
                  </w14:solidFill>
                </w14:textFill>
              </w:rPr>
              <w:t>t/a</w:t>
            </w:r>
          </w:p>
        </w:tc>
        <w:tc>
          <w:tcPr>
            <w:tcW w:w="234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6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11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生活垃圾</w:t>
            </w:r>
          </w:p>
        </w:tc>
        <w:tc>
          <w:tcPr>
            <w:tcW w:w="87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4.56t/a</w:t>
            </w:r>
          </w:p>
        </w:tc>
        <w:tc>
          <w:tcPr>
            <w:tcW w:w="23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暂存于垃圾箱，由环卫部门统一处理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89" w:hRule="exact"/>
        </w:trPr>
        <w:tc>
          <w:tcPr>
            <w:tcW w:w="6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11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废树脂</w:t>
            </w:r>
          </w:p>
        </w:tc>
        <w:tc>
          <w:tcPr>
            <w:tcW w:w="87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1t/a</w:t>
            </w:r>
          </w:p>
        </w:tc>
        <w:tc>
          <w:tcPr>
            <w:tcW w:w="23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软化水系统产生的废树脂为</w:t>
            </w:r>
            <w:r>
              <w:rPr>
                <w:rFonts w:hint="eastAsia" w:ascii="Times New Roman" w:eastAsiaTheme="minorEastAsia"/>
                <w:color w:val="000000" w:themeColor="text1"/>
                <w:sz w:val="21"/>
                <w:szCs w:val="21"/>
                <w14:textFill>
                  <w14:solidFill>
                    <w14:schemeClr w14:val="tx1"/>
                  </w14:solidFill>
                </w14:textFill>
              </w:rPr>
              <w:t>一般固体废物</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集中收集后交由树脂生产企业回收处置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exact"/>
        </w:trPr>
        <w:tc>
          <w:tcPr>
            <w:tcW w:w="6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w:t>
            </w:r>
          </w:p>
        </w:tc>
        <w:tc>
          <w:tcPr>
            <w:tcW w:w="11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废机油</w:t>
            </w:r>
          </w:p>
        </w:tc>
        <w:tc>
          <w:tcPr>
            <w:tcW w:w="87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0.1t/a</w:t>
            </w:r>
          </w:p>
        </w:tc>
        <w:tc>
          <w:tcPr>
            <w:tcW w:w="23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集中收集后在危废贮存库内暂存，后委托具有资质单位进行处置</w:t>
            </w:r>
          </w:p>
        </w:tc>
      </w:tr>
    </w:tbl>
    <w:p>
      <w:pPr>
        <w:pStyle w:val="26"/>
        <w:ind w:firstLine="180"/>
        <w:rPr>
          <w:snapToGrid w:val="0"/>
          <w:color w:val="000000" w:themeColor="text1"/>
          <w14:textFill>
            <w14:solidFill>
              <w14:schemeClr w14:val="tx1"/>
            </w14:solidFill>
          </w14:textFill>
        </w:rPr>
      </w:pPr>
      <w:bookmarkStart w:id="96" w:name="_Toc24575"/>
    </w:p>
    <w:p>
      <w:pPr>
        <w:pStyle w:val="26"/>
        <w:ind w:firstLine="180"/>
        <w:rPr>
          <w:snapToGrid w:val="0"/>
          <w:color w:val="000000" w:themeColor="text1"/>
          <w14:textFill>
            <w14:solidFill>
              <w14:schemeClr w14:val="tx1"/>
            </w14:solidFill>
          </w14:textFill>
        </w:rPr>
      </w:pPr>
    </w:p>
    <w:p>
      <w:pPr>
        <w:pStyle w:val="89"/>
        <w:ind w:firstLine="180"/>
        <w:rPr>
          <w:color w:val="000000" w:themeColor="text1"/>
          <w14:textFill>
            <w14:solidFill>
              <w14:schemeClr w14:val="tx1"/>
            </w14:solidFill>
          </w14:textFill>
        </w:rPr>
      </w:pPr>
    </w:p>
    <w:p>
      <w:pPr>
        <w:pStyle w:val="90"/>
        <w:ind w:firstLine="210"/>
        <w:rPr>
          <w:color w:val="000000" w:themeColor="text1"/>
          <w14:textFill>
            <w14:solidFill>
              <w14:schemeClr w14:val="tx1"/>
            </w14:solidFill>
          </w14:textFill>
        </w:rPr>
      </w:pP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6</w:t>
      </w:r>
      <w:r>
        <w:rPr>
          <w:rFonts w:ascii="Times New Roman" w:hAnsi="Times New Roman" w:cs="Times New Roman" w:eastAsiaTheme="minorEastAsia"/>
          <w:color w:val="000000" w:themeColor="text1"/>
          <w:sz w:val="24"/>
          <w:szCs w:val="24"/>
          <w:lang w:val="en-US" w:bidi="ar-SA"/>
          <w14:textFill>
            <w14:solidFill>
              <w14:schemeClr w14:val="tx1"/>
            </w14:solidFill>
          </w14:textFill>
        </w:rPr>
        <w:t>.6 原有项目污染物排放汇总</w:t>
      </w:r>
      <w:bookmarkEnd w:id="96"/>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根据黑龙江农泉兴隆热力有限公司2023年度排污许可执行报告，</w:t>
      </w:r>
      <w:r>
        <w:rPr>
          <w:rFonts w:ascii="Times New Roman" w:hAnsi="Times New Roman" w:cs="Times New Roman" w:eastAsiaTheme="minorEastAsia"/>
          <w:color w:val="000000" w:themeColor="text1"/>
          <w:sz w:val="24"/>
          <w:szCs w:val="24"/>
          <w:lang w:val="en-US"/>
          <w14:textFill>
            <w14:solidFill>
              <w14:schemeClr w14:val="tx1"/>
            </w14:solidFill>
          </w14:textFill>
        </w:rPr>
        <w:t>原有项目运行期间污染物排放汇总情况见表3-1-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6</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表3-1-</w:t>
      </w:r>
      <w:r>
        <w:rPr>
          <w:rFonts w:hint="eastAsia" w:ascii="Times New Roman" w:hAnsiTheme="minorEastAsia" w:eastAsiaTheme="minorEastAsia"/>
          <w:b/>
          <w:bCs/>
          <w:color w:val="000000" w:themeColor="text1"/>
          <w:szCs w:val="24"/>
          <w14:textFill>
            <w14:solidFill>
              <w14:schemeClr w14:val="tx1"/>
            </w14:solidFill>
          </w14:textFill>
        </w:rPr>
        <w:t>6</w:t>
      </w:r>
      <w:r>
        <w:rPr>
          <w:rFonts w:ascii="Times New Roman" w:hAnsiTheme="minorEastAsia" w:eastAsiaTheme="minorEastAsia"/>
          <w:b/>
          <w:bCs/>
          <w:color w:val="000000" w:themeColor="text1"/>
          <w:szCs w:val="24"/>
          <w14:textFill>
            <w14:solidFill>
              <w14:schemeClr w14:val="tx1"/>
            </w14:solidFill>
          </w14:textFill>
        </w:rPr>
        <w:t xml:space="preserve">  原有项目污染物排放一览表</w:t>
      </w:r>
    </w:p>
    <w:tbl>
      <w:tblPr>
        <w:tblStyle w:val="7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67"/>
        <w:gridCol w:w="1227"/>
        <w:gridCol w:w="1470"/>
        <w:gridCol w:w="1363"/>
        <w:gridCol w:w="39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305"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8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污染物名称</w:t>
            </w:r>
          </w:p>
        </w:tc>
        <w:tc>
          <w:tcPr>
            <w:tcW w:w="7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排放量</w:t>
            </w:r>
          </w:p>
        </w:tc>
        <w:tc>
          <w:tcPr>
            <w:tcW w:w="21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63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废气</w:t>
            </w:r>
          </w:p>
        </w:tc>
        <w:tc>
          <w:tcPr>
            <w:tcW w:w="66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2台70MW热水锅炉</w:t>
            </w:r>
          </w:p>
        </w:tc>
        <w:tc>
          <w:tcPr>
            <w:tcW w:w="8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p>
        </w:tc>
        <w:tc>
          <w:tcPr>
            <w:tcW w:w="7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23.138</w:t>
            </w:r>
            <w:r>
              <w:rPr>
                <w:rFonts w:ascii="Times New Roman" w:eastAsiaTheme="minorEastAsia"/>
                <w:color w:val="000000" w:themeColor="text1"/>
                <w:sz w:val="21"/>
                <w:szCs w:val="21"/>
                <w14:textFill>
                  <w14:solidFill>
                    <w14:schemeClr w14:val="tx1"/>
                  </w14:solidFill>
                </w14:textFill>
              </w:rPr>
              <w:t>t/a</w:t>
            </w:r>
          </w:p>
        </w:tc>
        <w:tc>
          <w:tcPr>
            <w:tcW w:w="2151"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烟气除尘采用</w:t>
            </w:r>
            <w:r>
              <w:rPr>
                <w:rFonts w:hint="eastAsia" w:ascii="Times New Roman" w:eastAsiaTheme="minorEastAsia"/>
                <w:color w:val="000000" w:themeColor="text1"/>
                <w:sz w:val="21"/>
                <w:szCs w:val="21"/>
                <w14:textFill>
                  <w14:solidFill>
                    <w14:schemeClr w14:val="tx1"/>
                  </w14:solidFill>
                </w14:textFill>
              </w:rPr>
              <w:t>布袋</w:t>
            </w:r>
            <w:r>
              <w:rPr>
                <w:rFonts w:ascii="Times New Roman" w:eastAsiaTheme="minorEastAsia"/>
                <w:color w:val="000000" w:themeColor="text1"/>
                <w:sz w:val="21"/>
                <w:szCs w:val="21"/>
                <w14:textFill>
                  <w14:solidFill>
                    <w14:schemeClr w14:val="tx1"/>
                  </w14:solidFill>
                </w14:textFill>
              </w:rPr>
              <w:t>除尘器，除尘效率≥</w:t>
            </w:r>
            <w:r>
              <w:rPr>
                <w:rFonts w:hint="eastAsia" w:ascii="Times New Roman" w:eastAsiaTheme="minorEastAsia"/>
                <w:color w:val="000000" w:themeColor="text1"/>
                <w:sz w:val="21"/>
                <w:szCs w:val="21"/>
                <w14:textFill>
                  <w14:solidFill>
                    <w14:schemeClr w14:val="tx1"/>
                  </w14:solidFill>
                </w14:textFill>
              </w:rPr>
              <w:t>99.95</w:t>
            </w:r>
            <w:r>
              <w:rPr>
                <w:rFonts w:ascii="Times New Roman" w:eastAsiaTheme="minorEastAsia"/>
                <w:color w:val="000000" w:themeColor="text1"/>
                <w:sz w:val="21"/>
                <w:szCs w:val="21"/>
                <w14:textFill>
                  <w14:solidFill>
                    <w14:schemeClr w14:val="tx1"/>
                  </w14:solidFill>
                </w14:textFill>
              </w:rPr>
              <w:t>%；烟气脱硫采用氧化镁法脱硫，脱硫效率≥</w:t>
            </w:r>
            <w:r>
              <w:rPr>
                <w:rFonts w:hint="eastAsia" w:ascii="Times New Roman" w:eastAsiaTheme="minorEastAsia"/>
                <w:color w:val="000000" w:themeColor="text1"/>
                <w:sz w:val="21"/>
                <w:szCs w:val="21"/>
                <w14:textFill>
                  <w14:solidFill>
                    <w14:schemeClr w14:val="tx1"/>
                  </w14:solidFill>
                </w14:textFill>
              </w:rPr>
              <w:t>95</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；采用低氮燃烧</w:t>
            </w: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7" w:hRule="exact"/>
        </w:trPr>
        <w:tc>
          <w:tcPr>
            <w:tcW w:w="63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p>
        </w:tc>
        <w:tc>
          <w:tcPr>
            <w:tcW w:w="7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117.543</w:t>
            </w:r>
            <w:r>
              <w:rPr>
                <w:rFonts w:ascii="Times New Roman" w:eastAsiaTheme="minorEastAsia"/>
                <w:color w:val="000000" w:themeColor="text1"/>
                <w:sz w:val="21"/>
                <w:szCs w:val="21"/>
                <w14:textFill>
                  <w14:solidFill>
                    <w14:schemeClr w14:val="tx1"/>
                  </w14:solidFill>
                </w14:textFill>
              </w:rPr>
              <w:t>t/a</w:t>
            </w:r>
          </w:p>
        </w:tc>
        <w:tc>
          <w:tcPr>
            <w:tcW w:w="2151"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0" w:hRule="exact"/>
        </w:trPr>
        <w:tc>
          <w:tcPr>
            <w:tcW w:w="63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X</w:t>
            </w:r>
          </w:p>
        </w:tc>
        <w:tc>
          <w:tcPr>
            <w:tcW w:w="7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142.190</w:t>
            </w:r>
            <w:r>
              <w:rPr>
                <w:rFonts w:ascii="Times New Roman" w:eastAsiaTheme="minorEastAsia"/>
                <w:color w:val="000000" w:themeColor="text1"/>
                <w:sz w:val="21"/>
                <w:szCs w:val="21"/>
                <w14:textFill>
                  <w14:solidFill>
                    <w14:schemeClr w14:val="tx1"/>
                  </w14:solidFill>
                </w14:textFill>
              </w:rPr>
              <w:t>t/a</w:t>
            </w:r>
          </w:p>
        </w:tc>
        <w:tc>
          <w:tcPr>
            <w:tcW w:w="2151"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305" w:type="pct"/>
            <w:gridSpan w:val="2"/>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废水</w:t>
            </w:r>
          </w:p>
        </w:tc>
        <w:tc>
          <w:tcPr>
            <w:tcW w:w="8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生活污水</w:t>
            </w:r>
          </w:p>
        </w:tc>
        <w:tc>
          <w:tcPr>
            <w:tcW w:w="7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292 t/a</w:t>
            </w:r>
          </w:p>
        </w:tc>
        <w:tc>
          <w:tcPr>
            <w:tcW w:w="2151"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生活污水</w:t>
            </w:r>
            <w:r>
              <w:rPr>
                <w:rFonts w:hint="eastAsia" w:ascii="Times New Roman" w:eastAsiaTheme="minorEastAsia"/>
                <w:color w:val="000000" w:themeColor="text1"/>
                <w:sz w:val="21"/>
                <w:szCs w:val="21"/>
                <w14:textFill>
                  <w14:solidFill>
                    <w14:schemeClr w14:val="tx1"/>
                  </w14:solidFill>
                </w14:textFill>
              </w:rPr>
              <w:t>排入</w:t>
            </w:r>
            <w:r>
              <w:rPr>
                <w:rFonts w:ascii="Times New Roman" w:eastAsiaTheme="minorEastAsia"/>
                <w:color w:val="000000" w:themeColor="text1"/>
                <w:sz w:val="21"/>
                <w:szCs w:val="21"/>
                <w14:textFill>
                  <w14:solidFill>
                    <w14:schemeClr w14:val="tx1"/>
                  </w14:solidFill>
                </w14:textFill>
              </w:rPr>
              <w:t>防渗化粪池</w:t>
            </w:r>
            <w:r>
              <w:rPr>
                <w:rFonts w:hint="eastAsia" w:ascii="Times New Roman" w:eastAsiaTheme="minorEastAsia"/>
                <w:color w:val="000000" w:themeColor="text1"/>
                <w:sz w:val="21"/>
                <w:szCs w:val="21"/>
                <w14:textFill>
                  <w14:solidFill>
                    <w14:schemeClr w14:val="tx1"/>
                  </w14:solidFill>
                </w14:textFill>
              </w:rPr>
              <w:t>，定期清运至黑龙江红兴隆农垦清洁污水处理有限公司（集中污水处理厂）进行处理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305"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COD</w:t>
            </w:r>
          </w:p>
        </w:tc>
        <w:tc>
          <w:tcPr>
            <w:tcW w:w="7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0.088 t/a</w:t>
            </w:r>
          </w:p>
        </w:tc>
        <w:tc>
          <w:tcPr>
            <w:tcW w:w="2151"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305"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NH3-N</w:t>
            </w:r>
          </w:p>
        </w:tc>
        <w:tc>
          <w:tcPr>
            <w:tcW w:w="7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0.009t/a</w:t>
            </w:r>
          </w:p>
        </w:tc>
        <w:tc>
          <w:tcPr>
            <w:tcW w:w="2151"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305" w:type="pct"/>
            <w:gridSpan w:val="2"/>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固废</w:t>
            </w:r>
            <w:r>
              <w:rPr>
                <w:rFonts w:hint="eastAsia" w:ascii="Times New Roman" w:eastAsiaTheme="minorEastAsia"/>
                <w:color w:val="000000" w:themeColor="text1"/>
                <w:sz w:val="21"/>
                <w:szCs w:val="21"/>
                <w14:textFill>
                  <w14:solidFill>
                    <w14:schemeClr w14:val="tx1"/>
                  </w14:solidFill>
                </w14:textFill>
              </w:rPr>
              <w:t>（产生量）</w:t>
            </w:r>
          </w:p>
        </w:tc>
        <w:tc>
          <w:tcPr>
            <w:tcW w:w="8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锅炉灰渣</w:t>
            </w:r>
          </w:p>
        </w:tc>
        <w:tc>
          <w:tcPr>
            <w:tcW w:w="136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15396.9</w:t>
            </w:r>
            <w:r>
              <w:rPr>
                <w:rFonts w:ascii="Times New Roman" w:eastAsiaTheme="minorEastAsia"/>
                <w:color w:val="000000" w:themeColor="text1"/>
                <w:sz w:val="21"/>
                <w:szCs w:val="21"/>
                <w14:textFill>
                  <w14:solidFill>
                    <w14:schemeClr w14:val="tx1"/>
                  </w14:solidFill>
                </w14:textFill>
              </w:rPr>
              <w:t>t/a</w:t>
            </w:r>
          </w:p>
        </w:tc>
        <w:tc>
          <w:tcPr>
            <w:tcW w:w="2151"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锅炉灰渣、脱硫渣等均外售综合利用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305"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脱硫渣</w:t>
            </w:r>
          </w:p>
        </w:tc>
        <w:tc>
          <w:tcPr>
            <w:tcW w:w="136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500</w:t>
            </w:r>
            <w:r>
              <w:rPr>
                <w:rFonts w:ascii="Times New Roman" w:eastAsiaTheme="minorEastAsia"/>
                <w:color w:val="000000" w:themeColor="text1"/>
                <w:sz w:val="21"/>
                <w:szCs w:val="21"/>
                <w14:textFill>
                  <w14:solidFill>
                    <w14:schemeClr w14:val="tx1"/>
                  </w14:solidFill>
                </w14:textFill>
              </w:rPr>
              <w:t>t/a</w:t>
            </w:r>
          </w:p>
        </w:tc>
        <w:tc>
          <w:tcPr>
            <w:tcW w:w="2151"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trPr>
        <w:tc>
          <w:tcPr>
            <w:tcW w:w="1305"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生活垃圾</w:t>
            </w:r>
          </w:p>
        </w:tc>
        <w:tc>
          <w:tcPr>
            <w:tcW w:w="7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4.56t/a</w:t>
            </w:r>
          </w:p>
        </w:tc>
        <w:tc>
          <w:tcPr>
            <w:tcW w:w="21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暂存于垃圾箱，由环卫部门统一处理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72" w:hRule="exact"/>
        </w:trPr>
        <w:tc>
          <w:tcPr>
            <w:tcW w:w="1305"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废树脂</w:t>
            </w:r>
          </w:p>
        </w:tc>
        <w:tc>
          <w:tcPr>
            <w:tcW w:w="7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1t/a</w:t>
            </w:r>
          </w:p>
        </w:tc>
        <w:tc>
          <w:tcPr>
            <w:tcW w:w="21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软化水系统产生的废树脂为</w:t>
            </w:r>
            <w:r>
              <w:rPr>
                <w:rFonts w:hint="eastAsia" w:ascii="Times New Roman" w:eastAsiaTheme="minorEastAsia"/>
                <w:color w:val="000000" w:themeColor="text1"/>
                <w:sz w:val="21"/>
                <w:szCs w:val="21"/>
                <w14:textFill>
                  <w14:solidFill>
                    <w14:schemeClr w14:val="tx1"/>
                  </w14:solidFill>
                </w14:textFill>
              </w:rPr>
              <w:t>一般固体废物</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集中收集后交由树脂生产企业回收处置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exact"/>
        </w:trPr>
        <w:tc>
          <w:tcPr>
            <w:tcW w:w="1305"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废机油</w:t>
            </w:r>
          </w:p>
        </w:tc>
        <w:tc>
          <w:tcPr>
            <w:tcW w:w="7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0.1t/a</w:t>
            </w:r>
          </w:p>
        </w:tc>
        <w:tc>
          <w:tcPr>
            <w:tcW w:w="21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集中收集后在危废贮存库内暂存，后委托具有资质单位进行处置</w:t>
            </w:r>
          </w:p>
        </w:tc>
      </w:tr>
    </w:tbl>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97" w:name="_Toc49"/>
      <w:r>
        <w:rPr>
          <w:rFonts w:ascii="Times New Roman" w:hAnsi="Times New Roman" w:eastAsia="新宋体" w:cstheme="minorBidi"/>
          <w:color w:val="000000" w:themeColor="text1"/>
          <w:szCs w:val="24"/>
          <w:lang w:val="en-US" w:bidi="ar-SA"/>
          <w14:textFill>
            <w14:solidFill>
              <w14:schemeClr w14:val="tx1"/>
            </w14:solidFill>
          </w14:textFill>
        </w:rPr>
        <w:t>3.1.</w:t>
      </w:r>
      <w:r>
        <w:rPr>
          <w:rFonts w:hint="eastAsia" w:ascii="Times New Roman" w:hAnsi="Times New Roman" w:eastAsia="新宋体" w:cstheme="minorBidi"/>
          <w:color w:val="000000" w:themeColor="text1"/>
          <w:szCs w:val="24"/>
          <w:lang w:val="en-US" w:bidi="ar-SA"/>
          <w14:textFill>
            <w14:solidFill>
              <w14:schemeClr w14:val="tx1"/>
            </w14:solidFill>
          </w14:textFill>
        </w:rPr>
        <w:t>7</w:t>
      </w:r>
      <w:r>
        <w:rPr>
          <w:rFonts w:ascii="Times New Roman" w:hAnsi="Times New Roman" w:eastAsia="新宋体" w:cstheme="minorBidi"/>
          <w:color w:val="000000" w:themeColor="text1"/>
          <w:szCs w:val="24"/>
          <w:lang w:val="en-US" w:bidi="ar-SA"/>
          <w14:textFill>
            <w14:solidFill>
              <w14:schemeClr w14:val="tx1"/>
            </w14:solidFill>
          </w14:textFill>
        </w:rPr>
        <w:t xml:space="preserve"> 原有环保问题及整改要求</w:t>
      </w:r>
      <w:bookmarkEnd w:id="97"/>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根据双鸭山市生态环境保护督察整改工作领导小组办公室文件《关于做好中央、省级生态环境保护督察2023年整改任务的通知》，本项目属于“问题四十七：牡丹江、佳木斯、双鸭山、伊春、黑河等市有200余台锅炉只有简易除尘设施，除尘效果不佳。龙煤集团鹤岗分公司下属8个矿区有40台每小时10蒸吨及以下燃煤锅炉，一些锅炉采用陶瓷多管或水膜等简易除尘工艺，污染问题突出。”</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整改任务，黑龙江农泉兴隆热力有限公司需要于2024年6月完成整改，省级污染防治设施，实现锅炉烟气超低排放。2022年，黑龙江农泉兴隆热力有限公司对现有2台70MW热水锅炉脱硫设备进行改造，同时将现有除尘设备更换为两台布袋式除尘。但是，由于工程技术原因，现有2台70MW热水锅炉无法完成脱硝技术改造。为了完成中央环保督查的整改要求，黑龙江农泉兴隆热力有限公司决定将现有2台70MW热水锅炉淘汰，并新建1台70MW热水锅炉，锅炉配备布袋除尘器，除尘效率不低于99.95%；配备湿式镁法脱硫塔除尘脱硫系统，脱硫效率不低于95%；配备低氮燃烧和SNCR-SCR联合脱硝工艺，脱硝剂为尿素，脱硝效率不低于80%；新建锅炉执行《关于印发&lt;全面实施燃煤电厂超低排放和节能改造工作方案&gt;的通知》（环发 [2015]164号）要求，达到超低排放限值（在基准氧含量6%条件下，烟尘、SO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、35mg/m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厂区原有2台70MW</w:t>
      </w:r>
      <w:r>
        <w:rPr>
          <w:rFonts w:ascii="Times New Roman" w:hAnsi="Times New Roman" w:cs="Times New Roman" w:eastAsiaTheme="minorEastAsia"/>
          <w:color w:val="000000" w:themeColor="text1"/>
          <w:sz w:val="24"/>
          <w:szCs w:val="24"/>
          <w:lang w:val="en-US"/>
          <w14:textFill>
            <w14:solidFill>
              <w14:schemeClr w14:val="tx1"/>
            </w14:solidFill>
          </w14:textFill>
        </w:rPr>
        <w:t>热水锅炉脱硝设施不能满足《排污许可证申请与核发技术规范 锅炉》（HJ953-2018）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烟气治理可行性技术要求。</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由于工程技术原因，现有2台70MW热水锅炉无法完成脱硝技术改造。为了完成中央环保督查的整改要求，黑龙江农泉兴隆热力有限公司决定将现有2台70MW热水锅炉淘汰，并新建1台70MW热水锅炉，新建锅炉执行《关于印发&lt;全面实施燃煤电厂超低排放和节能改造工作方案&gt;的通知》（环发 [2015]164号）要求，达到超低排放限值。</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本次工程建成后需立即进行竣工环境保护验收，确保完成中央环保督查的整改要求。</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本次工程建成后需重新填报全厂排污许可证。</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sectPr>
          <w:pgSz w:w="11906" w:h="16838"/>
          <w:pgMar w:top="1814" w:right="1474" w:bottom="1814" w:left="1474" w:header="1418" w:footer="1418" w:gutter="0"/>
          <w:pgBorders>
            <w:top w:val="none" w:sz="0" w:space="0"/>
            <w:left w:val="none" w:sz="0" w:space="0"/>
            <w:bottom w:val="none" w:sz="0" w:space="0"/>
            <w:right w:val="none" w:sz="0" w:space="0"/>
          </w:pgBorders>
          <w:cols w:space="720" w:num="1"/>
          <w:docGrid w:linePitch="312" w:charSpace="0"/>
        </w:sectPr>
      </w:pPr>
      <w:r>
        <w:rPr>
          <w:rFonts w:ascii="Times New Roman" w:hAnsi="Times New Roman" w:cs="Times New Roman" w:eastAsiaTheme="minorEastAsia"/>
          <w:color w:val="000000" w:themeColor="text1"/>
          <w:sz w:val="24"/>
          <w:szCs w:val="24"/>
          <w:lang w:val="en-US"/>
          <w14:textFill>
            <w14:solidFill>
              <w14:schemeClr w14:val="tx1"/>
            </w14:solidFill>
          </w14:textFill>
        </w:rPr>
        <w:t>无其他原有环保问题。</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98" w:name="_Toc162605168"/>
      <w:r>
        <w:rPr>
          <w:rFonts w:ascii="Times New Roman" w:hAnsi="Times New Roman" w:cs="Times New Roman" w:eastAsiaTheme="minorEastAsia"/>
          <w:color w:val="000000" w:themeColor="text1"/>
          <w:szCs w:val="24"/>
          <w:lang w:val="en-US" w:bidi="ar-SA"/>
          <w14:textFill>
            <w14:solidFill>
              <w14:schemeClr w14:val="tx1"/>
            </w14:solidFill>
          </w14:textFill>
        </w:rPr>
        <w:t>3.2建设项目概况</w:t>
      </w:r>
      <w:bookmarkEnd w:id="77"/>
      <w:bookmarkEnd w:id="78"/>
      <w:bookmarkEnd w:id="98"/>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99" w:name="_Toc532974706"/>
      <w:r>
        <w:rPr>
          <w:rFonts w:ascii="Times New Roman" w:hAnsi="Times New Roman" w:eastAsia="新宋体" w:cstheme="minorBidi"/>
          <w:color w:val="000000" w:themeColor="text1"/>
          <w:szCs w:val="24"/>
          <w:lang w:val="en-US" w:bidi="ar-SA"/>
          <w14:textFill>
            <w14:solidFill>
              <w14:schemeClr w14:val="tx1"/>
            </w14:solidFill>
          </w14:textFill>
        </w:rPr>
        <w:t>3.2.1项目基本情况</w:t>
      </w:r>
      <w:bookmarkEnd w:id="99"/>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工程名称：2022年北大荒农垦集团红兴隆分公司农垦公用基础设施建设项目</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建设单位：黑龙江农垦兴隆热力有限公司</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建设地点：</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红兴隆管理局在管理局局直南侧</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建设性质：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改扩建</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占地面积：</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74880</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建筑面积：</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2150</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总投资：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3000</w:t>
      </w:r>
      <w:r>
        <w:rPr>
          <w:rFonts w:ascii="Times New Roman" w:hAnsi="Times New Roman" w:cs="Times New Roman" w:eastAsiaTheme="minorEastAsia"/>
          <w:color w:val="000000" w:themeColor="text1"/>
          <w:sz w:val="24"/>
          <w:szCs w:val="24"/>
          <w:lang w:val="en-US"/>
          <w14:textFill>
            <w14:solidFill>
              <w14:schemeClr w14:val="tx1"/>
            </w14:solidFill>
          </w14:textFill>
        </w:rPr>
        <w:t>万元</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建设规模</w:t>
      </w:r>
      <w:r>
        <w:rPr>
          <w:rFonts w:ascii="Times New Roman" w:hAnsi="Times New Roman" w:cs="Times New Roman" w:eastAsiaTheme="minorEastAsia"/>
          <w:color w:val="000000" w:themeColor="text1"/>
          <w:sz w:val="24"/>
          <w:szCs w:val="24"/>
          <w:lang w:val="en-US"/>
          <w14:textFill>
            <w14:solidFill>
              <w14:schemeClr w14:val="tx1"/>
            </w14:solidFill>
          </w14:textFill>
        </w:rPr>
        <w:t>：2022年北大荒农垦集团红兴隆分公司农垦公用基础设施建设项目，新建2150平方米锅炉房及附属工程，新购置70MW热水锅炉一台，新建锅炉脱硫脱硝和除尘设施；</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淘汰</w:t>
      </w:r>
      <w:r>
        <w:rPr>
          <w:rFonts w:ascii="Times New Roman" w:hAnsi="Times New Roman" w:cs="Times New Roman" w:eastAsiaTheme="minorEastAsia"/>
          <w:color w:val="000000" w:themeColor="text1"/>
          <w:sz w:val="24"/>
          <w:szCs w:val="24"/>
          <w:lang w:val="en-US"/>
          <w14:textFill>
            <w14:solidFill>
              <w14:schemeClr w14:val="tx1"/>
            </w14:solidFill>
          </w14:textFill>
        </w:rPr>
        <w:t>现有两台70MW锅炉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现有2台70MW热水锅炉计划于2024年3月末（2023年供热期结束后）彻底淘汰，本次新建1台70MW热水锅炉计划于2024年10月（2024年供热期）投产使用。未来计划再新建1台70MW热水锅炉，全部建成后全厂建设有2台70MW热水锅炉均执行超低排放限值。本次仅针对新建1台70MW热水锅炉进行分析评价。</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本项目年工作日为183天，锅炉运行时数为4392h（折合满负荷运行</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2928</w:t>
      </w:r>
      <w:r>
        <w:rPr>
          <w:rFonts w:ascii="Times New Roman" w:hAnsi="Times New Roman" w:cs="Times New Roman" w:eastAsiaTheme="minorEastAsia"/>
          <w:color w:val="000000" w:themeColor="text1"/>
          <w:sz w:val="24"/>
          <w:szCs w:val="24"/>
          <w:lang w:val="en-US"/>
          <w14:textFill>
            <w14:solidFill>
              <w14:schemeClr w14:val="tx1"/>
            </w14:solidFill>
          </w14:textFill>
        </w:rPr>
        <w:t>小时），每班工作8小时</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不提供员工食宿。</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劳动定员：本项目不新增劳动定员，人员依托厂区原有职工。</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3.2.2厂址及周边环境情况</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本项目位于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红兴隆管理局在管理局局直南侧现有锅炉房</w:t>
      </w:r>
      <w:r>
        <w:rPr>
          <w:rFonts w:ascii="Times New Roman" w:hAnsi="Times New Roman" w:cs="Times New Roman" w:eastAsiaTheme="minorEastAsia"/>
          <w:color w:val="000000" w:themeColor="text1"/>
          <w:sz w:val="24"/>
          <w:szCs w:val="24"/>
          <w:lang w:val="en-US"/>
          <w14:textFill>
            <w14:solidFill>
              <w14:schemeClr w14:val="tx1"/>
            </w14:solidFill>
          </w14:textFill>
        </w:rPr>
        <w:t>院内，项目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w:t>
      </w:r>
      <w:r>
        <w:rPr>
          <w:rFonts w:ascii="Times New Roman" w:hAnsi="Times New Roman" w:cs="Times New Roman" w:eastAsiaTheme="minorEastAsia"/>
          <w:color w:val="000000" w:themeColor="text1"/>
          <w:sz w:val="24"/>
          <w:szCs w:val="24"/>
          <w:lang w:val="en-US"/>
          <w14:textFill>
            <w14:solidFill>
              <w14:schemeClr w14:val="tx1"/>
            </w14:solidFill>
          </w14:textFill>
        </w:rPr>
        <w:t>北侧</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为空地，厂区北侧230</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红兴隆管理局居民区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西北</w:t>
      </w:r>
      <w:r>
        <w:rPr>
          <w:rFonts w:ascii="Times New Roman" w:hAnsi="Times New Roman" w:cs="Times New Roman" w:eastAsiaTheme="minorEastAsia"/>
          <w:color w:val="000000" w:themeColor="text1"/>
          <w:sz w:val="24"/>
          <w:szCs w:val="24"/>
          <w:lang w:val="en-US"/>
          <w14:textFill>
            <w14:solidFill>
              <w14:schemeClr w14:val="tx1"/>
            </w14:solidFill>
          </w14:textFill>
        </w:rPr>
        <w:t>侧</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70m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红兴隆管理局住宅小区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厂区西侧</w:t>
      </w:r>
      <w:r>
        <w:rPr>
          <w:rFonts w:ascii="Times New Roman" w:hAnsi="Times New Roman" w:cs="Times New Roman" w:eastAsiaTheme="minorEastAsia"/>
          <w:color w:val="000000" w:themeColor="text1"/>
          <w:sz w:val="24"/>
          <w:szCs w:val="24"/>
          <w:lang w:val="en-US"/>
          <w14:textFill>
            <w14:solidFill>
              <w14:schemeClr w14:val="tx1"/>
            </w14:solidFill>
          </w14:textFill>
        </w:rPr>
        <w:t>方向</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46</w:t>
      </w:r>
      <w:r>
        <w:rPr>
          <w:rFonts w:ascii="Times New Roman" w:hAnsi="Times New Roman" w:cs="Times New Roman" w:eastAsiaTheme="minorEastAsia"/>
          <w:color w:val="000000" w:themeColor="text1"/>
          <w:sz w:val="24"/>
          <w:szCs w:val="24"/>
          <w:lang w:val="en-US"/>
          <w14:textFill>
            <w14:solidFill>
              <w14:schemeClr w14:val="tx1"/>
            </w14:solidFill>
          </w14:textFill>
        </w:rPr>
        <w:t>0m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爱林村居民区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厂区南侧为农田；厂区东侧为空地</w:t>
      </w:r>
      <w:r>
        <w:rPr>
          <w:rFonts w:ascii="Times New Roman" w:hAnsi="Times New Roman" w:cs="Times New Roman" w:eastAsiaTheme="minorEastAsia"/>
          <w:color w:val="000000" w:themeColor="text1"/>
          <w:sz w:val="24"/>
          <w:szCs w:val="24"/>
          <w:lang w:val="en-US"/>
          <w14:textFill>
            <w14:solidFill>
              <w14:schemeClr w14:val="tx1"/>
            </w14:solidFill>
          </w14:textFill>
        </w:rPr>
        <w:t>。其地理位置及周围环境状况详见图3-2-1和图3-2-2。</w:t>
      </w: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rFonts w:cs="Times New Roman" w:hAnsiTheme="minorEastAsia"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87936" behindDoc="0" locked="0" layoutInCell="1" allowOverlap="1">
            <wp:simplePos x="0" y="0"/>
            <wp:positionH relativeFrom="column">
              <wp:posOffset>4467225</wp:posOffset>
            </wp:positionH>
            <wp:positionV relativeFrom="paragraph">
              <wp:posOffset>-5080</wp:posOffset>
            </wp:positionV>
            <wp:extent cx="934720" cy="876300"/>
            <wp:effectExtent l="0" t="0" r="17780" b="0"/>
            <wp:wrapNone/>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26"/>
                    <a:stretch>
                      <a:fillRect/>
                    </a:stretch>
                  </pic:blipFill>
                  <pic:spPr>
                    <a:xfrm>
                      <a:off x="0" y="0"/>
                      <a:ext cx="934720" cy="876300"/>
                    </a:xfrm>
                    <a:prstGeom prst="rect">
                      <a:avLst/>
                    </a:prstGeom>
                    <a:noFill/>
                    <a:ln>
                      <a:noFill/>
                    </a:ln>
                  </pic:spPr>
                </pic:pic>
              </a:graphicData>
            </a:graphic>
          </wp:anchor>
        </w:drawing>
      </w:r>
      <w:r>
        <w:rPr>
          <w:rFonts w:hint="eastAsia"/>
          <w:color w:val="000000" w:themeColor="text1"/>
          <w:lang w:val="en-US" w:bidi="ar-SA"/>
          <w14:textFill>
            <w14:solidFill>
              <w14:schemeClr w14:val="tx1"/>
            </w14:solidFill>
          </w14:textFill>
        </w:rPr>
        <w:drawing>
          <wp:anchor distT="0" distB="0" distL="0" distR="0" simplePos="0" relativeHeight="251686912" behindDoc="0" locked="0" layoutInCell="1" allowOverlap="1">
            <wp:simplePos x="0" y="0"/>
            <wp:positionH relativeFrom="column">
              <wp:posOffset>-160655</wp:posOffset>
            </wp:positionH>
            <wp:positionV relativeFrom="paragraph">
              <wp:posOffset>-105410</wp:posOffset>
            </wp:positionV>
            <wp:extent cx="5643880" cy="3879850"/>
            <wp:effectExtent l="0" t="0" r="13970" b="635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noChangeArrowheads="1"/>
                    </pic:cNvPicPr>
                  </pic:nvPicPr>
                  <pic:blipFill>
                    <a:blip r:embed="rId33" cstate="print"/>
                    <a:srcRect/>
                    <a:stretch>
                      <a:fillRect/>
                    </a:stretch>
                  </pic:blipFill>
                  <pic:spPr>
                    <a:xfrm>
                      <a:off x="0" y="0"/>
                      <a:ext cx="5643880" cy="3879850"/>
                    </a:xfrm>
                    <a:prstGeom prst="rect">
                      <a:avLst/>
                    </a:prstGeom>
                    <a:noFill/>
                    <a:ln w="9525">
                      <a:noFill/>
                      <a:miter lim="800000"/>
                      <a:headEnd/>
                      <a:tailEnd/>
                    </a:ln>
                  </pic:spPr>
                </pic:pic>
              </a:graphicData>
            </a:graphic>
          </wp:anchor>
        </w:drawing>
      </w: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图3-2-1 本项目地理位置图</w:t>
      </w:r>
    </w:p>
    <w:p>
      <w:pPr>
        <w:pStyle w:val="91"/>
        <w:ind w:firstLine="360"/>
        <w:rPr>
          <w:rFonts w:cs="Times New Roman" w:hAnsiTheme="minorEastAsia" w:eastAsiaTheme="minorEastAsia"/>
          <w:b/>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91008" behindDoc="0" locked="0" layoutInCell="1" allowOverlap="1">
            <wp:simplePos x="0" y="0"/>
            <wp:positionH relativeFrom="column">
              <wp:posOffset>-67310</wp:posOffset>
            </wp:positionH>
            <wp:positionV relativeFrom="paragraph">
              <wp:posOffset>127000</wp:posOffset>
            </wp:positionV>
            <wp:extent cx="934720" cy="876300"/>
            <wp:effectExtent l="0" t="0" r="17780" b="0"/>
            <wp:wrapNone/>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26"/>
                    <a:stretch>
                      <a:fillRect/>
                    </a:stretch>
                  </pic:blipFill>
                  <pic:spPr>
                    <a:xfrm>
                      <a:off x="0" y="0"/>
                      <a:ext cx="934720" cy="876300"/>
                    </a:xfrm>
                    <a:prstGeom prst="rect">
                      <a:avLst/>
                    </a:prstGeom>
                    <a:noFill/>
                    <a:ln>
                      <a:noFill/>
                    </a:ln>
                  </pic:spPr>
                </pic:pic>
              </a:graphicData>
            </a:graphic>
          </wp:anchor>
        </w:drawing>
      </w:r>
      <w:r>
        <w:rPr>
          <w:color w:val="000000" w:themeColor="text1"/>
          <w:lang w:val="en-US" w:bidi="ar-SA"/>
          <w14:textFill>
            <w14:solidFill>
              <w14:schemeClr w14:val="tx1"/>
            </w14:solidFill>
          </w14:textFill>
        </w:rPr>
        <w:drawing>
          <wp:anchor distT="0" distB="0" distL="114300" distR="114300" simplePos="0" relativeHeight="251688960" behindDoc="0" locked="0" layoutInCell="1" allowOverlap="1">
            <wp:simplePos x="0" y="0"/>
            <wp:positionH relativeFrom="column">
              <wp:posOffset>-149860</wp:posOffset>
            </wp:positionH>
            <wp:positionV relativeFrom="paragraph">
              <wp:posOffset>45720</wp:posOffset>
            </wp:positionV>
            <wp:extent cx="5617210" cy="3691890"/>
            <wp:effectExtent l="0" t="0" r="2540" b="3810"/>
            <wp:wrapNone/>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34"/>
                    <a:stretch>
                      <a:fillRect/>
                    </a:stretch>
                  </pic:blipFill>
                  <pic:spPr>
                    <a:xfrm>
                      <a:off x="0" y="0"/>
                      <a:ext cx="5617210" cy="3691890"/>
                    </a:xfrm>
                    <a:prstGeom prst="rect">
                      <a:avLst/>
                    </a:prstGeom>
                    <a:noFill/>
                    <a:ln>
                      <a:noFill/>
                    </a:ln>
                  </pic:spPr>
                </pic:pic>
              </a:graphicData>
            </a:graphic>
          </wp:anchor>
        </w:drawing>
      </w: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图3-2-2 本项目周边位置关系图</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3.2.3主要建设内容</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1、工程组成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本项目拟在现有锅炉房东侧扩建2150m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锅炉房及附属工程，扩建70MW热水锅炉一台，配套建设输煤系统、热力系统、风烟系统等，安装脱硫脱硝和除尘设施；并对厂区现有两台70MW锅炉予以淘汰。新扩建锅炉烟囱依托厂区现有高100m，出口内径3m的烟囱，执行燃煤电厂烟气超低排放标准。仅冬季运行，夏季停运，</w:t>
      </w:r>
      <w:r>
        <w:rPr>
          <w:rFonts w:ascii="Times New Roman" w:hAnsi="Times New Roman" w:cs="Times New Roman" w:eastAsiaTheme="minorEastAsia"/>
          <w:color w:val="000000" w:themeColor="text1"/>
          <w:sz w:val="24"/>
          <w:szCs w:val="24"/>
          <w:lang w:val="en-US"/>
          <w14:textFill>
            <w14:solidFill>
              <w14:schemeClr w14:val="tx1"/>
            </w14:solidFill>
          </w14:textFill>
        </w:rPr>
        <w:t>锅炉运行时数为4392h（折合满负荷运行</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2928</w:t>
      </w:r>
      <w:r>
        <w:rPr>
          <w:rFonts w:ascii="Times New Roman" w:hAnsi="Times New Roman" w:cs="Times New Roman" w:eastAsiaTheme="minorEastAsia"/>
          <w:color w:val="000000" w:themeColor="text1"/>
          <w:sz w:val="24"/>
          <w:szCs w:val="24"/>
          <w:lang w:val="en-US"/>
          <w14:textFill>
            <w14:solidFill>
              <w14:schemeClr w14:val="tx1"/>
            </w14:solidFill>
          </w14:textFill>
        </w:rPr>
        <w:t>小时）</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农垦兴隆热力有限公司未来计划再新建1台70MW热水锅炉，全部建成后全厂建设有2台70MW热水锅炉均执行超低排放限值。本次仅针对新建1台70MW热水锅炉进行分析评价。本项目不涉及供热管网工程及小锅炉的拆除、淘汰工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农垦兴隆热力有限公司现有2台70MW热水锅炉，最大供热能力260万平方米，现有供热面积190万平方米。2023年，供热范围内，有65万平方米的供热面积报停，不在供热范围内。本次新建1台70MW热水锅炉，满负荷供热能力130万平方米，能够满足剩余125万平方米的供热需求。</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详细建设内容详见下表。</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 xml:space="preserve">表3-2-1 </w:t>
      </w:r>
      <w:r>
        <w:rPr>
          <w:rFonts w:hint="eastAsia" w:ascii="Times New Roman" w:hAnsiTheme="minorEastAsia" w:eastAsiaTheme="minorEastAsia"/>
          <w:b/>
          <w:bCs/>
          <w:color w:val="000000" w:themeColor="text1"/>
          <w:szCs w:val="24"/>
          <w14:textFill>
            <w14:solidFill>
              <w14:schemeClr w14:val="tx1"/>
            </w14:solidFill>
          </w14:textFill>
        </w:rPr>
        <w:t>本项目</w:t>
      </w:r>
      <w:r>
        <w:rPr>
          <w:rFonts w:ascii="Times New Roman" w:hAnsiTheme="minorEastAsia" w:eastAsiaTheme="minorEastAsia"/>
          <w:b/>
          <w:bCs/>
          <w:color w:val="000000" w:themeColor="text1"/>
          <w:szCs w:val="24"/>
          <w14:textFill>
            <w14:solidFill>
              <w14:schemeClr w14:val="tx1"/>
            </w14:solidFill>
          </w14:textFill>
        </w:rPr>
        <w:t>工程建设内容一览表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5"/>
        <w:gridCol w:w="1038"/>
        <w:gridCol w:w="5544"/>
        <w:gridCol w:w="11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46"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项目组成</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建设内容及规模</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主体工程</w:t>
            </w: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锅炉房</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在现有锅炉房东侧扩建一座锅炉房，锅炉型号为</w:t>
            </w:r>
            <w:r>
              <w:rPr>
                <w:rFonts w:ascii="Times New Roman" w:eastAsiaTheme="minorEastAsia"/>
                <w:color w:val="000000" w:themeColor="text1"/>
                <w:sz w:val="21"/>
                <w:szCs w:val="21"/>
                <w14:textFill>
                  <w14:solidFill>
                    <w14:schemeClr w14:val="tx1"/>
                  </w14:solidFill>
                </w14:textFill>
              </w:rPr>
              <w:t>SHW70-1.6-130/70-AII，</w:t>
            </w:r>
            <w:r>
              <w:rPr>
                <w:rFonts w:hint="eastAsia" w:ascii="Times New Roman" w:eastAsiaTheme="minorEastAsia"/>
                <w:color w:val="000000" w:themeColor="text1"/>
                <w:sz w:val="21"/>
                <w:szCs w:val="21"/>
                <w14:textFill>
                  <w14:solidFill>
                    <w14:schemeClr w14:val="tx1"/>
                  </w14:solidFill>
                </w14:textFill>
              </w:rPr>
              <w:t>建筑面积2150m</w:t>
            </w:r>
            <w:r>
              <w:rPr>
                <w:rFonts w:hint="eastAsia" w:ascii="Times New Roman" w:eastAsiaTheme="minorEastAsia"/>
                <w:color w:val="000000" w:themeColor="text1"/>
                <w:kern w:val="2"/>
                <w:szCs w:val="24"/>
                <w:vertAlign w:val="superscript"/>
                <w:lang w:bidi="zh-CN"/>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，新建70MW往复式燃煤热水锅炉一台，仅冬季运行，夏季停运。</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拆除工程</w:t>
            </w: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现有两台70MW锅炉</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对厂区现有两台70MW锅炉淘汰</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辅助工程</w:t>
            </w: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输煤系统</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设置一套输送系统，燃料煤由给煤机送入碎煤机室，破碎后煤厂内设一个受煤斗，受煤斗入口设固定筛（滤料直径小于等于40mm），出口处设往复式给煤机。输煤栈桥全封闭，宽2.4米，高3米。</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碎煤系统</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新建碎煤机室1座，建设2台 BS-300 型波动筛及1台PCH-1010 型环锤式碎煤机，碎煤机室设有检修起吊设施和检修场地。环锤式碎煤机出力220t/h。入料粒度小于 300mm，出料粒度小于10mm。碎煤系统的设计能力能够满足全厂小时最大耗煤量的需求。碎煤机室产尘点均设有2台布袋除尘器。</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风烟系统</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配套建设鼓风机及引风机，燃烧用空气经鼓风机加压送入锅炉尾部空气预热器，预热后的空气经热风道和锅炉两侧的风室按需送入锅炉炉排下方风室。燃烧烟气经脱硝后，进入除尘装置对烟气进行除尘后进入引风机，经引风机抽吸加压送入脱硫塔，进行脱硫，经烟囱排入大气。</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除灰渣系统</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本项目出渣系统利用原有系统，增加一台刮板除渣机，将新设锅炉的炉渣排至原有集中刮板除渣机内，经由水平布置的刮板除渣机运至锅炉房东侧的集中耐热出渣皮带至锅炉房外的灰渣场。锅炉炉排漏灰，由冲灰水沿倾斜出灰管冲至新建锅炉除渣机，随炉渣一起进入灰渣场。</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锅炉燃烧产生的炉灰随烟气排出至布袋除尘器，由除尘器收集后排入水平放置的密闭刮板输灰机，由刮板输灰机排入集中耐热出渣皮带上，随炉渣一起进入灰渣场。</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软化水系统</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原有锅炉房水处理设备设置在水泵房内，采用流量型全自动钠离子交换器装置。市政供水经软化后进入软化水箱，由补给水泵加压后送入循环水泵入口</w:t>
            </w:r>
            <w:r>
              <w:rPr>
                <w:rFonts w:ascii="Times New Roman" w:eastAsiaTheme="minorEastAsia"/>
                <w:color w:val="000000" w:themeColor="text1"/>
                <w:sz w:val="21"/>
                <w:szCs w:val="21"/>
                <w14:textFill>
                  <w14:solidFill>
                    <w14:schemeClr w14:val="tx1"/>
                  </w14:solidFill>
                </w14:textFill>
              </w:rPr>
              <w:t>，最大处理量为100~120t/h。</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烟囱</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依托厂区现有高100m，出口内径3m的烟囱。分别在脱硫烟道上</w:t>
            </w:r>
            <w:r>
              <w:rPr>
                <w:rFonts w:ascii="Times New Roman" w:eastAsiaTheme="minorEastAsia"/>
                <w:color w:val="000000" w:themeColor="text1"/>
                <w:sz w:val="21"/>
                <w:szCs w:val="21"/>
                <w14:textFill>
                  <w14:solidFill>
                    <w14:schemeClr w14:val="tx1"/>
                  </w14:solidFill>
                </w14:textFill>
              </w:rPr>
              <w:t>安装烟气在线监测系统</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在线监测装置设置遵照《固定污染源烟气排放连续监测技术规范》要求。</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储运</w:t>
            </w:r>
            <w:r>
              <w:rPr>
                <w:rFonts w:ascii="Times New Roman" w:eastAsiaTheme="minorEastAsia"/>
                <w:color w:val="000000" w:themeColor="text1"/>
                <w:sz w:val="21"/>
                <w:szCs w:val="21"/>
                <w14:textFill>
                  <w14:solidFill>
                    <w14:schemeClr w14:val="tx1"/>
                  </w14:solidFill>
                </w14:textFill>
              </w:rPr>
              <w:t>工程</w:t>
            </w: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储煤场</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储煤场位于厂内南侧，为半封闭式储煤场，占地面积36000m</w:t>
            </w:r>
            <w:r>
              <w:rPr>
                <w:rFonts w:hint="eastAsia" w:ascii="Times New Roman" w:eastAsiaTheme="minorEastAsia"/>
                <w:color w:val="000000" w:themeColor="text1"/>
                <w:kern w:val="2"/>
                <w:szCs w:val="24"/>
                <w:vertAlign w:val="superscript"/>
                <w:lang w:bidi="zh-CN"/>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，堆煤高度4m，可储煤50000吨。</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灰渣场</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依托现有半封闭灰渣场</w:t>
            </w:r>
            <w:r>
              <w:rPr>
                <w:rFonts w:ascii="Times New Roman" w:eastAsiaTheme="minorEastAsia"/>
                <w:color w:val="000000" w:themeColor="text1"/>
                <w:sz w:val="21"/>
                <w:szCs w:val="21"/>
                <w14:textFill>
                  <w14:solidFill>
                    <w14:schemeClr w14:val="tx1"/>
                  </w14:solidFill>
                </w14:textFill>
              </w:rPr>
              <w:t>，用于锅炉灰渣等的暂存。</w:t>
            </w:r>
            <w:r>
              <w:rPr>
                <w:rFonts w:hint="eastAsia" w:ascii="Times New Roman" w:eastAsiaTheme="minorEastAsia"/>
                <w:color w:val="000000" w:themeColor="text1"/>
                <w:sz w:val="21"/>
                <w:szCs w:val="21"/>
                <w14:textFill>
                  <w14:solidFill>
                    <w14:schemeClr w14:val="tx1"/>
                  </w14:solidFill>
                </w14:textFill>
              </w:rPr>
              <w:t>位于厂区东北侧、现有锅炉房东侧，占地面积为21000m</w:t>
            </w:r>
            <w:r>
              <w:rPr>
                <w:rFonts w:hint="eastAsia" w:ascii="Times New Roman" w:eastAsiaTheme="minorEastAsia"/>
                <w:color w:val="000000" w:themeColor="text1"/>
                <w:kern w:val="2"/>
                <w:szCs w:val="24"/>
                <w:vertAlign w:val="superscript"/>
                <w:lang w:bidi="zh-CN"/>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，可存储灰渣量约为20000t，为半封闭结构。</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危废贮存库</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位于厂区原有锅炉房东侧，面积</w:t>
            </w:r>
            <w:r>
              <w:rPr>
                <w:rFonts w:hint="eastAsia" w:ascii="Times New Roman" w:eastAsiaTheme="minorEastAsia"/>
                <w:color w:val="000000" w:themeColor="text1"/>
                <w:sz w:val="21"/>
                <w:szCs w:val="21"/>
                <w14:textFill>
                  <w14:solidFill>
                    <w14:schemeClr w14:val="tx1"/>
                  </w14:solidFill>
                </w14:textFill>
              </w:rPr>
              <w:t>50</w:t>
            </w:r>
            <w:r>
              <w:rPr>
                <w:rFonts w:ascii="Times New Roman" w:eastAsiaTheme="minorEastAsia"/>
                <w:color w:val="000000" w:themeColor="text1"/>
                <w:sz w:val="21"/>
                <w:szCs w:val="21"/>
                <w14:textFill>
                  <w14:solidFill>
                    <w14:schemeClr w14:val="tx1"/>
                  </w14:solidFill>
                </w14:textFill>
              </w:rPr>
              <w:t>m</w:t>
            </w:r>
            <w:r>
              <w:rPr>
                <w:rFonts w:ascii="Times New Roman" w:eastAsiaTheme="minorEastAsia"/>
                <w:color w:val="000000" w:themeColor="text1"/>
                <w:kern w:val="2"/>
                <w:szCs w:val="24"/>
                <w:vertAlign w:val="superscript"/>
                <w:lang w:bidi="zh-CN"/>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。危废贮存库采取严格的防渗措施，防渗层为水泥地面硬化，上铺设2mm厚高密度聚乙烯，或至少2mm厚的其它人工材料，渗透系数≤10-10cm/s；符合《危险废物贮存污染控制标准》（GB18597-20</w:t>
            </w:r>
            <w:r>
              <w:rPr>
                <w:rFonts w:hint="eastAsia" w:ascii="Times New Roman" w:eastAsiaTheme="minorEastAsia"/>
                <w:color w:val="000000" w:themeColor="text1"/>
                <w:sz w:val="21"/>
                <w:szCs w:val="21"/>
                <w14:textFill>
                  <w14:solidFill>
                    <w14:schemeClr w14:val="tx1"/>
                  </w14:solidFill>
                </w14:textFill>
              </w:rPr>
              <w:t>23</w:t>
            </w:r>
            <w:r>
              <w:rPr>
                <w:rFonts w:ascii="Times New Roman" w:eastAsiaTheme="minorEastAsia"/>
                <w:color w:val="000000" w:themeColor="text1"/>
                <w:sz w:val="21"/>
                <w:szCs w:val="21"/>
                <w14:textFill>
                  <w14:solidFill>
                    <w14:schemeClr w14:val="tx1"/>
                  </w14:solidFill>
                </w14:textFill>
              </w:rPr>
              <w:t>）要求</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药剂存放间</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本项目脱硫剂（氧化镁）、脱硝剂（尿素）存放间位于</w:t>
            </w:r>
            <w:r>
              <w:rPr>
                <w:rFonts w:hint="eastAsia" w:ascii="Times New Roman" w:eastAsiaTheme="minorEastAsia"/>
                <w:color w:val="000000" w:themeColor="text1"/>
                <w:sz w:val="21"/>
                <w:szCs w:val="21"/>
                <w14:textFill>
                  <w14:solidFill>
                    <w14:schemeClr w14:val="tx1"/>
                  </w14:solidFill>
                </w14:textFill>
              </w:rPr>
              <w:t>新建</w:t>
            </w:r>
            <w:r>
              <w:rPr>
                <w:rFonts w:ascii="Times New Roman" w:eastAsiaTheme="minorEastAsia"/>
                <w:color w:val="000000" w:themeColor="text1"/>
                <w:sz w:val="21"/>
                <w:szCs w:val="21"/>
                <w14:textFill>
                  <w14:solidFill>
                    <w14:schemeClr w14:val="tx1"/>
                  </w14:solidFill>
                </w14:textFill>
              </w:rPr>
              <w:t>锅炉房内，厂区中部位置，建筑面积225 m</w:t>
            </w:r>
            <w:r>
              <w:rPr>
                <w:rFonts w:ascii="Times New Roman" w:eastAsiaTheme="minorEastAsia"/>
                <w:color w:val="000000" w:themeColor="text1"/>
                <w:kern w:val="2"/>
                <w:szCs w:val="24"/>
                <w:vertAlign w:val="superscript"/>
                <w:lang w:bidi="zh-CN"/>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，用于存储脱硫剂及脱硝剂。</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脱硫泵房、脱硫水池</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新建脱硫泵房一座，位于厂区北侧，占地面积260 m</w:t>
            </w:r>
            <w:r>
              <w:rPr>
                <w:rFonts w:ascii="Times New Roman" w:eastAsiaTheme="minorEastAsia"/>
                <w:color w:val="000000" w:themeColor="text1"/>
                <w:kern w:val="2"/>
                <w:szCs w:val="24"/>
                <w:vertAlign w:val="superscript"/>
                <w:lang w:bidi="zh-CN"/>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脱硫设备间设置溶解罐、搅拌器、浆液循环泵等设备。</w:t>
            </w:r>
            <w:r>
              <w:rPr>
                <w:rFonts w:ascii="Times New Roman" w:eastAsiaTheme="minorEastAsia"/>
                <w:color w:val="000000" w:themeColor="text1"/>
                <w:sz w:val="21"/>
                <w:szCs w:val="21"/>
                <w14:textFill>
                  <w14:solidFill>
                    <w14:schemeClr w14:val="tx1"/>
                  </w14:solidFill>
                </w14:textFill>
              </w:rPr>
              <w:t>配套脱硫水池位于脱硫泵房的东北侧，占地面积400 m</w:t>
            </w:r>
            <w:r>
              <w:rPr>
                <w:rFonts w:ascii="Times New Roman" w:eastAsiaTheme="minorEastAsia"/>
                <w:color w:val="000000" w:themeColor="text1"/>
                <w:kern w:val="2"/>
                <w:szCs w:val="24"/>
                <w:vertAlign w:val="superscript"/>
                <w:lang w:bidi="zh-CN"/>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，容积600m</w:t>
            </w:r>
            <w:r>
              <w:rPr>
                <w:rFonts w:ascii="Times New Roman" w:eastAsiaTheme="minorEastAsia"/>
                <w:color w:val="000000" w:themeColor="text1"/>
                <w:kern w:val="2"/>
                <w:szCs w:val="24"/>
                <w:vertAlign w:val="superscript"/>
                <w:lang w:bidi="zh-CN"/>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，用于本项目脱硫废水的暂存。</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尿素溶解系统</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设置 1 台尿素溶解罐，材料采用 304 不锈钢，容积为 5m</w:t>
            </w:r>
            <w:r>
              <w:rPr>
                <w:rFonts w:hint="eastAsia" w:ascii="Times New Roman" w:eastAsiaTheme="minorEastAsia"/>
                <w:color w:val="000000" w:themeColor="text1"/>
                <w:kern w:val="2"/>
                <w:szCs w:val="24"/>
                <w:vertAlign w:val="superscript"/>
                <w:lang w:bidi="zh-CN"/>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尿素溶液储罐</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设置 1 座尿素溶液储罐，容积 48m</w:t>
            </w:r>
            <w:r>
              <w:rPr>
                <w:rFonts w:hint="eastAsia" w:ascii="Times New Roman" w:eastAsiaTheme="minorEastAsia"/>
                <w:color w:val="000000" w:themeColor="text1"/>
                <w:kern w:val="2"/>
                <w:szCs w:val="24"/>
                <w:vertAlign w:val="superscript"/>
                <w:lang w:bidi="zh-CN"/>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。储罐采用 304 不锈钢制造。</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点火</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方式</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本项目厂内不设柴油罐，仅点火时由罐车运输至厂区进行点火作业（油罐车→油过滤器→供油泵→锅炉）。根据当地的气象条件，锅炉点火助燃油采用轻柴油，冬季采用-10或-20号轻柴油。</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消防水池</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新建消防水池一座</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容积为40</w:t>
            </w:r>
            <w:r>
              <w:rPr>
                <w:rFonts w:ascii="Times New Roman" w:eastAsiaTheme="minorEastAsia"/>
                <w:color w:val="000000" w:themeColor="text1"/>
                <w:sz w:val="21"/>
                <w:szCs w:val="21"/>
                <w14:textFill>
                  <w14:solidFill>
                    <w14:schemeClr w14:val="tx1"/>
                  </w14:solidFill>
                </w14:textFill>
              </w:rPr>
              <w:t>0m</w:t>
            </w:r>
            <w:r>
              <w:rPr>
                <w:rFonts w:hint="eastAsia" w:ascii="Times New Roman" w:eastAsiaTheme="minorEastAsia"/>
                <w:color w:val="000000" w:themeColor="text1"/>
                <w:kern w:val="2"/>
                <w:szCs w:val="24"/>
                <w:vertAlign w:val="superscript"/>
                <w:lang w:bidi="zh-CN"/>
                <w14:textFill>
                  <w14:solidFill>
                    <w14:schemeClr w14:val="tx1"/>
                  </w14:solidFill>
                </w14:textFill>
              </w:rPr>
              <w:t>3</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公用工程</w:t>
            </w: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给水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系统</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本项目工艺用水依托厂区原有供水设施。</w:t>
            </w:r>
            <w:r>
              <w:rPr>
                <w:rFonts w:hint="eastAsia" w:ascii="Times New Roman" w:eastAsiaTheme="minorEastAsia"/>
                <w:color w:val="000000" w:themeColor="text1"/>
                <w:sz w:val="21"/>
                <w:szCs w:val="21"/>
                <w14:textFill>
                  <w14:solidFill>
                    <w14:schemeClr w14:val="tx1"/>
                  </w14:solidFill>
                </w14:textFill>
              </w:rPr>
              <w:t>本项目不新增劳动定员，无新增生活用水。</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系统</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锅炉排污水</w:t>
            </w:r>
            <w:r>
              <w:rPr>
                <w:rFonts w:hint="eastAsia" w:ascii="Times New Roman" w:eastAsiaTheme="minorEastAsia"/>
                <w:color w:val="000000" w:themeColor="text1"/>
                <w:sz w:val="21"/>
                <w:szCs w:val="21"/>
                <w14:textFill>
                  <w14:solidFill>
                    <w14:schemeClr w14:val="tx1"/>
                  </w14:solidFill>
                </w14:textFill>
              </w:rPr>
              <w:t>、软化水系统脱盐浓水</w:t>
            </w:r>
            <w:r>
              <w:rPr>
                <w:rFonts w:ascii="Times New Roman" w:eastAsiaTheme="minorEastAsia"/>
                <w:color w:val="000000" w:themeColor="text1"/>
                <w:sz w:val="21"/>
                <w:szCs w:val="21"/>
                <w14:textFill>
                  <w14:solidFill>
                    <w14:schemeClr w14:val="tx1"/>
                  </w14:solidFill>
                </w14:textFill>
              </w:rPr>
              <w:t>处理排水主要用于冲渣、脱硫、降尘及地面冲洗，不外排。本项目无新增排水。</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供热工程</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本项目冬季取暖由厂区内锅炉房提供。</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供电</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工程</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由市政供电管网提供。</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43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环保工程</w:t>
            </w:r>
          </w:p>
        </w:tc>
        <w:tc>
          <w:tcPr>
            <w:tcW w:w="60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废气</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w:t>
            </w:r>
            <w:r>
              <w:rPr>
                <w:rFonts w:ascii="Times New Roman" w:eastAsiaTheme="minorEastAsia"/>
                <w:color w:val="000000" w:themeColor="text1"/>
                <w:sz w:val="21"/>
                <w:szCs w:val="21"/>
                <w14:textFill>
                  <w14:solidFill>
                    <w14:schemeClr w14:val="tx1"/>
                  </w14:solidFill>
                </w14:textFill>
              </w:rPr>
              <w:t>建锅炉配备布袋除尘器，除尘效率不低于99.</w:t>
            </w:r>
            <w:r>
              <w:rPr>
                <w:rFonts w:hint="eastAsia" w:ascii="Times New Roman" w:eastAsiaTheme="minorEastAsia"/>
                <w:color w:val="000000" w:themeColor="text1"/>
                <w:sz w:val="21"/>
                <w:szCs w:val="21"/>
                <w14:textFill>
                  <w14:solidFill>
                    <w14:schemeClr w14:val="tx1"/>
                  </w14:solidFill>
                </w14:textFill>
              </w:rPr>
              <w:t>9</w:t>
            </w:r>
            <w:r>
              <w:rPr>
                <w:rFonts w:ascii="Times New Roman" w:eastAsiaTheme="minorEastAsia"/>
                <w:color w:val="000000" w:themeColor="text1"/>
                <w:sz w:val="21"/>
                <w:szCs w:val="21"/>
                <w14:textFill>
                  <w14:solidFill>
                    <w14:schemeClr w14:val="tx1"/>
                  </w14:solidFill>
                </w14:textFill>
              </w:rPr>
              <w:t>5%</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配备湿式镁法脱硫塔除尘脱硫系统，脱硫效率不低于</w:t>
            </w:r>
            <w:r>
              <w:rPr>
                <w:rFonts w:hint="eastAsia" w:ascii="Times New Roman" w:eastAsiaTheme="minorEastAsia"/>
                <w:color w:val="000000" w:themeColor="text1"/>
                <w:sz w:val="21"/>
                <w:szCs w:val="21"/>
                <w14:textFill>
                  <w14:solidFill>
                    <w14:schemeClr w14:val="tx1"/>
                  </w14:solidFill>
                </w14:textFill>
              </w:rPr>
              <w:t>95</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扩建锅炉</w:t>
            </w:r>
            <w:r>
              <w:rPr>
                <w:rFonts w:hint="eastAsia" w:ascii="Times New Roman" w:eastAsiaTheme="minorEastAsia"/>
                <w:color w:val="000000" w:themeColor="text1"/>
                <w:sz w:val="21"/>
                <w:szCs w:val="21"/>
                <w14:textFill>
                  <w14:solidFill>
                    <w14:schemeClr w14:val="tx1"/>
                  </w14:solidFill>
                </w14:textFill>
              </w:rPr>
              <w:t>低氮燃烧和SNCR-SCR联合脱硝工艺</w:t>
            </w:r>
            <w:r>
              <w:rPr>
                <w:rFonts w:ascii="Times New Roman" w:eastAsiaTheme="minorEastAsia"/>
                <w:color w:val="000000" w:themeColor="text1"/>
                <w:sz w:val="21"/>
                <w:szCs w:val="21"/>
                <w14:textFill>
                  <w14:solidFill>
                    <w14:schemeClr w14:val="tx1"/>
                  </w14:solidFill>
                </w14:textFill>
              </w:rPr>
              <w:t>，SCR设置为3层催化剂，脱硝效率不低于</w:t>
            </w:r>
            <w:r>
              <w:rPr>
                <w:rFonts w:hint="eastAsia" w:ascii="Times New Roman" w:eastAsiaTheme="minorEastAsia"/>
                <w:color w:val="000000" w:themeColor="text1"/>
                <w:sz w:val="21"/>
                <w:szCs w:val="21"/>
                <w14:textFill>
                  <w14:solidFill>
                    <w14:schemeClr w14:val="tx1"/>
                  </w14:solidFill>
                </w14:textFill>
              </w:rPr>
              <w:t>80</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烟气脱硝、除尘和脱硫等环保设施对汞及其化合物的协同脱除效率为70%，处理后的烟气通过高100m、出口内径</w:t>
            </w:r>
            <w:r>
              <w:rPr>
                <w:rFonts w:hint="eastAsia" w:ascii="Times New Roman" w:eastAsiaTheme="minorEastAsia"/>
                <w:color w:val="000000" w:themeColor="text1"/>
                <w:sz w:val="21"/>
                <w:szCs w:val="21"/>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m的烟囱排放</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输煤栈桥侧面及屋面均用100mm厚金属保温墙板或屋面板封闭，输送皮带上方设有喷淋水管用于燃料干燥时的加湿。</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煤机室的各落煤点会产生煤尘扬尘，在碎煤机室设置2套布袋除尘器，除尘效率99%（每台布袋除尘器的风量3000m</w:t>
            </w:r>
            <w:r>
              <w:rPr>
                <w:rFonts w:hint="eastAsia" w:ascii="Times New Roman" w:eastAsiaTheme="minorEastAsia"/>
                <w:color w:val="000000" w:themeColor="text1"/>
                <w:kern w:val="2"/>
                <w:szCs w:val="24"/>
                <w:vertAlign w:val="superscript"/>
                <w:lang w:bidi="zh-CN"/>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/h）；碎煤机室产生的粉尘经脉冲布袋除尘器除尘后，尾气直接经风机排放，碎煤机室有效排放高度20m。</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依托现有</w:t>
            </w:r>
            <w:r>
              <w:rPr>
                <w:rFonts w:hint="eastAsia" w:ascii="Times New Roman" w:eastAsiaTheme="minorEastAsia"/>
                <w:color w:val="000000" w:themeColor="text1"/>
                <w:sz w:val="21"/>
                <w:szCs w:val="21"/>
                <w14:textFill>
                  <w14:solidFill>
                    <w14:schemeClr w14:val="tx1"/>
                  </w14:solidFill>
                </w14:textFill>
              </w:rPr>
              <w:t>半</w:t>
            </w:r>
            <w:r>
              <w:rPr>
                <w:rFonts w:ascii="Times New Roman" w:eastAsiaTheme="minorEastAsia"/>
                <w:color w:val="000000" w:themeColor="text1"/>
                <w:sz w:val="21"/>
                <w:szCs w:val="21"/>
                <w14:textFill>
                  <w14:solidFill>
                    <w14:schemeClr w14:val="tx1"/>
                  </w14:solidFill>
                </w14:textFill>
              </w:rPr>
              <w:t>封闭式储煤场，占地面积</w:t>
            </w:r>
            <w:r>
              <w:rPr>
                <w:rFonts w:hint="eastAsia" w:ascii="Times New Roman" w:eastAsiaTheme="minorEastAsia"/>
                <w:color w:val="000000" w:themeColor="text1"/>
                <w:sz w:val="21"/>
                <w:szCs w:val="21"/>
                <w14:textFill>
                  <w14:solidFill>
                    <w14:schemeClr w14:val="tx1"/>
                  </w14:solidFill>
                </w14:textFill>
              </w:rPr>
              <w:t>360</w:t>
            </w:r>
            <w:r>
              <w:rPr>
                <w:rFonts w:ascii="Times New Roman" w:eastAsiaTheme="minorEastAsia"/>
                <w:color w:val="000000" w:themeColor="text1"/>
                <w:sz w:val="21"/>
                <w:szCs w:val="21"/>
                <w14:textFill>
                  <w14:solidFill>
                    <w14:schemeClr w14:val="tx1"/>
                  </w14:solidFill>
                </w14:textFill>
              </w:rPr>
              <w:t>00m</w:t>
            </w:r>
            <w:r>
              <w:rPr>
                <w:rFonts w:ascii="Times New Roman" w:eastAsiaTheme="minorEastAsia"/>
                <w:color w:val="000000" w:themeColor="text1"/>
                <w:kern w:val="2"/>
                <w:szCs w:val="24"/>
                <w:vertAlign w:val="superscript"/>
                <w:lang w:bidi="zh-CN"/>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在储煤场四周设置防风抑尘网（长度550m，高度10m）并才用苫布遮盖，定期洒水增湿降尘</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依托现有</w:t>
            </w:r>
            <w:r>
              <w:rPr>
                <w:rFonts w:hint="eastAsia" w:ascii="Times New Roman" w:eastAsiaTheme="minorEastAsia"/>
                <w:color w:val="000000" w:themeColor="text1"/>
                <w:sz w:val="21"/>
                <w:szCs w:val="21"/>
                <w14:textFill>
                  <w14:solidFill>
                    <w14:schemeClr w14:val="tx1"/>
                  </w14:solidFill>
                </w14:textFill>
              </w:rPr>
              <w:t>半</w:t>
            </w:r>
            <w:r>
              <w:rPr>
                <w:rFonts w:ascii="Times New Roman" w:eastAsiaTheme="minorEastAsia"/>
                <w:color w:val="000000" w:themeColor="text1"/>
                <w:sz w:val="21"/>
                <w:szCs w:val="21"/>
                <w14:textFill>
                  <w14:solidFill>
                    <w14:schemeClr w14:val="tx1"/>
                  </w14:solidFill>
                </w14:textFill>
              </w:rPr>
              <w:t>封闭式</w:t>
            </w:r>
            <w:r>
              <w:rPr>
                <w:rFonts w:hint="eastAsia" w:ascii="Times New Roman" w:eastAsiaTheme="minorEastAsia"/>
                <w:color w:val="000000" w:themeColor="text1"/>
                <w:sz w:val="21"/>
                <w:szCs w:val="21"/>
                <w14:textFill>
                  <w14:solidFill>
                    <w14:schemeClr w14:val="tx1"/>
                  </w14:solidFill>
                </w14:textFill>
              </w:rPr>
              <w:t>灰渣场</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现有锅炉房东侧，占地面积为21000m</w:t>
            </w:r>
            <w:r>
              <w:rPr>
                <w:rFonts w:hint="eastAsia" w:ascii="Times New Roman" w:eastAsiaTheme="minorEastAsia"/>
                <w:color w:val="000000" w:themeColor="text1"/>
                <w:kern w:val="2"/>
                <w:szCs w:val="24"/>
                <w:vertAlign w:val="superscript"/>
                <w:lang w:bidi="zh-CN"/>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，在灰渣场四周设置防风抑尘网（长度400m，高度10m）并才用苫布遮盖，定期洒水增湿降尘</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依托现有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废水</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采用雨污分流排水系统，建设单位在厂区设置1座25m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的初期雨水</w:t>
            </w:r>
            <w:r>
              <w:rPr>
                <w:rFonts w:hint="eastAsia" w:ascii="Times New Roman" w:eastAsiaTheme="minorEastAsia"/>
                <w:color w:val="000000" w:themeColor="text1"/>
                <w:sz w:val="21"/>
                <w:szCs w:val="21"/>
                <w14:textFill>
                  <w14:solidFill>
                    <w14:schemeClr w14:val="tx1"/>
                  </w14:solidFill>
                </w14:textFill>
              </w:rPr>
              <w:t>收集池，收集雨季初期雨水，初期雨水用于储煤场洒水降尘。厂区内部设置雨水管网，雨水排入周边雨水管网。</w:t>
            </w:r>
            <w:r>
              <w:rPr>
                <w:rFonts w:ascii="Times New Roman" w:eastAsiaTheme="minorEastAsia"/>
                <w:color w:val="000000" w:themeColor="text1"/>
                <w:sz w:val="21"/>
                <w:szCs w:val="21"/>
                <w14:textFill>
                  <w14:solidFill>
                    <w14:schemeClr w14:val="tx1"/>
                  </w14:solidFill>
                </w14:textFill>
              </w:rPr>
              <w:t>锅炉排污水</w:t>
            </w:r>
            <w:r>
              <w:rPr>
                <w:rFonts w:hint="eastAsia" w:ascii="Times New Roman" w:eastAsiaTheme="minorEastAsia"/>
                <w:color w:val="000000" w:themeColor="text1"/>
                <w:sz w:val="21"/>
                <w:szCs w:val="21"/>
                <w14:textFill>
                  <w14:solidFill>
                    <w14:schemeClr w14:val="tx1"/>
                  </w14:solidFill>
                </w14:textFill>
              </w:rPr>
              <w:t>、软化水系统脱盐浓水</w:t>
            </w:r>
            <w:r>
              <w:rPr>
                <w:rFonts w:ascii="Times New Roman" w:eastAsiaTheme="minorEastAsia"/>
                <w:color w:val="000000" w:themeColor="text1"/>
                <w:sz w:val="21"/>
                <w:szCs w:val="21"/>
                <w14:textFill>
                  <w14:solidFill>
                    <w14:schemeClr w14:val="tx1"/>
                  </w14:solidFill>
                </w14:textFill>
              </w:rPr>
              <w:t>处理排水主要用于冲渣、脱硫、降尘及地面冲洗，不外排。本项目无新增排水。</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2" w:hRule="atLeast"/>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生产废水排入脱硫水池，采用“中和沉淀+絮凝”工艺处理后用于地面冲洗水、输煤系统除尘、冷渣机用水，不外排。</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按有关规程、规定控制设备噪声，合理布局，采取降噪措施</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固废</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脱硫渣、锅炉</w:t>
            </w:r>
            <w:r>
              <w:rPr>
                <w:rFonts w:hint="eastAsia" w:ascii="Times New Roman" w:eastAsiaTheme="minorEastAsia"/>
                <w:color w:val="000000" w:themeColor="text1"/>
                <w:sz w:val="21"/>
                <w:szCs w:val="21"/>
                <w14:textFill>
                  <w14:solidFill>
                    <w14:schemeClr w14:val="tx1"/>
                  </w14:solidFill>
                </w14:textFill>
              </w:rPr>
              <w:t>灰渣</w:t>
            </w:r>
            <w:r>
              <w:rPr>
                <w:rFonts w:ascii="Times New Roman" w:eastAsiaTheme="minorEastAsia"/>
                <w:color w:val="000000" w:themeColor="text1"/>
                <w:sz w:val="21"/>
                <w:szCs w:val="21"/>
                <w14:textFill>
                  <w14:solidFill>
                    <w14:schemeClr w14:val="tx1"/>
                  </w14:solidFill>
                </w14:textFill>
              </w:rPr>
              <w:t>暂存于</w:t>
            </w:r>
            <w:r>
              <w:rPr>
                <w:rFonts w:hint="eastAsia" w:ascii="Times New Roman" w:eastAsiaTheme="minorEastAsia"/>
                <w:color w:val="000000" w:themeColor="text1"/>
                <w:sz w:val="21"/>
                <w:szCs w:val="21"/>
                <w14:textFill>
                  <w14:solidFill>
                    <w14:schemeClr w14:val="tx1"/>
                  </w14:solidFill>
                </w14:textFill>
              </w:rPr>
              <w:t>半封闭灰渣场</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定期</w:t>
            </w:r>
            <w:r>
              <w:rPr>
                <w:rFonts w:ascii="Times New Roman" w:eastAsiaTheme="minorEastAsia"/>
                <w:color w:val="000000" w:themeColor="text1"/>
                <w:sz w:val="21"/>
                <w:szCs w:val="21"/>
                <w14:textFill>
                  <w14:solidFill>
                    <w14:schemeClr w14:val="tx1"/>
                  </w14:solidFill>
                </w14:textFill>
              </w:rPr>
              <w:t>外售综合利用。</w:t>
            </w:r>
            <w:r>
              <w:rPr>
                <w:rFonts w:hint="eastAsia" w:ascii="Times New Roman" w:eastAsiaTheme="minorEastAsia"/>
                <w:color w:val="000000" w:themeColor="text1"/>
                <w:sz w:val="21"/>
                <w:szCs w:val="21"/>
                <w14:textFill>
                  <w14:solidFill>
                    <w14:schemeClr w14:val="tx1"/>
                  </w14:solidFill>
                </w14:textFill>
              </w:rPr>
              <w:t>除尘灰在</w:t>
            </w:r>
            <w:r>
              <w:rPr>
                <w:rFonts w:ascii="Times New Roman" w:eastAsiaTheme="minorEastAsia"/>
                <w:color w:val="000000" w:themeColor="text1"/>
                <w:sz w:val="21"/>
                <w:szCs w:val="21"/>
                <w14:textFill>
                  <w14:solidFill>
                    <w14:schemeClr w14:val="tx1"/>
                  </w14:solidFill>
                </w14:textFill>
              </w:rPr>
              <w:t>每台锅炉的除尘器下设置灰斗，布袋除尘器下设置封闭刮板机，运至</w:t>
            </w:r>
            <w:r>
              <w:rPr>
                <w:rFonts w:hint="eastAsia" w:ascii="Times New Roman" w:eastAsiaTheme="minorEastAsia"/>
                <w:color w:val="000000" w:themeColor="text1"/>
                <w:sz w:val="21"/>
                <w:szCs w:val="21"/>
                <w14:textFill>
                  <w14:solidFill>
                    <w14:schemeClr w14:val="tx1"/>
                  </w14:solidFill>
                </w14:textFill>
              </w:rPr>
              <w:t>全封闭</w:t>
            </w:r>
            <w:r>
              <w:rPr>
                <w:rFonts w:ascii="Times New Roman" w:eastAsiaTheme="minorEastAsia"/>
                <w:color w:val="000000" w:themeColor="text1"/>
                <w:sz w:val="21"/>
                <w:szCs w:val="21"/>
                <w14:textFill>
                  <w14:solidFill>
                    <w14:schemeClr w14:val="tx1"/>
                  </w14:solidFill>
                </w14:textFill>
              </w:rPr>
              <w:t>提升斗，</w:t>
            </w:r>
            <w:r>
              <w:rPr>
                <w:rFonts w:hint="eastAsia" w:ascii="Times New Roman" w:eastAsiaTheme="minorEastAsia"/>
                <w:color w:val="000000" w:themeColor="text1"/>
                <w:sz w:val="21"/>
                <w:szCs w:val="21"/>
                <w14:textFill>
                  <w14:solidFill>
                    <w14:schemeClr w14:val="tx1"/>
                  </w14:solidFill>
                </w14:textFill>
              </w:rPr>
              <w:t>后运至半封闭灰渣场</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定期</w:t>
            </w:r>
            <w:r>
              <w:rPr>
                <w:rFonts w:ascii="Times New Roman" w:eastAsiaTheme="minorEastAsia"/>
                <w:color w:val="000000" w:themeColor="text1"/>
                <w:sz w:val="21"/>
                <w:szCs w:val="21"/>
                <w14:textFill>
                  <w14:solidFill>
                    <w14:schemeClr w14:val="tx1"/>
                  </w14:solidFill>
                </w14:textFill>
              </w:rPr>
              <w:t>外售综合利用。脱硝工艺产生废弃脱硝催化剂，属于危险废物，</w:t>
            </w:r>
            <w:r>
              <w:rPr>
                <w:rFonts w:hint="eastAsia" w:ascii="Times New Roman" w:eastAsiaTheme="minorEastAsia"/>
                <w:color w:val="000000" w:themeColor="text1"/>
                <w:sz w:val="21"/>
                <w:szCs w:val="21"/>
                <w14:textFill>
                  <w14:solidFill>
                    <w14:schemeClr w14:val="tx1"/>
                  </w14:solidFill>
                </w14:textFill>
              </w:rPr>
              <w:t>在危废贮存库暂存后</w:t>
            </w:r>
            <w:r>
              <w:rPr>
                <w:rFonts w:ascii="Times New Roman" w:eastAsiaTheme="minorEastAsia"/>
                <w:color w:val="000000" w:themeColor="text1"/>
                <w:sz w:val="21"/>
                <w:szCs w:val="21"/>
                <w14:textFill>
                  <w14:solidFill>
                    <w14:schemeClr w14:val="tx1"/>
                  </w14:solidFill>
                </w14:textFill>
              </w:rPr>
              <w:t>由具有相应资质的单位负责回收、运输、处理处置。</w:t>
            </w:r>
            <w:r>
              <w:rPr>
                <w:rFonts w:hint="eastAsia" w:ascii="Times New Roman" w:eastAsiaTheme="minorEastAsia"/>
                <w:color w:val="000000" w:themeColor="text1"/>
                <w:sz w:val="21"/>
                <w:szCs w:val="21"/>
                <w14:textFill>
                  <w14:solidFill>
                    <w14:schemeClr w14:val="tx1"/>
                  </w14:solidFill>
                </w14:textFill>
              </w:rPr>
              <w:t>软化水系统废树脂属于一般固体废物，集中收集后交由离子交换树脂生产企业回收处置。废机油为危险废物，暂存在危废贮存库，定期委托有资质单位处理。</w:t>
            </w:r>
            <w:r>
              <w:rPr>
                <w:rFonts w:ascii="Times New Roman" w:eastAsiaTheme="minorEastAsia"/>
                <w:color w:val="000000" w:themeColor="text1"/>
                <w:sz w:val="21"/>
                <w:szCs w:val="21"/>
                <w14:textFill>
                  <w14:solidFill>
                    <w14:schemeClr w14:val="tx1"/>
                  </w14:solidFill>
                </w14:textFill>
              </w:rPr>
              <w:t>袋除尘器滤袋 2 年更换一次，废滤袋由厂家回收。</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在线监测设备</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在新建锅炉的脱硫烟道上</w:t>
            </w:r>
            <w:r>
              <w:rPr>
                <w:rFonts w:ascii="Times New Roman" w:eastAsiaTheme="minorEastAsia"/>
                <w:color w:val="000000" w:themeColor="text1"/>
                <w:sz w:val="21"/>
                <w:szCs w:val="21"/>
                <w14:textFill>
                  <w14:solidFill>
                    <w14:schemeClr w14:val="tx1"/>
                  </w14:solidFill>
                </w14:textFill>
              </w:rPr>
              <w:t>安装烟气在线监测系统</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在线监测装置设置遵照《固定污染源烟气排放连续监测技术规范》要求</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3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管网工程</w:t>
            </w:r>
          </w:p>
        </w:tc>
        <w:tc>
          <w:tcPr>
            <w:tcW w:w="6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管网及换热站</w:t>
            </w:r>
          </w:p>
        </w:tc>
        <w:tc>
          <w:tcPr>
            <w:tcW w:w="3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本次改扩建工程不涉供热管网及换热站工程</w:t>
            </w:r>
          </w:p>
        </w:tc>
        <w:tc>
          <w:tcPr>
            <w:tcW w:w="70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2、锅炉工艺参数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（1）锅炉选型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本项目扩建1台</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70</w:t>
      </w:r>
      <w:r>
        <w:rPr>
          <w:rFonts w:ascii="Times New Roman" w:hAnsi="Times New Roman" w:cs="Times New Roman" w:eastAsiaTheme="minorEastAsia"/>
          <w:color w:val="000000" w:themeColor="text1"/>
          <w:sz w:val="24"/>
          <w:szCs w:val="24"/>
          <w:lang w:val="en-US"/>
          <w14:textFill>
            <w14:solidFill>
              <w14:schemeClr w14:val="tx1"/>
            </w14:solidFill>
          </w14:textFill>
        </w:rPr>
        <w:t>MW</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（100t/h）往复式燃煤</w:t>
      </w:r>
      <w:r>
        <w:rPr>
          <w:rFonts w:ascii="Times New Roman" w:hAnsi="Times New Roman" w:cs="Times New Roman" w:eastAsiaTheme="minorEastAsia"/>
          <w:color w:val="000000" w:themeColor="text1"/>
          <w:sz w:val="24"/>
          <w:szCs w:val="24"/>
          <w:lang w:val="en-US"/>
          <w14:textFill>
            <w14:solidFill>
              <w14:schemeClr w14:val="tx1"/>
            </w14:solidFill>
          </w14:textFill>
        </w:rPr>
        <w:t>热水锅炉，所采用锅炉的工艺参数见表3-2-2。</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表3-2-2 锅炉主要参数一览表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型号</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SHW70-1.6-130/70-AII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额定供热量</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70</w:t>
            </w:r>
            <w:r>
              <w:rPr>
                <w:rFonts w:ascii="Times New Roman" w:eastAsiaTheme="minorEastAsia"/>
                <w:color w:val="000000" w:themeColor="text1"/>
                <w:sz w:val="21"/>
                <w:szCs w:val="21"/>
                <w14:textFill>
                  <w14:solidFill>
                    <w14:schemeClr w14:val="tx1"/>
                  </w14:solidFill>
                </w14:textFill>
              </w:rPr>
              <w:t>MW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额定压力</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1.6MPa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额定供水温度</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130</w:t>
            </w:r>
            <w:r>
              <w:rPr>
                <w:rFonts w:hint="eastAsia"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额定回水温度</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锅炉设计效率</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81.6</w:t>
            </w:r>
            <w:r>
              <w:rPr>
                <w:rFonts w:hint="eastAsia"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外形尺寸</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长</w:t>
            </w:r>
            <w:r>
              <w:rPr>
                <w:rFonts w:ascii="Times New Roman" w:eastAsiaTheme="minorEastAsia"/>
                <w:color w:val="000000" w:themeColor="text1"/>
                <w:sz w:val="21"/>
                <w:szCs w:val="21"/>
                <w14:textFill>
                  <w14:solidFill>
                    <w14:schemeClr w14:val="tx1"/>
                  </w14:solidFill>
                </w14:textFill>
              </w:rPr>
              <w:t>20.85</w:t>
            </w:r>
            <w:r>
              <w:rPr>
                <w:rFonts w:hint="eastAsia" w:ascii="Times New Roman" w:eastAsiaTheme="minorEastAsia"/>
                <w:color w:val="000000" w:themeColor="text1"/>
                <w:sz w:val="21"/>
                <w:szCs w:val="21"/>
                <w14:textFill>
                  <w14:solidFill>
                    <w14:schemeClr w14:val="tx1"/>
                  </w14:solidFill>
                </w14:textFill>
              </w:rPr>
              <w:t>米，宽</w:t>
            </w:r>
            <w:r>
              <w:rPr>
                <w:rFonts w:ascii="Times New Roman" w:eastAsiaTheme="minorEastAsia"/>
                <w:color w:val="000000" w:themeColor="text1"/>
                <w:sz w:val="21"/>
                <w:szCs w:val="21"/>
                <w14:textFill>
                  <w14:solidFill>
                    <w14:schemeClr w14:val="tx1"/>
                  </w14:solidFill>
                </w14:textFill>
              </w:rPr>
              <w:t>13.56</w:t>
            </w:r>
            <w:r>
              <w:rPr>
                <w:rFonts w:hint="eastAsia" w:ascii="Times New Roman" w:eastAsiaTheme="minorEastAsia"/>
                <w:color w:val="000000" w:themeColor="text1"/>
                <w:sz w:val="21"/>
                <w:szCs w:val="21"/>
                <w14:textFill>
                  <w14:solidFill>
                    <w14:schemeClr w14:val="tx1"/>
                  </w14:solidFill>
                </w14:textFill>
              </w:rPr>
              <w:t>米，高</w:t>
            </w:r>
            <w:r>
              <w:rPr>
                <w:rFonts w:ascii="Times New Roman" w:eastAsiaTheme="minorEastAsia"/>
                <w:color w:val="000000" w:themeColor="text1"/>
                <w:sz w:val="21"/>
                <w:szCs w:val="21"/>
                <w14:textFill>
                  <w14:solidFill>
                    <w14:schemeClr w14:val="tx1"/>
                  </w14:solidFill>
                </w14:textFill>
              </w:rPr>
              <w:t>14.84</w:t>
            </w:r>
            <w:r>
              <w:rPr>
                <w:rFonts w:hint="eastAsia" w:ascii="Times New Roman" w:eastAsiaTheme="minorEastAsia"/>
                <w:color w:val="000000" w:themeColor="text1"/>
                <w:sz w:val="21"/>
                <w:szCs w:val="21"/>
                <w14:textFill>
                  <w14:solidFill>
                    <w14:schemeClr w14:val="tx1"/>
                  </w14:solidFill>
                </w14:textFill>
              </w:rPr>
              <w:t>米</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（2）主要辅机类型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①</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循环水泵</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型号：</w:t>
      </w:r>
      <w:r>
        <w:rPr>
          <w:rFonts w:ascii="Times New Roman" w:hAnsi="Times New Roman" w:cs="Times New Roman" w:eastAsiaTheme="minorEastAsia"/>
          <w:color w:val="000000" w:themeColor="text1"/>
          <w:sz w:val="24"/>
          <w:szCs w:val="24"/>
          <w:lang w:val="en-US"/>
          <w14:textFill>
            <w14:solidFill>
              <w14:schemeClr w14:val="tx1"/>
            </w14:solidFill>
          </w14:textFill>
        </w:rPr>
        <w:t>500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w:t>
      </w:r>
      <w:r>
        <w:rPr>
          <w:rFonts w:ascii="Times New Roman" w:hAnsi="Times New Roman" w:cs="Times New Roman" w:eastAsiaTheme="minorEastAsia"/>
          <w:color w:val="000000" w:themeColor="text1"/>
          <w:sz w:val="24"/>
          <w:szCs w:val="24"/>
          <w:lang w:val="en-US"/>
          <w14:textFill>
            <w14:solidFill>
              <w14:schemeClr w14:val="tx1"/>
            </w14:solidFill>
          </w14:textFill>
        </w:rPr>
        <w:t>98</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流量：</w:t>
      </w:r>
      <w:r>
        <w:rPr>
          <w:rFonts w:ascii="Times New Roman" w:hAnsi="Times New Roman" w:cs="Times New Roman" w:eastAsiaTheme="minorEastAsia"/>
          <w:color w:val="000000" w:themeColor="text1"/>
          <w:sz w:val="24"/>
          <w:szCs w:val="24"/>
          <w:lang w:val="en-US"/>
          <w14:textFill>
            <w14:solidFill>
              <w14:schemeClr w14:val="tx1"/>
            </w14:solidFill>
          </w14:textFill>
        </w:rPr>
        <w:t>Q=2320m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³</w:t>
      </w:r>
      <w:r>
        <w:rPr>
          <w:rFonts w:ascii="Times New Roman" w:hAnsi="Times New Roman" w:cs="Times New Roman" w:eastAsiaTheme="minorEastAsia"/>
          <w:color w:val="000000" w:themeColor="text1"/>
          <w:sz w:val="24"/>
          <w:szCs w:val="24"/>
          <w:lang w:val="en-US"/>
          <w14:textFill>
            <w14:solidFill>
              <w14:schemeClr w14:val="tx1"/>
            </w14:solidFill>
          </w14:textFill>
        </w:rPr>
        <w:t>/h</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扬程：H=</w:t>
      </w:r>
      <w:r>
        <w:rPr>
          <w:rFonts w:ascii="Times New Roman" w:hAnsi="Times New Roman" w:cs="Times New Roman" w:eastAsiaTheme="minorEastAsia"/>
          <w:color w:val="000000" w:themeColor="text1"/>
          <w:sz w:val="24"/>
          <w:szCs w:val="24"/>
          <w:lang w:val="en-US"/>
          <w14:textFill>
            <w14:solidFill>
              <w14:schemeClr w14:val="tx1"/>
            </w14:solidFill>
          </w14:textFill>
        </w:rPr>
        <w:t>65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m</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功率：</w:t>
      </w:r>
      <w:r>
        <w:rPr>
          <w:rFonts w:ascii="Times New Roman" w:hAnsi="Times New Roman" w:cs="Times New Roman" w:eastAsiaTheme="minorEastAsia"/>
          <w:color w:val="000000" w:themeColor="text1"/>
          <w:sz w:val="24"/>
          <w:szCs w:val="24"/>
          <w:lang w:val="en-US"/>
          <w14:textFill>
            <w14:solidFill>
              <w14:schemeClr w14:val="tx1"/>
            </w14:solidFill>
          </w14:textFill>
        </w:rPr>
        <w:t>N=560KW</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数量：</w:t>
      </w:r>
      <w:r>
        <w:rPr>
          <w:rFonts w:ascii="Times New Roman" w:hAnsi="Times New Roman" w:cs="Times New Roman" w:eastAsiaTheme="minorEastAsia"/>
          <w:color w:val="000000" w:themeColor="text1"/>
          <w:sz w:val="24"/>
          <w:szCs w:val="24"/>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调速形式：变频</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②</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补水泵</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型号：</w:t>
      </w:r>
      <w:r>
        <w:rPr>
          <w:rFonts w:ascii="Times New Roman" w:hAnsi="Times New Roman" w:cs="Times New Roman" w:eastAsiaTheme="minorEastAsia"/>
          <w:color w:val="000000" w:themeColor="text1"/>
          <w:sz w:val="24"/>
          <w:szCs w:val="24"/>
          <w:lang w:val="en-US"/>
          <w14:textFill>
            <w14:solidFill>
              <w14:schemeClr w14:val="tx1"/>
            </w14:solidFill>
          </w14:textFill>
        </w:rPr>
        <w:t>80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DL</w:t>
      </w:r>
      <w:r>
        <w:rPr>
          <w:rFonts w:ascii="Times New Roman" w:hAnsi="Times New Roman" w:cs="Times New Roman" w:eastAsiaTheme="minorEastAsia"/>
          <w:color w:val="000000" w:themeColor="text1"/>
          <w:sz w:val="24"/>
          <w:szCs w:val="24"/>
          <w:lang w:val="en-US"/>
          <w14:textFill>
            <w14:solidFill>
              <w14:schemeClr w14:val="tx1"/>
            </w14:solidFill>
          </w14:textFill>
        </w:rPr>
        <w:t>50</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流量：Q=</w:t>
      </w:r>
      <w:r>
        <w:rPr>
          <w:rFonts w:ascii="Times New Roman" w:hAnsi="Times New Roman" w:cs="Times New Roman" w:eastAsiaTheme="minorEastAsia"/>
          <w:color w:val="000000" w:themeColor="text1"/>
          <w:sz w:val="24"/>
          <w:szCs w:val="24"/>
          <w:lang w:val="en-US"/>
          <w14:textFill>
            <w14:solidFill>
              <w14:schemeClr w14:val="tx1"/>
            </w14:solidFill>
          </w14:textFill>
        </w:rPr>
        <w:t>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扬程：H=32m</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功率：N=</w:t>
      </w:r>
      <w:r>
        <w:rPr>
          <w:rFonts w:ascii="Times New Roman" w:hAnsi="Times New Roman" w:cs="Times New Roman" w:eastAsiaTheme="minorEastAsia"/>
          <w:color w:val="000000" w:themeColor="text1"/>
          <w:sz w:val="24"/>
          <w:szCs w:val="24"/>
          <w:lang w:val="en-US"/>
          <w14:textFill>
            <w14:solidFill>
              <w14:schemeClr w14:val="tx1"/>
            </w14:solidFill>
          </w14:textFill>
        </w:rPr>
        <w:t>11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kw</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台数：2台（1用1备，初期注水或事故时同时启动）</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调速形式：变频</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③</w:t>
      </w:r>
      <w:r>
        <w:rPr>
          <w:rFonts w:ascii="Times New Roman" w:hAnsi="Times New Roman" w:cs="Times New Roman" w:eastAsiaTheme="minorEastAsia"/>
          <w:color w:val="000000" w:themeColor="text1"/>
          <w:sz w:val="24"/>
          <w:szCs w:val="24"/>
          <w:lang w:val="en-US"/>
          <w14:textFill>
            <w14:solidFill>
              <w14:schemeClr w14:val="tx1"/>
            </w14:solidFill>
          </w14:textFill>
        </w:rPr>
        <w:t>引风机</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风量：250000m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/h</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风压：4785Pa</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功率：500kW</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台数：1台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④</w:t>
      </w:r>
      <w:r>
        <w:rPr>
          <w:rFonts w:ascii="Times New Roman" w:hAnsi="Times New Roman" w:cs="Times New Roman" w:eastAsiaTheme="minorEastAsia"/>
          <w:color w:val="000000" w:themeColor="text1"/>
          <w:sz w:val="24"/>
          <w:szCs w:val="24"/>
          <w:lang w:val="en-US"/>
          <w14:textFill>
            <w14:solidFill>
              <w14:schemeClr w14:val="tx1"/>
            </w14:solidFill>
          </w14:textFill>
        </w:rPr>
        <w:t>除尘器</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处理烟气量：250000m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/h</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台数：1台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⑤</w:t>
      </w:r>
      <w:r>
        <w:rPr>
          <w:rFonts w:ascii="Times New Roman" w:hAnsi="Times New Roman" w:cs="Times New Roman" w:eastAsiaTheme="minorEastAsia"/>
          <w:color w:val="000000" w:themeColor="text1"/>
          <w:sz w:val="24"/>
          <w:szCs w:val="24"/>
          <w:lang w:val="en-US"/>
          <w14:textFill>
            <w14:solidFill>
              <w14:schemeClr w14:val="tx1"/>
            </w14:solidFill>
          </w14:textFill>
        </w:rPr>
        <w:t>脱硫塔</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处理烟气量：250000m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/h</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台数：2台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⑥</w:t>
      </w:r>
      <w:r>
        <w:rPr>
          <w:rFonts w:ascii="Times New Roman" w:hAnsi="Times New Roman" w:cs="Times New Roman" w:eastAsiaTheme="minorEastAsia"/>
          <w:color w:val="000000" w:themeColor="text1"/>
          <w:sz w:val="24"/>
          <w:szCs w:val="24"/>
          <w:lang w:val="en-US"/>
          <w14:textFill>
            <w14:solidFill>
              <w14:schemeClr w14:val="tx1"/>
            </w14:solidFill>
          </w14:textFill>
        </w:rPr>
        <w:t>烟囱</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厂区原有</w:t>
      </w:r>
      <w:r>
        <w:rPr>
          <w:rFonts w:ascii="Times New Roman" w:hAnsi="Times New Roman" w:cs="Times New Roman" w:eastAsiaTheme="minorEastAsia"/>
          <w:color w:val="000000" w:themeColor="text1"/>
          <w:sz w:val="24"/>
          <w:szCs w:val="24"/>
          <w:lang w:val="en-US"/>
          <w14:textFill>
            <w14:solidFill>
              <w14:schemeClr w14:val="tx1"/>
            </w14:solidFill>
          </w14:textFill>
        </w:rPr>
        <w:t>出口直径为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3.0</w:t>
      </w:r>
      <w:r>
        <w:rPr>
          <w:rFonts w:ascii="Times New Roman" w:hAnsi="Times New Roman" w:cs="Times New Roman" w:eastAsiaTheme="minorEastAsia"/>
          <w:color w:val="000000" w:themeColor="text1"/>
          <w:sz w:val="24"/>
          <w:szCs w:val="24"/>
          <w:lang w:val="en-US"/>
          <w14:textFill>
            <w14:solidFill>
              <w14:schemeClr w14:val="tx1"/>
            </w14:solidFill>
          </w14:textFill>
        </w:rPr>
        <w:t>m的钢筋混凝土烟囱，高度为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100.0</w:t>
      </w:r>
      <w:r>
        <w:rPr>
          <w:rFonts w:ascii="Times New Roman" w:hAnsi="Times New Roman" w:cs="Times New Roman" w:eastAsiaTheme="minorEastAsia"/>
          <w:color w:val="000000" w:themeColor="text1"/>
          <w:sz w:val="24"/>
          <w:szCs w:val="24"/>
          <w:lang w:val="en-US"/>
          <w14:textFill>
            <w14:solidFill>
              <w14:schemeClr w14:val="tx1"/>
            </w14:solidFill>
          </w14:textFill>
        </w:rPr>
        <w:t>m</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（3）经济技术指标</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表3-2-3技术经济计算指标</w:t>
      </w:r>
    </w:p>
    <w:tbl>
      <w:tblPr>
        <w:tblStyle w:val="70"/>
        <w:tblW w:w="5000" w:type="pct"/>
        <w:tblInd w:w="0" w:type="dxa"/>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906"/>
        <w:gridCol w:w="2782"/>
        <w:gridCol w:w="1805"/>
        <w:gridCol w:w="3029"/>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25" w:hRule="atLeast"/>
        </w:trPr>
        <w:tc>
          <w:tcPr>
            <w:tcW w:w="53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163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10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单位</w:t>
            </w:r>
          </w:p>
        </w:tc>
        <w:tc>
          <w:tcPr>
            <w:tcW w:w="177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1台</w:t>
            </w:r>
            <w:r>
              <w:rPr>
                <w:rFonts w:hint="eastAsia" w:ascii="Times New Roman" w:eastAsiaTheme="minorEastAsia"/>
                <w:color w:val="000000" w:themeColor="text1"/>
                <w:sz w:val="21"/>
                <w:szCs w:val="21"/>
                <w14:textFill>
                  <w14:solidFill>
                    <w14:schemeClr w14:val="tx1"/>
                  </w14:solidFill>
                </w14:textFill>
              </w:rPr>
              <w:t>70</w:t>
            </w:r>
            <w:r>
              <w:rPr>
                <w:rFonts w:ascii="Times New Roman" w:eastAsiaTheme="minorEastAsia"/>
                <w:color w:val="000000" w:themeColor="text1"/>
                <w:sz w:val="21"/>
                <w:szCs w:val="21"/>
                <w14:textFill>
                  <w14:solidFill>
                    <w14:schemeClr w14:val="tx1"/>
                  </w14:solidFill>
                </w14:textFill>
              </w:rPr>
              <w:t>MW</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53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63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供热能力</w:t>
            </w:r>
          </w:p>
        </w:tc>
        <w:tc>
          <w:tcPr>
            <w:tcW w:w="10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MW</w:t>
            </w:r>
          </w:p>
        </w:tc>
        <w:tc>
          <w:tcPr>
            <w:tcW w:w="177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80" w:hRule="atLeast"/>
        </w:trPr>
        <w:tc>
          <w:tcPr>
            <w:tcW w:w="53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163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年耗热量</w:t>
            </w:r>
          </w:p>
        </w:tc>
        <w:tc>
          <w:tcPr>
            <w:tcW w:w="10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r>
              <w:rPr>
                <w:rFonts w:ascii="Times New Roman" w:eastAsiaTheme="minorEastAsia"/>
                <w:color w:val="000000" w:themeColor="text1"/>
                <w:kern w:val="2"/>
                <w:szCs w:val="24"/>
                <w:vertAlign w:val="superscript"/>
                <w:lang w:bidi="zh-CN"/>
                <w14:textFill>
                  <w14:solidFill>
                    <w14:schemeClr w14:val="tx1"/>
                  </w14:solidFill>
                </w14:textFill>
              </w:rPr>
              <w:t>4</w:t>
            </w:r>
            <w:r>
              <w:rPr>
                <w:rFonts w:ascii="Times New Roman" w:eastAsiaTheme="minorEastAsia"/>
                <w:color w:val="000000" w:themeColor="text1"/>
                <w:sz w:val="21"/>
                <w:szCs w:val="21"/>
                <w14:textFill>
                  <w14:solidFill>
                    <w14:schemeClr w14:val="tx1"/>
                  </w14:solidFill>
                </w14:textFill>
              </w:rPr>
              <w:t>GJ</w:t>
            </w:r>
          </w:p>
        </w:tc>
        <w:tc>
          <w:tcPr>
            <w:tcW w:w="177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133.3</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00" w:hRule="atLeast"/>
        </w:trPr>
        <w:tc>
          <w:tcPr>
            <w:tcW w:w="53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163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年用电量</w:t>
            </w:r>
          </w:p>
        </w:tc>
        <w:tc>
          <w:tcPr>
            <w:tcW w:w="10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r>
              <w:rPr>
                <w:rFonts w:ascii="Times New Roman" w:eastAsiaTheme="minorEastAsia"/>
                <w:color w:val="000000" w:themeColor="text1"/>
                <w:kern w:val="2"/>
                <w:szCs w:val="24"/>
                <w:vertAlign w:val="superscript"/>
                <w:lang w:bidi="zh-CN"/>
                <w14:textFill>
                  <w14:solidFill>
                    <w14:schemeClr w14:val="tx1"/>
                  </w14:solidFill>
                </w14:textFill>
              </w:rPr>
              <w:t>4</w:t>
            </w:r>
            <w:r>
              <w:rPr>
                <w:rFonts w:ascii="Times New Roman" w:eastAsiaTheme="minorEastAsia"/>
                <w:color w:val="000000" w:themeColor="text1"/>
                <w:sz w:val="21"/>
                <w:szCs w:val="21"/>
                <w14:textFill>
                  <w14:solidFill>
                    <w14:schemeClr w14:val="tx1"/>
                  </w14:solidFill>
                </w14:textFill>
              </w:rPr>
              <w:t>kWh</w:t>
            </w:r>
          </w:p>
        </w:tc>
        <w:tc>
          <w:tcPr>
            <w:tcW w:w="177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15" w:hRule="atLeast"/>
        </w:trPr>
        <w:tc>
          <w:tcPr>
            <w:tcW w:w="53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163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年耗煤量</w:t>
            </w:r>
          </w:p>
        </w:tc>
        <w:tc>
          <w:tcPr>
            <w:tcW w:w="105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r>
              <w:rPr>
                <w:rFonts w:ascii="Times New Roman" w:eastAsiaTheme="minorEastAsia"/>
                <w:color w:val="000000" w:themeColor="text1"/>
                <w:kern w:val="2"/>
                <w:szCs w:val="24"/>
                <w:vertAlign w:val="superscript"/>
                <w:lang w:bidi="zh-CN"/>
                <w14:textFill>
                  <w14:solidFill>
                    <w14:schemeClr w14:val="tx1"/>
                  </w14:solidFill>
                </w14:textFill>
              </w:rPr>
              <w:t>4</w:t>
            </w:r>
            <w:r>
              <w:rPr>
                <w:rFonts w:ascii="Times New Roman" w:eastAsiaTheme="minorEastAsia"/>
                <w:color w:val="000000" w:themeColor="text1"/>
                <w:sz w:val="21"/>
                <w:szCs w:val="21"/>
                <w14:textFill>
                  <w14:solidFill>
                    <w14:schemeClr w14:val="tx1"/>
                  </w14:solidFill>
                </w14:textFill>
              </w:rPr>
              <w:t>t/a</w:t>
            </w:r>
          </w:p>
        </w:tc>
        <w:tc>
          <w:tcPr>
            <w:tcW w:w="177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4.2017</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100" w:name="_Toc11870"/>
      <w:r>
        <w:rPr>
          <w:rFonts w:hint="eastAsia" w:ascii="Times New Roman" w:hAnsi="Times New Roman" w:cs="Times New Roman" w:eastAsiaTheme="minorEastAsia"/>
          <w:color w:val="000000" w:themeColor="text1"/>
          <w:sz w:val="24"/>
          <w:szCs w:val="24"/>
          <w:lang w:val="en-US"/>
          <w14:textFill>
            <w14:solidFill>
              <w14:schemeClr w14:val="tx1"/>
            </w14:solidFill>
          </w14:textFill>
        </w:rPr>
        <w:t>3、主要设备清单</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表3-2-</w:t>
      </w:r>
      <w:r>
        <w:rPr>
          <w:rFonts w:hint="eastAsia" w:ascii="Times New Roman" w:hAnsiTheme="minorEastAsia" w:eastAsiaTheme="minorEastAsia"/>
          <w:b/>
          <w:bCs/>
          <w:color w:val="000000" w:themeColor="text1"/>
          <w:szCs w:val="24"/>
          <w14:textFill>
            <w14:solidFill>
              <w14:schemeClr w14:val="tx1"/>
            </w14:solidFill>
          </w14:textFill>
        </w:rPr>
        <w:t>4设备清单</w:t>
      </w:r>
    </w:p>
    <w:tbl>
      <w:tblPr>
        <w:tblStyle w:val="7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8"/>
        <w:gridCol w:w="1840"/>
        <w:gridCol w:w="3304"/>
        <w:gridCol w:w="23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12"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序号</w:t>
            </w:r>
          </w:p>
        </w:tc>
        <w:tc>
          <w:tcPr>
            <w:tcW w:w="1080"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名称</w:t>
            </w:r>
          </w:p>
        </w:tc>
        <w:tc>
          <w:tcPr>
            <w:tcW w:w="1939"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规格</w:t>
            </w:r>
          </w:p>
        </w:tc>
        <w:tc>
          <w:tcPr>
            <w:tcW w:w="1395" w:type="pct"/>
            <w:tcBorders>
              <w:top w:val="single" w:color="auto" w:sz="12"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数量（单位）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新建70</w:t>
            </w:r>
            <w:r>
              <w:rPr>
                <w:rFonts w:ascii="Times New Roman" w:eastAsiaTheme="minorEastAsia"/>
                <w:color w:val="000000" w:themeColor="text1"/>
                <w:sz w:val="21"/>
                <w:szCs w:val="21"/>
                <w14:textFill>
                  <w14:solidFill>
                    <w14:schemeClr w14:val="tx1"/>
                  </w14:solidFill>
                </w14:textFill>
              </w:rPr>
              <w:t>MW</w:t>
            </w:r>
            <w:r>
              <w:rPr>
                <w:rFonts w:hint="eastAsia" w:ascii="Times New Roman" w:eastAsiaTheme="minorEastAsia"/>
                <w:color w:val="000000" w:themeColor="text1"/>
                <w:sz w:val="21"/>
                <w:szCs w:val="21"/>
                <w14:textFill>
                  <w14:solidFill>
                    <w14:schemeClr w14:val="tx1"/>
                  </w14:solidFill>
                </w14:textFill>
              </w:rPr>
              <w:t>锅炉</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SHW70-1.6-130/70-AII</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脱硫塔</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氧化镁法</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锅炉排汽口</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出渣机</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鼓风机</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G4-73.NO11D</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引风机</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Y4-73.NO-14D</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循环水泵</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空压机</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13m</w:t>
            </w:r>
            <w:r>
              <w:rPr>
                <w:rFonts w:hint="eastAsia" w:ascii="Times New Roman" w:eastAsiaTheme="minorEastAsia"/>
                <w:color w:val="000000" w:themeColor="text1"/>
                <w:kern w:val="2"/>
                <w:szCs w:val="24"/>
                <w:vertAlign w:val="superscript"/>
                <w:lang w:bidi="zh-CN"/>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/min</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布袋除尘器</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Q≥210000m</w:t>
            </w:r>
            <w:r>
              <w:rPr>
                <w:rFonts w:ascii="Times New Roman" w:eastAsiaTheme="minorEastAsia"/>
                <w:color w:val="000000" w:themeColor="text1"/>
                <w:kern w:val="2"/>
                <w:szCs w:val="24"/>
                <w:vertAlign w:val="superscript"/>
                <w:lang w:bidi="zh-CN"/>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 xml:space="preserve"> /h </w:t>
            </w:r>
            <w:r>
              <w:rPr>
                <w:rFonts w:hint="eastAsia" w:ascii="Times New Roman" w:eastAsiaTheme="minorEastAsia"/>
                <w:color w:val="000000" w:themeColor="text1"/>
                <w:sz w:val="21"/>
                <w:szCs w:val="21"/>
                <w14:textFill>
                  <w14:solidFill>
                    <w14:schemeClr w14:val="tx1"/>
                  </w14:solidFill>
                </w14:textFill>
              </w:rPr>
              <w:t xml:space="preserve">   </w:t>
            </w:r>
            <w:r>
              <w:rPr>
                <w:rFonts w:ascii="Times New Roman" w:eastAsiaTheme="minorEastAsia"/>
                <w:color w:val="000000" w:themeColor="text1"/>
                <w:sz w:val="21"/>
                <w:szCs w:val="21"/>
                <w14:textFill>
                  <w14:solidFill>
                    <w14:schemeClr w14:val="tx1"/>
                  </w14:solidFill>
                </w14:textFill>
              </w:rPr>
              <w:t>η≥99.9</w:t>
            </w:r>
            <w:r>
              <w:rPr>
                <w:rFonts w:hint="eastAsia" w:ascii="Times New Roman" w:eastAsiaTheme="minorEastAsia"/>
                <w:color w:val="000000" w:themeColor="text1"/>
                <w:sz w:val="21"/>
                <w:szCs w:val="21"/>
                <w14:textFill>
                  <w14:solidFill>
                    <w14:schemeClr w14:val="tx1"/>
                  </w14:solidFill>
                </w14:textFill>
              </w:rPr>
              <w:t>5</w:t>
            </w:r>
            <w:r>
              <w:rPr>
                <w:rFonts w:ascii="Times New Roman" w:eastAsiaTheme="minorEastAsia"/>
                <w:color w:val="000000" w:themeColor="text1"/>
                <w:sz w:val="21"/>
                <w:szCs w:val="21"/>
                <w14:textFill>
                  <w14:solidFill>
                    <w14:schemeClr w14:val="tx1"/>
                  </w14:solidFill>
                </w14:textFill>
              </w:rPr>
              <w:t xml:space="preserve">% </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成套脱硫系统</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Q≥210000m</w:t>
            </w:r>
            <w:r>
              <w:rPr>
                <w:rFonts w:ascii="Times New Roman" w:eastAsiaTheme="minorEastAsia"/>
                <w:color w:val="000000" w:themeColor="text1"/>
                <w:kern w:val="2"/>
                <w:szCs w:val="24"/>
                <w:vertAlign w:val="superscript"/>
                <w:lang w:bidi="zh-CN"/>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 xml:space="preserve"> /h </w:t>
            </w:r>
            <w:r>
              <w:rPr>
                <w:rFonts w:hint="eastAsia" w:ascii="Times New Roman" w:eastAsiaTheme="minorEastAsia"/>
                <w:color w:val="000000" w:themeColor="text1"/>
                <w:sz w:val="21"/>
                <w:szCs w:val="21"/>
                <w14:textFill>
                  <w14:solidFill>
                    <w14:schemeClr w14:val="tx1"/>
                  </w14:solidFill>
                </w14:textFill>
              </w:rPr>
              <w:t xml:space="preserve">    </w:t>
            </w:r>
            <w:r>
              <w:rPr>
                <w:rFonts w:ascii="Times New Roman" w:eastAsiaTheme="minorEastAsia"/>
                <w:color w:val="000000" w:themeColor="text1"/>
                <w:sz w:val="21"/>
                <w:szCs w:val="21"/>
                <w14:textFill>
                  <w14:solidFill>
                    <w14:schemeClr w14:val="tx1"/>
                  </w14:solidFill>
                </w14:textFill>
              </w:rPr>
              <w:t>η≥</w:t>
            </w:r>
            <w:r>
              <w:rPr>
                <w:rFonts w:hint="eastAsia" w:ascii="Times New Roman" w:eastAsiaTheme="minorEastAsia"/>
                <w:color w:val="000000" w:themeColor="text1"/>
                <w:sz w:val="21"/>
                <w:szCs w:val="21"/>
                <w14:textFill>
                  <w14:solidFill>
                    <w14:schemeClr w14:val="tx1"/>
                  </w14:solidFill>
                </w14:textFill>
              </w:rPr>
              <w:t>95</w:t>
            </w:r>
            <w:r>
              <w:rPr>
                <w:rFonts w:ascii="Times New Roman" w:eastAsiaTheme="minorEastAsia"/>
                <w:color w:val="000000" w:themeColor="text1"/>
                <w:sz w:val="21"/>
                <w:szCs w:val="21"/>
                <w14:textFill>
                  <w14:solidFill>
                    <w14:schemeClr w14:val="tx1"/>
                  </w14:solidFill>
                </w14:textFill>
              </w:rPr>
              <w:t>%</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SNCR-SCR脱硝系统</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η≥</w:t>
            </w:r>
            <w:r>
              <w:rPr>
                <w:rFonts w:hint="eastAsia" w:ascii="Times New Roman" w:eastAsiaTheme="minorEastAsia"/>
                <w:color w:val="000000" w:themeColor="text1"/>
                <w:sz w:val="21"/>
                <w:szCs w:val="21"/>
                <w14:textFill>
                  <w14:solidFill>
                    <w14:schemeClr w14:val="tx1"/>
                  </w14:solidFill>
                </w14:textFill>
              </w:rPr>
              <w:t>80</w:t>
            </w:r>
            <w:r>
              <w:rPr>
                <w:rFonts w:ascii="Times New Roman" w:eastAsiaTheme="minorEastAsia"/>
                <w:color w:val="000000" w:themeColor="text1"/>
                <w:sz w:val="21"/>
                <w:szCs w:val="21"/>
                <w14:textFill>
                  <w14:solidFill>
                    <w14:schemeClr w14:val="tx1"/>
                  </w14:solidFill>
                </w14:textFill>
              </w:rPr>
              <w:t>%</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尿素溶解罐</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有效容积 </w:t>
            </w:r>
            <w:r>
              <w:rPr>
                <w:rFonts w:ascii="Times New Roman" w:eastAsiaTheme="minorEastAsia"/>
                <w:color w:val="000000" w:themeColor="text1"/>
                <w:sz w:val="21"/>
                <w:szCs w:val="21"/>
                <w14:textFill>
                  <w14:solidFill>
                    <w14:schemeClr w14:val="tx1"/>
                  </w14:solidFill>
                </w14:textFill>
              </w:rPr>
              <w:t>5m</w:t>
            </w:r>
            <w:r>
              <w:rPr>
                <w:rFonts w:ascii="Times New Roman" w:eastAsiaTheme="minorEastAsia"/>
                <w:color w:val="000000" w:themeColor="text1"/>
                <w:kern w:val="2"/>
                <w:szCs w:val="24"/>
                <w:vertAlign w:val="superscript"/>
                <w:lang w:bidi="zh-CN"/>
                <w14:textFill>
                  <w14:solidFill>
                    <w14:schemeClr w14:val="tx1"/>
                  </w14:solidFill>
                </w14:textFill>
              </w:rPr>
              <w:t>3</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尿素溶液储罐</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有效容积 </w:t>
            </w:r>
            <w:r>
              <w:rPr>
                <w:rFonts w:ascii="Times New Roman" w:eastAsiaTheme="minorEastAsia"/>
                <w:color w:val="000000" w:themeColor="text1"/>
                <w:sz w:val="21"/>
                <w:szCs w:val="21"/>
                <w14:textFill>
                  <w14:solidFill>
                    <w14:schemeClr w14:val="tx1"/>
                  </w14:solidFill>
                </w14:textFill>
              </w:rPr>
              <w:t>48m</w:t>
            </w:r>
            <w:r>
              <w:rPr>
                <w:rFonts w:ascii="Times New Roman" w:eastAsiaTheme="minorEastAsia"/>
                <w:color w:val="000000" w:themeColor="text1"/>
                <w:kern w:val="2"/>
                <w:szCs w:val="24"/>
                <w:vertAlign w:val="superscript"/>
                <w:lang w:bidi="zh-CN"/>
                <w14:textFill>
                  <w14:solidFill>
                    <w14:schemeClr w14:val="tx1"/>
                  </w14:solidFill>
                </w14:textFill>
              </w:rPr>
              <w:t>3</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皮带输送机</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B=800mm</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w:t>
            </w:r>
          </w:p>
        </w:tc>
        <w:tc>
          <w:tcPr>
            <w:tcW w:w="1080"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环锤式碎煤机</w:t>
            </w:r>
          </w:p>
        </w:tc>
        <w:tc>
          <w:tcPr>
            <w:tcW w:w="19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PCH-1010 Q=220t/h</w:t>
            </w:r>
          </w:p>
        </w:tc>
        <w:tc>
          <w:tcPr>
            <w:tcW w:w="1395"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86" w:type="pct"/>
            <w:tcBorders>
              <w:top w:val="single" w:color="auto" w:sz="4" w:space="0"/>
              <w:left w:val="nil"/>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w:t>
            </w:r>
          </w:p>
        </w:tc>
        <w:tc>
          <w:tcPr>
            <w:tcW w:w="1080"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运输车辆</w:t>
            </w:r>
          </w:p>
        </w:tc>
        <w:tc>
          <w:tcPr>
            <w:tcW w:w="1939"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1395" w:type="pct"/>
            <w:tcBorders>
              <w:top w:val="single" w:color="auto" w:sz="4" w:space="0"/>
              <w:left w:val="single" w:color="auto" w:sz="4" w:space="0"/>
              <w:bottom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r>
    </w:tbl>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3.2.4工程内容</w:t>
      </w:r>
      <w:bookmarkEnd w:id="100"/>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本次</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改</w:t>
      </w:r>
      <w:r>
        <w:rPr>
          <w:rFonts w:ascii="Times New Roman" w:hAnsi="Times New Roman" w:cs="Times New Roman" w:eastAsiaTheme="minorEastAsia"/>
          <w:color w:val="000000" w:themeColor="text1"/>
          <w:sz w:val="24"/>
          <w:szCs w:val="24"/>
          <w:lang w:val="en-US"/>
          <w14:textFill>
            <w14:solidFill>
              <w14:schemeClr w14:val="tx1"/>
            </w14:solidFill>
          </w14:textFill>
        </w:rPr>
        <w:t>扩建工程生产系统是以锅炉为中心，主要由燃料输送系统、燃烧系统、烟气净化系统、热力系统、水处理系统、除渣系统、控制系统等组成。</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3.2.4.1 燃料输送系统</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（1）煤源及煤质分析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w:t>
      </w:r>
      <w:r>
        <w:rPr>
          <w:rFonts w:ascii="Times New Roman" w:hAnsi="Times New Roman" w:cs="Times New Roman" w:eastAsiaTheme="minorEastAsia"/>
          <w:color w:val="000000" w:themeColor="text1"/>
          <w:sz w:val="24"/>
          <w:szCs w:val="24"/>
          <w:lang w:val="en-US"/>
          <w14:textFill>
            <w14:solidFill>
              <w14:schemeClr w14:val="tx1"/>
            </w14:solidFill>
          </w14:textFill>
        </w:rPr>
        <w:t>扩建1台</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70</w:t>
      </w:r>
      <w:r>
        <w:rPr>
          <w:rFonts w:ascii="Times New Roman" w:hAnsi="Times New Roman" w:cs="Times New Roman" w:eastAsiaTheme="minorEastAsia"/>
          <w:color w:val="000000" w:themeColor="text1"/>
          <w:sz w:val="24"/>
          <w:szCs w:val="24"/>
          <w:lang w:val="en-US"/>
          <w14:textFill>
            <w14:solidFill>
              <w14:schemeClr w14:val="tx1"/>
            </w14:solidFill>
          </w14:textFill>
        </w:rPr>
        <w:t>MW</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燃煤</w:t>
      </w:r>
      <w:r>
        <w:rPr>
          <w:rFonts w:ascii="Times New Roman" w:hAnsi="Times New Roman" w:cs="Times New Roman" w:eastAsiaTheme="minorEastAsia"/>
          <w:color w:val="000000" w:themeColor="text1"/>
          <w:sz w:val="24"/>
          <w:szCs w:val="24"/>
          <w:lang w:val="en-US"/>
          <w14:textFill>
            <w14:solidFill>
              <w14:schemeClr w14:val="tx1"/>
            </w14:solidFill>
          </w14:textFill>
        </w:rPr>
        <w:t>热水锅炉，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燃料为双鸭山市煤，</w:t>
      </w:r>
      <w:r>
        <w:rPr>
          <w:rFonts w:ascii="Times New Roman" w:hAnsi="Times New Roman" w:cs="Times New Roman" w:eastAsiaTheme="minorEastAsia"/>
          <w:color w:val="000000" w:themeColor="text1"/>
          <w:sz w:val="24"/>
          <w:szCs w:val="24"/>
          <w:lang w:val="en-US"/>
          <w14:textFill>
            <w14:solidFill>
              <w14:schemeClr w14:val="tx1"/>
            </w14:solidFill>
          </w14:textFill>
        </w:rPr>
        <w:t>燃料煤运输距离小于600公里，煤质分析见</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表3-2-5及</w:t>
      </w:r>
      <w:r>
        <w:rPr>
          <w:rFonts w:ascii="Times New Roman" w:hAnsi="Times New Roman" w:cs="Times New Roman" w:eastAsiaTheme="minorEastAsia"/>
          <w:color w:val="000000" w:themeColor="text1"/>
          <w:sz w:val="24"/>
          <w:szCs w:val="24"/>
          <w:lang w:val="en-US"/>
          <w14:textFill>
            <w14:solidFill>
              <w14:schemeClr w14:val="tx1"/>
            </w14:solidFill>
          </w14:textFill>
        </w:rPr>
        <w:t>附件，</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w:t>
      </w:r>
      <w:r>
        <w:rPr>
          <w:rFonts w:ascii="Times New Roman" w:hAnsi="Times New Roman" w:cs="Times New Roman" w:eastAsiaTheme="minorEastAsia"/>
          <w:color w:val="000000" w:themeColor="text1"/>
          <w:sz w:val="24"/>
          <w:szCs w:val="24"/>
          <w:lang w:val="en-US"/>
          <w14:textFill>
            <w14:solidFill>
              <w14:schemeClr w14:val="tx1"/>
            </w14:solidFill>
          </w14:textFill>
        </w:rPr>
        <w:t>扩建工程新增燃煤量见表3-2-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6</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w:t>
      </w:r>
      <w:r>
        <w:rPr>
          <w:rFonts w:hint="eastAsia" w:ascii="Times New Roman" w:hAnsiTheme="minorEastAsia" w:eastAsiaTheme="minorEastAsia"/>
          <w:b/>
          <w:bCs/>
          <w:color w:val="000000" w:themeColor="text1"/>
          <w:szCs w:val="24"/>
          <w14:textFill>
            <w14:solidFill>
              <w14:schemeClr w14:val="tx1"/>
            </w14:solidFill>
          </w14:textFill>
        </w:rPr>
        <w:t>-2</w:t>
      </w:r>
      <w:r>
        <w:rPr>
          <w:rFonts w:ascii="Times New Roman" w:hAnsiTheme="minorEastAsia" w:eastAsiaTheme="minorEastAsia"/>
          <w:b/>
          <w:bCs/>
          <w:color w:val="000000" w:themeColor="text1"/>
          <w:szCs w:val="24"/>
          <w14:textFill>
            <w14:solidFill>
              <w14:schemeClr w14:val="tx1"/>
            </w14:solidFill>
          </w14:textFill>
        </w:rPr>
        <w:t>-</w:t>
      </w:r>
      <w:r>
        <w:rPr>
          <w:rFonts w:hint="eastAsia" w:ascii="Times New Roman" w:hAnsiTheme="minorEastAsia" w:eastAsiaTheme="minorEastAsia"/>
          <w:b/>
          <w:bCs/>
          <w:color w:val="000000" w:themeColor="text1"/>
          <w:szCs w:val="24"/>
          <w14:textFill>
            <w14:solidFill>
              <w14:schemeClr w14:val="tx1"/>
            </w14:solidFill>
          </w14:textFill>
        </w:rPr>
        <w:t>5</w:t>
      </w:r>
      <w:r>
        <w:rPr>
          <w:rFonts w:ascii="Times New Roman" w:hAnsiTheme="minorEastAsia" w:eastAsiaTheme="minorEastAsia"/>
          <w:b/>
          <w:bCs/>
          <w:color w:val="000000" w:themeColor="text1"/>
          <w:szCs w:val="24"/>
          <w14:textFill>
            <w14:solidFill>
              <w14:schemeClr w14:val="tx1"/>
            </w14:solidFill>
          </w14:textFill>
        </w:rPr>
        <w:t xml:space="preserve">  煤质分析表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381"/>
        <w:gridCol w:w="1454"/>
        <w:gridCol w:w="1456"/>
        <w:gridCol w:w="223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blHeader/>
          <w:jc w:val="center"/>
        </w:trPr>
        <w:tc>
          <w:tcPr>
            <w:tcW w:w="198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名称</w:t>
            </w: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符  号</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单位</w:t>
            </w:r>
          </w:p>
        </w:tc>
        <w:tc>
          <w:tcPr>
            <w:tcW w:w="1309" w:type="pct"/>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煤质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全水分</w:t>
            </w: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Mt</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23.60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空气干燥基分析水</w:t>
            </w: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Mad</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基灰分</w:t>
            </w: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Aad</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24.96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Aar</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挥发分</w:t>
            </w: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Vad</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23.90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固定碳</w:t>
            </w: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Fcad</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空干基高位发热值</w:t>
            </w: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Qgr，ad</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MJ/kg</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22.52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收到低位发热量</w:t>
            </w: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Qnet，ar</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MJ/kg</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8</w:t>
            </w:r>
            <w:r>
              <w:rPr>
                <w:rFonts w:ascii="Times New Roman" w:eastAsiaTheme="minorEastAsia"/>
                <w:color w:val="000000" w:themeColor="text1"/>
                <w:sz w:val="21"/>
                <w:szCs w:val="21"/>
                <w14:textFill>
                  <w14:solidFill>
                    <w14:schemeClr w14:val="tx1"/>
                  </w14:solidFill>
                </w14:textFill>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全硫</w:t>
            </w: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St，ad</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St，ar</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碳</w:t>
            </w: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Cad</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Car</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38.66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氢</w:t>
            </w: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Had</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Har</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氮</w:t>
            </w: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Nad</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Nar</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氧</w:t>
            </w: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Oad</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Oar</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98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汞</w:t>
            </w:r>
          </w:p>
        </w:tc>
        <w:tc>
          <w:tcPr>
            <w:tcW w:w="8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85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μg/g</w:t>
            </w:r>
          </w:p>
        </w:tc>
        <w:tc>
          <w:tcPr>
            <w:tcW w:w="13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0.29</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备注：收到基=干燥基（100-Mt）/（100-Mad）</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根据设计方案，本项目锅炉</w:t>
      </w:r>
      <w:r>
        <w:rPr>
          <w:rFonts w:ascii="Times New Roman" w:hAnsi="Times New Roman" w:cs="Times New Roman" w:eastAsiaTheme="minorEastAsia"/>
          <w:color w:val="000000" w:themeColor="text1"/>
          <w:sz w:val="24"/>
          <w:szCs w:val="24"/>
          <w:lang w:val="en-US"/>
          <w14:textFill>
            <w14:solidFill>
              <w14:schemeClr w14:val="tx1"/>
            </w14:solidFill>
          </w14:textFill>
        </w:rPr>
        <w:t>最大小时耗煤量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为14.35</w:t>
      </w:r>
      <w:r>
        <w:rPr>
          <w:rFonts w:ascii="Times New Roman" w:hAnsi="Times New Roman" w:cs="Times New Roman" w:eastAsiaTheme="minorEastAsia"/>
          <w:color w:val="000000" w:themeColor="text1"/>
          <w:sz w:val="24"/>
          <w:szCs w:val="24"/>
          <w:lang w:val="en-US"/>
          <w14:textFill>
            <w14:solidFill>
              <w14:schemeClr w14:val="tx1"/>
            </w14:solidFill>
          </w14:textFill>
        </w:rPr>
        <w:t>t/h。本项目年工作日为183天，锅炉运行时数为4392h（折合满负荷运行</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2928</w:t>
      </w:r>
      <w:r>
        <w:rPr>
          <w:rFonts w:ascii="Times New Roman" w:hAnsi="Times New Roman" w:cs="Times New Roman" w:eastAsiaTheme="minorEastAsia"/>
          <w:color w:val="000000" w:themeColor="text1"/>
          <w:sz w:val="24"/>
          <w:szCs w:val="24"/>
          <w:lang w:val="en-US"/>
          <w14:textFill>
            <w14:solidFill>
              <w14:schemeClr w14:val="tx1"/>
            </w14:solidFill>
          </w14:textFill>
        </w:rPr>
        <w:t>小时）。</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表3-2-</w:t>
      </w:r>
      <w:r>
        <w:rPr>
          <w:rFonts w:hint="eastAsia" w:ascii="Times New Roman" w:hAnsiTheme="minorEastAsia" w:eastAsiaTheme="minorEastAsia"/>
          <w:b/>
          <w:bCs/>
          <w:color w:val="000000" w:themeColor="text1"/>
          <w:szCs w:val="24"/>
          <w14:textFill>
            <w14:solidFill>
              <w14:schemeClr w14:val="tx1"/>
            </w14:solidFill>
          </w14:textFill>
        </w:rPr>
        <w:t xml:space="preserve">6 </w:t>
      </w:r>
      <w:r>
        <w:rPr>
          <w:rFonts w:ascii="Times New Roman" w:hAnsiTheme="minorEastAsia" w:eastAsiaTheme="minorEastAsia"/>
          <w:b/>
          <w:bCs/>
          <w:color w:val="000000" w:themeColor="text1"/>
          <w:szCs w:val="24"/>
          <w14:textFill>
            <w14:solidFill>
              <w14:schemeClr w14:val="tx1"/>
            </w14:solidFill>
          </w14:textFill>
        </w:rPr>
        <w:t>燃煤消耗量（新增</w:t>
      </w:r>
      <w:r>
        <w:rPr>
          <w:rFonts w:hint="eastAsia" w:ascii="Times New Roman" w:hAnsiTheme="minorEastAsia" w:eastAsiaTheme="minorEastAsia"/>
          <w:b/>
          <w:bCs/>
          <w:color w:val="000000" w:themeColor="text1"/>
          <w:szCs w:val="24"/>
          <w14:textFill>
            <w14:solidFill>
              <w14:schemeClr w14:val="tx1"/>
            </w14:solidFill>
          </w14:textFill>
        </w:rPr>
        <w:t>70</w:t>
      </w:r>
      <w:r>
        <w:rPr>
          <w:rFonts w:ascii="Times New Roman" w:hAnsiTheme="minorEastAsia" w:eastAsiaTheme="minorEastAsia"/>
          <w:b/>
          <w:bCs/>
          <w:color w:val="000000" w:themeColor="text1"/>
          <w:szCs w:val="24"/>
          <w14:textFill>
            <w14:solidFill>
              <w14:schemeClr w14:val="tx1"/>
            </w14:solidFill>
          </w14:textFill>
        </w:rPr>
        <w:t>MW锅炉）</w:t>
      </w:r>
    </w:p>
    <w:tbl>
      <w:tblPr>
        <w:tblStyle w:val="70"/>
        <w:tblpPr w:leftFromText="180" w:rightFromText="180" w:vertAnchor="text" w:horzAnchor="margin" w:tblpXSpec="center" w:tblpY="49"/>
        <w:tblW w:w="5000"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28" w:type="dxa"/>
          <w:bottom w:w="0" w:type="dxa"/>
          <w:right w:w="28" w:type="dxa"/>
        </w:tblCellMar>
      </w:tblPr>
      <w:tblGrid>
        <w:gridCol w:w="1900"/>
        <w:gridCol w:w="2054"/>
        <w:gridCol w:w="2055"/>
        <w:gridCol w:w="235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cantSplit/>
          <w:trHeight w:val="291" w:hRule="atLeast"/>
        </w:trPr>
        <w:tc>
          <w:tcPr>
            <w:tcW w:w="1136" w:type="pct"/>
            <w:vMerge w:val="restart"/>
            <w:tcBorders>
              <w:top w:val="single" w:color="auto" w:sz="12" w:space="0"/>
              <w:left w:val="nil"/>
              <w:bottom w:val="single" w:color="auto" w:sz="6" w:space="0"/>
              <w:right w:val="single" w:color="auto" w:sz="6" w:space="0"/>
              <w:tl2br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       单位时间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锅炉负荷</w:t>
            </w:r>
          </w:p>
        </w:tc>
        <w:tc>
          <w:tcPr>
            <w:tcW w:w="1228" w:type="pct"/>
            <w:tcBorders>
              <w:top w:val="single" w:color="auto" w:sz="12"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小时最大耗量</w:t>
            </w:r>
          </w:p>
        </w:tc>
        <w:tc>
          <w:tcPr>
            <w:tcW w:w="1229" w:type="pct"/>
            <w:tcBorders>
              <w:top w:val="single" w:color="auto" w:sz="12"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日均耗煤量</w:t>
            </w:r>
          </w:p>
        </w:tc>
        <w:tc>
          <w:tcPr>
            <w:tcW w:w="1407" w:type="pct"/>
            <w:tcBorders>
              <w:top w:val="single" w:color="auto" w:sz="12" w:space="0"/>
              <w:left w:val="single" w:color="auto" w:sz="6" w:space="0"/>
              <w:bottom w:val="single" w:color="auto" w:sz="6"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年均耗煤量</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cantSplit/>
          <w:trHeight w:val="356" w:hRule="atLeast"/>
        </w:trPr>
        <w:tc>
          <w:tcPr>
            <w:tcW w:w="1136" w:type="pct"/>
            <w:vMerge w:val="continue"/>
            <w:tcBorders>
              <w:top w:val="single" w:color="auto" w:sz="6" w:space="0"/>
              <w:left w:val="nil"/>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28" w:type="pct"/>
            <w:tcBorders>
              <w:top w:val="single" w:color="auto" w:sz="6"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煤(t)</w:t>
            </w:r>
          </w:p>
        </w:tc>
        <w:tc>
          <w:tcPr>
            <w:tcW w:w="1229" w:type="pct"/>
            <w:tcBorders>
              <w:top w:val="single" w:color="auto" w:sz="6"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煤(t)</w:t>
            </w:r>
          </w:p>
        </w:tc>
        <w:tc>
          <w:tcPr>
            <w:tcW w:w="1407" w:type="pct"/>
            <w:tcBorders>
              <w:top w:val="single" w:color="auto" w:sz="6" w:space="0"/>
              <w:left w:val="single" w:color="auto" w:sz="6" w:space="0"/>
              <w:bottom w:val="single" w:color="auto" w:sz="6"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煤(t)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28" w:type="dxa"/>
            <w:bottom w:w="0" w:type="dxa"/>
            <w:right w:w="28" w:type="dxa"/>
          </w:tblCellMar>
        </w:tblPrEx>
        <w:trPr>
          <w:cantSplit/>
          <w:trHeight w:val="371" w:hRule="atLeast"/>
        </w:trPr>
        <w:tc>
          <w:tcPr>
            <w:tcW w:w="1136" w:type="pct"/>
            <w:tcBorders>
              <w:top w:val="single" w:color="auto" w:sz="6" w:space="0"/>
              <w:left w:val="nil"/>
              <w:bottom w:val="single" w:color="auto" w:sz="12"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70</w:t>
            </w:r>
            <w:r>
              <w:rPr>
                <w:rFonts w:ascii="Times New Roman" w:eastAsiaTheme="minorEastAsia"/>
                <w:color w:val="000000" w:themeColor="text1"/>
                <w:sz w:val="21"/>
                <w:szCs w:val="21"/>
                <w14:textFill>
                  <w14:solidFill>
                    <w14:schemeClr w14:val="tx1"/>
                  </w14:solidFill>
                </w14:textFill>
              </w:rPr>
              <w:t>MW</w:t>
            </w:r>
          </w:p>
        </w:tc>
        <w:tc>
          <w:tcPr>
            <w:tcW w:w="1228" w:type="pct"/>
            <w:tcBorders>
              <w:top w:val="single" w:color="auto" w:sz="6" w:space="0"/>
              <w:left w:val="single" w:color="auto" w:sz="6" w:space="0"/>
              <w:bottom w:val="single" w:color="auto" w:sz="12"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14.35</w:t>
            </w:r>
          </w:p>
        </w:tc>
        <w:tc>
          <w:tcPr>
            <w:tcW w:w="1229" w:type="pct"/>
            <w:tcBorders>
              <w:top w:val="single" w:color="auto" w:sz="6" w:space="0"/>
              <w:left w:val="single" w:color="auto" w:sz="6" w:space="0"/>
              <w:bottom w:val="single" w:color="auto" w:sz="12"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229.6</w:t>
            </w:r>
          </w:p>
        </w:tc>
        <w:tc>
          <w:tcPr>
            <w:tcW w:w="1407" w:type="pct"/>
            <w:tcBorders>
              <w:top w:val="single" w:color="auto" w:sz="6" w:space="0"/>
              <w:left w:val="single" w:color="auto" w:sz="6" w:space="0"/>
              <w:bottom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42017</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本次改扩建工程对现有2台70MW热水锅炉淘汰，改扩建后燃</w:t>
      </w:r>
      <w:r>
        <w:rPr>
          <w:rFonts w:ascii="Times New Roman" w:hAnsi="Times New Roman" w:cs="Times New Roman" w:eastAsiaTheme="minorEastAsia"/>
          <w:color w:val="000000" w:themeColor="text1"/>
          <w:sz w:val="24"/>
          <w:szCs w:val="24"/>
          <w:lang w:val="en-US"/>
          <w14:textFill>
            <w14:solidFill>
              <w14:schemeClr w14:val="tx1"/>
            </w14:solidFill>
          </w14:textFill>
        </w:rPr>
        <w:t>煤使用量减少4.2万t/a。</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（2）燃煤储存与运输</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燃料由公路汽车运至厂内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半封闭储煤场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储煤场位于厂内南侧，为半封闭式储煤场，占地面积36000m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，堆煤高度4m，可储煤50000吨。</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（3）厂内输煤系统</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输煤系统由转运上煤、筛分破碎、细煤提升、分配卸料等四部分组成。</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新建碎煤机室</w:t>
      </w: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座，建设1台</w:t>
      </w:r>
      <w:r>
        <w:rPr>
          <w:rFonts w:ascii="Times New Roman" w:hAnsi="Times New Roman" w:cs="Times New Roman" w:eastAsiaTheme="minorEastAsia"/>
          <w:color w:val="000000" w:themeColor="text1"/>
          <w:sz w:val="24"/>
          <w:szCs w:val="24"/>
          <w:lang w:val="en-US"/>
          <w14:textFill>
            <w14:solidFill>
              <w14:schemeClr w14:val="tx1"/>
            </w14:solidFill>
          </w14:textFill>
        </w:rPr>
        <w:t>BS-300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型波动筛及</w:t>
      </w: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台</w:t>
      </w:r>
      <w:r>
        <w:rPr>
          <w:rFonts w:ascii="Times New Roman" w:hAnsi="Times New Roman" w:cs="Times New Roman" w:eastAsiaTheme="minorEastAsia"/>
          <w:color w:val="000000" w:themeColor="text1"/>
          <w:sz w:val="24"/>
          <w:szCs w:val="24"/>
          <w:lang w:val="en-US"/>
          <w14:textFill>
            <w14:solidFill>
              <w14:schemeClr w14:val="tx1"/>
            </w14:solidFill>
          </w14:textFill>
        </w:rPr>
        <w:t>PCH-1010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型环锤式碎煤机，碎煤机室设有检修起吊设施和检修场地。环锤式碎煤机出力</w:t>
      </w:r>
      <w:r>
        <w:rPr>
          <w:rFonts w:ascii="Times New Roman" w:hAnsi="Times New Roman" w:cs="Times New Roman" w:eastAsiaTheme="minorEastAsia"/>
          <w:color w:val="000000" w:themeColor="text1"/>
          <w:sz w:val="24"/>
          <w:szCs w:val="24"/>
          <w:lang w:val="en-US"/>
          <w14:textFill>
            <w14:solidFill>
              <w14:schemeClr w14:val="tx1"/>
            </w14:solidFill>
          </w14:textFill>
        </w:rPr>
        <w:t>220t/h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。入料粒度小于</w:t>
      </w:r>
      <w:r>
        <w:rPr>
          <w:rFonts w:ascii="Times New Roman" w:hAnsi="Times New Roman" w:cs="Times New Roman" w:eastAsiaTheme="minorEastAsia"/>
          <w:color w:val="000000" w:themeColor="text1"/>
          <w:sz w:val="24"/>
          <w:szCs w:val="24"/>
          <w:lang w:val="en-US"/>
          <w14:textFill>
            <w14:solidFill>
              <w14:schemeClr w14:val="tx1"/>
            </w14:solidFill>
          </w14:textFill>
        </w:rPr>
        <w:t>300mm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，出料粒度小于</w:t>
      </w:r>
      <w:r>
        <w:rPr>
          <w:rFonts w:ascii="Times New Roman" w:hAnsi="Times New Roman" w:cs="Times New Roman" w:eastAsiaTheme="minorEastAsia"/>
          <w:color w:val="000000" w:themeColor="text1"/>
          <w:sz w:val="24"/>
          <w:szCs w:val="24"/>
          <w:lang w:val="en-US"/>
          <w14:textFill>
            <w14:solidFill>
              <w14:schemeClr w14:val="tx1"/>
            </w14:solidFill>
          </w14:textFill>
        </w:rPr>
        <w:t>10mm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。新建的1台</w:t>
      </w:r>
      <w:r>
        <w:rPr>
          <w:rFonts w:ascii="Times New Roman" w:hAnsi="Times New Roman" w:cs="Times New Roman" w:eastAsiaTheme="minorEastAsia"/>
          <w:color w:val="000000" w:themeColor="text1"/>
          <w:sz w:val="24"/>
          <w:szCs w:val="24"/>
          <w:lang w:val="en-US"/>
          <w14:textFill>
            <w14:solidFill>
              <w14:schemeClr w14:val="tx1"/>
            </w14:solidFill>
          </w14:textFill>
        </w:rPr>
        <w:t>70MW</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热水锅炉的满负荷小时耗煤量为14.35</w:t>
      </w:r>
      <w:r>
        <w:rPr>
          <w:rFonts w:ascii="Times New Roman" w:hAnsi="Times New Roman" w:cs="Times New Roman" w:eastAsiaTheme="minorEastAsia"/>
          <w:color w:val="000000" w:themeColor="text1"/>
          <w:sz w:val="24"/>
          <w:szCs w:val="24"/>
          <w:lang w:val="en-US"/>
          <w14:textFill>
            <w14:solidFill>
              <w14:schemeClr w14:val="tx1"/>
            </w14:solidFill>
          </w14:textFill>
        </w:rPr>
        <w:t>t/h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，碎煤系统的设计能力能够满足全厂小时最大耗煤量的需求。</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上煤系统采用双路皮带运输系统。所有设备每条线均为联锁联动PLC自动控制，两条各自独立，切换使用。上煤系统的作用就是将原煤由受煤口输送到锅炉前。受煤口下部漏斗开口处设有电磁振动给料机，电磁振动给料机负责向一级平皮带输送机供料。调整电磁振动给料机的倾角可改变其供料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一级皮带输送机配备电子皮带秤用以计量上煤总量及上煤瞬时量，电子皮带秤的瞬时测量计量直接控制电磁振动给料机的倾角，以改变电磁振动给料机的瞬时供料量。同时一级皮带输送机的末端设有电磁分离器，用以分离出原煤中含有的金属物，保证后续设备的运行安全。</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一级皮带输送机的尾架卸料口与翻板式固定筛的入口相接，原煤在翻板式固定筛内进行筛分，大于30mm的粒状原煤进入环锤式破碎机粉碎处理，经环锤式破碎机粉碎处理后的原煤及翻板式固定筛分离出的小于30mm的粒状原煤在溜煤管内合并加入二级大倾角皮带输送机的入料口。</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二级大倾角皮带输送机将粉碎后满足锅炉燃烧要求的细煤二次提升至锅炉房三层的输配煤廊，卸入三级平皮带输送机的受料口，由三级平皮带输送机将细煤通过每个犁式卸料器将细煤分别卸入各炉前煤斗，作为锅炉贮备燃料。</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3.2.4.2 点火方式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本项目厂内不设柴油罐，仅点火时由罐车运输至厂区进行点火作业（油罐车→油过滤器→供油泵→锅炉）。根据当地的气象条件，锅炉点火助燃油采用轻柴油，冬季采用-10或-20号轻柴油。</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3.2.4.3 燃烧系统</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往复式燃煤</w:t>
      </w:r>
      <w:r>
        <w:rPr>
          <w:rFonts w:ascii="Times New Roman" w:hAnsi="Times New Roman" w:cs="Times New Roman" w:eastAsiaTheme="minorEastAsia"/>
          <w:color w:val="000000" w:themeColor="text1"/>
          <w:sz w:val="24"/>
          <w:szCs w:val="24"/>
          <w:lang w:val="en-US"/>
          <w14:textFill>
            <w14:solidFill>
              <w14:schemeClr w14:val="tx1"/>
            </w14:solidFill>
          </w14:textFill>
        </w:rPr>
        <w:t>热水锅炉燃烧系统由送风系统、煤-灰、渣系统、烟气系统及除尘脱硫系统等组成，简述如下：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成品煤经计量后进入炉前煤斗，由炉前的给煤装置送入燃烧室，通过炉前受煤口控制燃煤量。锅炉配有一台鼓风机。燃烧所需的空气由鼓风机送入空气预热器，经预热后空气由炉床下部侧面的调风阀门按炉型燃烧要求调节风量进入燃烧室，以达到理想的燃烧效率。</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燃烧产生的烟气依次经过炉膛、烟道、省煤器、空气预热器后从锅炉排出，为减少烟气污染，锅炉烟气经过脱硝、除尘、脱硫，经引风机、砼烟道、烟囱排向大气。钢筋混凝土烟囱高H=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100.0</w:t>
      </w:r>
      <w:r>
        <w:rPr>
          <w:rFonts w:ascii="Times New Roman" w:hAnsi="Times New Roman" w:cs="Times New Roman" w:eastAsiaTheme="minorEastAsia"/>
          <w:color w:val="000000" w:themeColor="text1"/>
          <w:sz w:val="24"/>
          <w:szCs w:val="24"/>
          <w:lang w:val="en-US"/>
          <w14:textFill>
            <w14:solidFill>
              <w14:schemeClr w14:val="tx1"/>
            </w14:solidFill>
          </w14:textFill>
        </w:rPr>
        <w:t>m，上口直径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3.0</w:t>
      </w:r>
      <w:r>
        <w:rPr>
          <w:rFonts w:ascii="Times New Roman" w:hAnsi="Times New Roman" w:cs="Times New Roman" w:eastAsiaTheme="minorEastAsia"/>
          <w:color w:val="000000" w:themeColor="text1"/>
          <w:sz w:val="24"/>
          <w:szCs w:val="24"/>
          <w:lang w:val="en-US"/>
          <w14:textFill>
            <w14:solidFill>
              <w14:schemeClr w14:val="tx1"/>
            </w14:solidFill>
          </w14:textFill>
        </w:rPr>
        <w:t>m。烟气经过此流程后，除尘效率＞99.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5%，脱硫效率＞</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95</w:t>
      </w:r>
      <w:r>
        <w:rPr>
          <w:rFonts w:ascii="Times New Roman" w:hAnsi="Times New Roman" w:cs="Times New Roman" w:eastAsiaTheme="minorEastAsia"/>
          <w:color w:val="000000" w:themeColor="text1"/>
          <w:sz w:val="24"/>
          <w:szCs w:val="24"/>
          <w:lang w:val="en-US"/>
          <w14:textFill>
            <w14:solidFill>
              <w14:schemeClr w14:val="tx1"/>
            </w14:solidFill>
          </w14:textFill>
        </w:rPr>
        <w:t>%，脱硝效率＞</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80</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汞及其化合物的协同脱除效率为70%。</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3.2.4.4 烟气净化系统</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炉前煤斗——锅炉炉排——燃烧后烟气——脱硝——除尘器——引风机——脱硫塔——烟囱</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本系统主要设备是鼓风机、引风机、除尘器、脱硫塔、脱硝设施。本次扩建锅炉设计采用布袋除尘器、湿式镁法脱硫塔、脱硝采用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低氮燃烧和</w:t>
      </w:r>
      <w:r>
        <w:rPr>
          <w:rFonts w:ascii="Times New Roman" w:hAnsi="Times New Roman" w:cs="Times New Roman" w:eastAsiaTheme="minorEastAsia"/>
          <w:color w:val="000000" w:themeColor="text1"/>
          <w:sz w:val="24"/>
          <w:szCs w:val="24"/>
          <w:lang w:val="en-US"/>
          <w14:textFill>
            <w14:solidFill>
              <w14:schemeClr w14:val="tx1"/>
            </w14:solidFill>
          </w14:textFill>
        </w:rPr>
        <w:t>SNCR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-SCR</w:t>
      </w:r>
      <w:r>
        <w:rPr>
          <w:rFonts w:ascii="Times New Roman" w:hAnsi="Times New Roman" w:cs="Times New Roman" w:eastAsiaTheme="minorEastAsia"/>
          <w:color w:val="000000" w:themeColor="text1"/>
          <w:sz w:val="24"/>
          <w:szCs w:val="24"/>
          <w:lang w:val="en-US"/>
          <w14:textFill>
            <w14:solidFill>
              <w14:schemeClr w14:val="tx1"/>
            </w14:solidFill>
          </w14:textFill>
        </w:rPr>
        <w:t>工艺，除尘器除尘效率不低于99.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5%，脱硫率不低于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95</w:t>
      </w:r>
      <w:r>
        <w:rPr>
          <w:rFonts w:ascii="Times New Roman" w:hAnsi="Times New Roman" w:cs="Times New Roman" w:eastAsiaTheme="minorEastAsia"/>
          <w:color w:val="000000" w:themeColor="text1"/>
          <w:sz w:val="24"/>
          <w:szCs w:val="24"/>
          <w:lang w:val="en-US"/>
          <w14:textFill>
            <w14:solidFill>
              <w14:schemeClr w14:val="tx1"/>
            </w14:solidFill>
          </w14:textFill>
        </w:rPr>
        <w:t>%，脱硝率不低于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80</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汞及其化合物的协同脱除效率为70%。处理后烟气通过</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100</w:t>
      </w:r>
      <w:r>
        <w:rPr>
          <w:rFonts w:ascii="Times New Roman" w:hAnsi="Times New Roman" w:cs="Times New Roman" w:eastAsiaTheme="minorEastAsia"/>
          <w:color w:val="000000" w:themeColor="text1"/>
          <w:sz w:val="24"/>
          <w:szCs w:val="24"/>
          <w:lang w:val="en-US"/>
          <w14:textFill>
            <w14:solidFill>
              <w14:schemeClr w14:val="tx1"/>
            </w14:solidFill>
          </w14:textFill>
        </w:rPr>
        <w:t>m烟囱高空排放，出口内径为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3.0</w:t>
      </w:r>
      <w:r>
        <w:rPr>
          <w:rFonts w:ascii="Times New Roman" w:hAnsi="Times New Roman" w:cs="Times New Roman" w:eastAsiaTheme="minorEastAsia"/>
          <w:color w:val="000000" w:themeColor="text1"/>
          <w:sz w:val="24"/>
          <w:szCs w:val="24"/>
          <w:lang w:val="en-US"/>
          <w14:textFill>
            <w14:solidFill>
              <w14:schemeClr w14:val="tx1"/>
            </w14:solidFill>
          </w14:textFill>
        </w:rPr>
        <w:t>m。</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1、除尘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本项目选用高效布袋除尘器，布袋除尘器是一种干式滤尘装置，除尘效率较高，可满足工程需求。扩建锅炉配套新建一套布袋除尘设施，除尘器除尘效率不低于99.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5%。</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2、脱硫</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锅炉烟气脱硫采用湿式镁法脱硫工艺。设计脱硫吸收塔采用超强湍流发生器+喷淋装置的双模装置脱硫。采用塔式脱硫器，本项目采用氧化镁作为吸收剂，其特点是技术成熟，煤种适应性强，根据《污染源源强核算技术指南 锅炉》（HJ991-2018）氧化镁法脱硫效率为90-99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，副产品能回收利用。本次环评在报告中对项目安装的湿式镁法脱硫效率按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95</w:t>
      </w:r>
      <w:r>
        <w:rPr>
          <w:rFonts w:ascii="Times New Roman" w:hAnsi="Times New Roman" w:cs="Times New Roman" w:eastAsiaTheme="minorEastAsia"/>
          <w:color w:val="000000" w:themeColor="text1"/>
          <w:sz w:val="24"/>
          <w:szCs w:val="24"/>
          <w:lang w:val="en-US"/>
          <w14:textFill>
            <w14:solidFill>
              <w14:schemeClr w14:val="tx1"/>
            </w14:solidFill>
          </w14:textFill>
        </w:rPr>
        <w:t>%计算。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本项目氧化镁用量为240t/a，氧化镁袋装入厂，运入厂区的氧化镁在脱硫浆液箱内加水搅拌至成品浆液，经浆液泵送至脱硫塔。</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3、脱硝</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本项目锅炉烟气脱硝采用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SNCR-SCR联合脱硝工艺</w:t>
      </w:r>
      <w:r>
        <w:rPr>
          <w:rFonts w:ascii="Times New Roman" w:hAnsi="Times New Roman" w:cs="Times New Roman" w:eastAsiaTheme="minorEastAsia"/>
          <w:color w:val="000000" w:themeColor="text1"/>
          <w:sz w:val="24"/>
          <w:szCs w:val="24"/>
          <w:lang w:val="en-US"/>
          <w14:textFill>
            <w14:solidFill>
              <w14:schemeClr w14:val="tx1"/>
            </w14:solidFill>
          </w14:textFill>
        </w:rPr>
        <w:t>，还原剂采用尿素。</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本项目完尿素用量为600t/a。尿素化学性质较稳定，储存方便安全。本项目在锅炉房内储存袋装尿素，储存量约15t，满足锅炉4天用量。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SNCR法脱硝采用固体尿素作为还原剂，SCR法脱硝采用V2O5等活性物质作为催化剂。联合SNCR-SCR工艺具有2个反应区，通过布置在锅炉炉墙上的喷射系统，首先将还原剂喷入第一个反应区炉膛，在高温下，还原剂与烟气中的NOX在没有催化剂参与的情况下发生还原反应，实现初步脱氮。然后未反应完全的还原剂进入混合工艺的第二个反应区SCR反应器，再有催化剂的情况下进一步脱氮。低氮燃烧+联合SNCR-SCR工艺脱硝效率取值80%。</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3.2.4.5 热力系统</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一级网回水经除污器及循环水泵送入锅炉。锅炉进、出水均采用母管制，每台锅炉出水进入供水母管，再由供水母管输入一级管网，送至各换热站。为防止水泵突然停转，厂房系统中管道产生水击现象，在热网循环水泵的出口管及吸入管之间加装旁路，并在旁路管上设逆止阀，以降低循环水泵入口侧的压力。</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本次新增一台</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70</w:t>
      </w:r>
      <w:r>
        <w:rPr>
          <w:rFonts w:ascii="Times New Roman" w:hAnsi="Times New Roman" w:cs="Times New Roman" w:eastAsiaTheme="minorEastAsia"/>
          <w:color w:val="000000" w:themeColor="text1"/>
          <w:sz w:val="24"/>
          <w:szCs w:val="24"/>
          <w:lang w:val="en-US"/>
          <w14:textFill>
            <w14:solidFill>
              <w14:schemeClr w14:val="tx1"/>
            </w14:solidFill>
          </w14:textFill>
        </w:rPr>
        <w:t>MW</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燃煤</w:t>
      </w:r>
      <w:r>
        <w:rPr>
          <w:rFonts w:ascii="Times New Roman" w:hAnsi="Times New Roman" w:cs="Times New Roman" w:eastAsiaTheme="minorEastAsia"/>
          <w:color w:val="000000" w:themeColor="text1"/>
          <w:sz w:val="24"/>
          <w:szCs w:val="24"/>
          <w:lang w:val="en-US"/>
          <w14:textFill>
            <w14:solidFill>
              <w14:schemeClr w14:val="tx1"/>
            </w14:solidFill>
          </w14:textFill>
        </w:rPr>
        <w:t>热水锅炉，涉及工况进、出水温度为130/70℃，温差为60℃，增加旁通道，以利流量平衡要求，通过锅炉的水流量保持不变。管网循环水量为1855t/h。热网循环水采用闭路循环，为防止管路结垢，腐蚀及微生物繁殖，确保设备安全运行。本设计采用向循环水中投加磷酸盐阻垢剂。设一套磷酸盐加药装置，设备布置在锅炉间。管网系统采取定期排污方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采暖供热为保证热用户所需要的设计温度，适应各热用户的热负荷变化，应随着室外气温的变化，进行必要的调节。根据室外气温的变化，在锅炉房内对高温水管网的供水温度进行调节。循环泵、补水泵设置变频，利于调节和节能。</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热网系统采用变频泵补水定压，补水经软化、除氧后送至一级网循环水泵入口，与一级网回水一同送入锅炉。</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3.2.4.6 软化水系统</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根据厂区附近的市政管网情况，锅炉补给水的水源采用市政自来水。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软化水</w:t>
      </w:r>
      <w:r>
        <w:rPr>
          <w:rFonts w:ascii="Times New Roman" w:hAnsi="Times New Roman" w:cs="Times New Roman" w:eastAsiaTheme="minorEastAsia"/>
          <w:color w:val="000000" w:themeColor="text1"/>
          <w:sz w:val="24"/>
          <w:szCs w:val="24"/>
          <w:lang w:val="en-US"/>
          <w14:textFill>
            <w14:solidFill>
              <w14:schemeClr w14:val="tx1"/>
            </w14:solidFill>
          </w14:textFill>
        </w:rPr>
        <w:t>处理工艺流程如下：供水管网→储水池→除铁、除锰→水泵→钠离子交换器→软化水箱→软化水泵→锅炉。</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锅炉补充水的软化装置采用新型的LDZN（S）1000/40-B型微电脑全自动钠离子交换器，该产品两个交换柱在微机的指令下，由多功能集成阀引导，一柱产水，另一柱完成松床、再生、置换、清洗等辅助作业，实现两柱交替运行，连续产水。从根本上杜绝因人工操作失误造成故障的可能性，提高了运行的安全性。</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项目</w:t>
      </w:r>
      <w:r>
        <w:rPr>
          <w:rFonts w:ascii="Times New Roman" w:hAnsi="Times New Roman" w:cs="Times New Roman" w:eastAsiaTheme="minorEastAsia"/>
          <w:color w:val="000000" w:themeColor="text1"/>
          <w:sz w:val="24"/>
          <w:szCs w:val="24"/>
          <w:lang w:val="en-US"/>
          <w14:textFill>
            <w14:solidFill>
              <w14:schemeClr w14:val="tx1"/>
            </w14:solidFill>
          </w14:textFill>
        </w:rPr>
        <w:t>设置全自动纳离子交换器一台，最大处理量为100~120t/h。软化系统出水水质：硬度：≤0.03mmol/L。</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锅炉排污系统：由锅炉的各定期排污点定期排出的污水汇集后，进入脱硫水池，经中和沉淀</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絮凝工艺处理后回用生产，不外排。</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3.2.4.7 除灰渣系统</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本项目除灰渣系统依托原有工程，产生的灰渣全部综合利用。</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（1）除干灰系统</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每台锅炉的除尘器下设置灰斗，布袋除尘器下设置封闭刮板机，运至</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全封闭</w:t>
      </w:r>
      <w:r>
        <w:rPr>
          <w:rFonts w:ascii="Times New Roman" w:hAnsi="Times New Roman" w:cs="Times New Roman" w:eastAsiaTheme="minorEastAsia"/>
          <w:color w:val="000000" w:themeColor="text1"/>
          <w:sz w:val="24"/>
          <w:szCs w:val="24"/>
          <w:lang w:val="en-US"/>
          <w14:textFill>
            <w14:solidFill>
              <w14:schemeClr w14:val="tx1"/>
            </w14:solidFill>
          </w14:textFill>
        </w:rPr>
        <w:t>提升斗，运至</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灰渣场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依托现有半封闭灰渣场</w:t>
      </w:r>
      <w:r>
        <w:rPr>
          <w:rFonts w:ascii="Times New Roman" w:hAnsi="Times New Roman" w:cs="Times New Roman" w:eastAsiaTheme="minorEastAsia"/>
          <w:color w:val="000000" w:themeColor="text1"/>
          <w:sz w:val="24"/>
          <w:szCs w:val="24"/>
          <w:lang w:val="en-US"/>
          <w14:textFill>
            <w14:solidFill>
              <w14:schemeClr w14:val="tx1"/>
            </w14:solidFill>
          </w14:textFill>
        </w:rPr>
        <w:t>，用于锅炉灰渣等的暂存。</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位于厂区东北侧、现有锅炉房东侧，占地面积为21000m2，可存储灰渣量约为20000t，为半封闭结构。在灰渣场四周设置防风抑尘网（长度400m，高度10m）并才用苫布遮盖，定期洒水增湿降尘。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（2）锅炉除渣系统</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锅炉排渣采用机械除渣。炉渣自台锅炉排出后，落入重型板链除渣机内。重型板链除渣机排除的渣汇到2台腭式电动闸门。脱硫渣、锅炉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灰渣</w:t>
      </w:r>
      <w:r>
        <w:rPr>
          <w:rFonts w:ascii="Times New Roman" w:hAnsi="Times New Roman" w:cs="Times New Roman" w:eastAsiaTheme="minorEastAsia"/>
          <w:color w:val="000000" w:themeColor="text1"/>
          <w:sz w:val="24"/>
          <w:szCs w:val="24"/>
          <w:lang w:val="en-US"/>
          <w14:textFill>
            <w14:solidFill>
              <w14:schemeClr w14:val="tx1"/>
            </w14:solidFill>
          </w14:textFill>
        </w:rPr>
        <w:t>暂存于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灰渣场内</w:t>
      </w:r>
      <w:r>
        <w:rPr>
          <w:rFonts w:ascii="Times New Roman" w:hAnsi="Times New Roman" w:cs="Times New Roman" w:eastAsiaTheme="minorEastAsia"/>
          <w:color w:val="000000" w:themeColor="text1"/>
          <w:sz w:val="24"/>
          <w:szCs w:val="24"/>
          <w:lang w:val="en-US"/>
          <w14:textFill>
            <w14:solidFill>
              <w14:schemeClr w14:val="tx1"/>
            </w14:solidFill>
          </w14:textFill>
        </w:rPr>
        <w:t>，全部外售综合利用。</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3.2.4.8 热工控制系统</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为了便于对生产过程进行操作和监视，就地设置控制室。锅炉的控制和操作全部在控制室内的智能化仪表控制系统完成。本项目锅炉控制系统在原有控制室内增建。</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3.2.4.9 供热管网及换热站</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本次工程不新增换热站和供热管网，供热管网已经预留完毕，且原有换热站尚有大部分余量，不需新建换热站。</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3.2.5劳动定员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本次改扩建工程不新增劳动定员。</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3.2.6工程进度安排</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本项目预计202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月动工建设，202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年1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w:t>
      </w:r>
      <w:r>
        <w:rPr>
          <w:rFonts w:ascii="Times New Roman" w:hAnsi="Times New Roman" w:cs="Times New Roman" w:eastAsiaTheme="minorEastAsia"/>
          <w:color w:val="000000" w:themeColor="text1"/>
          <w:sz w:val="24"/>
          <w:szCs w:val="24"/>
          <w:lang w:val="en-US"/>
          <w14:textFill>
            <w14:solidFill>
              <w14:schemeClr w14:val="tx1"/>
            </w14:solidFill>
          </w14:textFill>
        </w:rPr>
        <w:t>月投入生产。</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01" w:name="_Toc16153"/>
      <w:r>
        <w:rPr>
          <w:rFonts w:ascii="Times New Roman" w:hAnsi="Times New Roman" w:eastAsia="新宋体" w:cstheme="minorBidi"/>
          <w:color w:val="000000" w:themeColor="text1"/>
          <w:szCs w:val="24"/>
          <w:lang w:val="en-US" w:bidi="ar-SA"/>
          <w14:textFill>
            <w14:solidFill>
              <w14:schemeClr w14:val="tx1"/>
            </w14:solidFill>
          </w14:textFill>
        </w:rPr>
        <w:t>3.2.</w:t>
      </w:r>
      <w:r>
        <w:rPr>
          <w:rFonts w:hint="eastAsia" w:ascii="Times New Roman" w:hAnsi="Times New Roman" w:eastAsia="新宋体" w:cstheme="minorBidi"/>
          <w:color w:val="000000" w:themeColor="text1"/>
          <w:szCs w:val="24"/>
          <w:lang w:val="en-US" w:bidi="ar-SA"/>
          <w14:textFill>
            <w14:solidFill>
              <w14:schemeClr w14:val="tx1"/>
            </w14:solidFill>
          </w14:textFill>
        </w:rPr>
        <w:t>7</w:t>
      </w:r>
      <w:r>
        <w:rPr>
          <w:rFonts w:ascii="Times New Roman" w:hAnsi="Times New Roman" w:eastAsia="新宋体" w:cstheme="minorBidi"/>
          <w:color w:val="000000" w:themeColor="text1"/>
          <w:szCs w:val="24"/>
          <w:lang w:val="en-US" w:bidi="ar-SA"/>
          <w14:textFill>
            <w14:solidFill>
              <w14:schemeClr w14:val="tx1"/>
            </w14:solidFill>
          </w14:textFill>
        </w:rPr>
        <w:t>主要原辅材料及能源消耗</w:t>
      </w:r>
      <w:bookmarkEnd w:id="101"/>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本项目运行期主要原辅材料及能源消耗情况详见下表：</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3-2-</w:t>
      </w:r>
      <w:r>
        <w:rPr>
          <w:rFonts w:hint="eastAsia" w:ascii="Times New Roman" w:hAnsiTheme="minorEastAsia" w:eastAsiaTheme="minorEastAsia"/>
          <w:b/>
          <w:bCs/>
          <w:color w:val="000000" w:themeColor="text1"/>
          <w:szCs w:val="24"/>
          <w14:textFill>
            <w14:solidFill>
              <w14:schemeClr w14:val="tx1"/>
            </w14:solidFill>
          </w14:textFill>
        </w:rPr>
        <w:t xml:space="preserve">7 </w:t>
      </w:r>
      <w:r>
        <w:rPr>
          <w:rFonts w:ascii="Times New Roman" w:hAnsiTheme="minorEastAsia" w:eastAsiaTheme="minorEastAsia"/>
          <w:b/>
          <w:bCs/>
          <w:color w:val="000000" w:themeColor="text1"/>
          <w:szCs w:val="24"/>
          <w14:textFill>
            <w14:solidFill>
              <w14:schemeClr w14:val="tx1"/>
            </w14:solidFill>
          </w14:textFill>
        </w:rPr>
        <w:t>主要原辅材料及能源物质消耗表</w:t>
      </w:r>
    </w:p>
    <w:tbl>
      <w:tblPr>
        <w:tblStyle w:val="7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84"/>
        <w:gridCol w:w="2967"/>
        <w:gridCol w:w="35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17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物质名称</w:t>
            </w:r>
          </w:p>
        </w:tc>
        <w:tc>
          <w:tcPr>
            <w:tcW w:w="20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年用量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5" w:hRule="exact"/>
        </w:trPr>
        <w:tc>
          <w:tcPr>
            <w:tcW w:w="116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7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煤</w:t>
            </w:r>
          </w:p>
        </w:tc>
        <w:tc>
          <w:tcPr>
            <w:tcW w:w="20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4.2017</w:t>
            </w:r>
            <w:r>
              <w:rPr>
                <w:rFonts w:ascii="Times New Roman" w:eastAsiaTheme="minorEastAsia"/>
                <w:color w:val="000000" w:themeColor="text1"/>
                <w:sz w:val="21"/>
                <w:szCs w:val="21"/>
                <w14:textFill>
                  <w14:solidFill>
                    <w14:schemeClr w14:val="tx1"/>
                  </w14:solidFill>
                </w14:textFill>
              </w:rPr>
              <w:t>万t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17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脱硝剂（尿素）</w:t>
            </w:r>
          </w:p>
        </w:tc>
        <w:tc>
          <w:tcPr>
            <w:tcW w:w="20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17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脱硫剂（氧化镁）</w:t>
            </w:r>
          </w:p>
        </w:tc>
        <w:tc>
          <w:tcPr>
            <w:tcW w:w="20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6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17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电</w:t>
            </w:r>
          </w:p>
        </w:tc>
        <w:tc>
          <w:tcPr>
            <w:tcW w:w="20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50万kwh</w:t>
            </w:r>
          </w:p>
        </w:tc>
      </w:tr>
    </w:tbl>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02" w:name="_Toc27872"/>
      <w:r>
        <w:rPr>
          <w:rFonts w:ascii="Times New Roman" w:hAnsi="Times New Roman" w:eastAsia="新宋体" w:cstheme="minorBidi"/>
          <w:color w:val="000000" w:themeColor="text1"/>
          <w:szCs w:val="24"/>
          <w:lang w:val="en-US" w:bidi="ar-SA"/>
          <w14:textFill>
            <w14:solidFill>
              <w14:schemeClr w14:val="tx1"/>
            </w14:solidFill>
          </w14:textFill>
        </w:rPr>
        <w:t>3.2.</w:t>
      </w:r>
      <w:r>
        <w:rPr>
          <w:rFonts w:hint="eastAsia" w:ascii="Times New Roman" w:hAnsi="Times New Roman" w:eastAsia="新宋体" w:cstheme="minorBidi"/>
          <w:color w:val="000000" w:themeColor="text1"/>
          <w:szCs w:val="24"/>
          <w:lang w:val="en-US" w:bidi="ar-SA"/>
          <w14:textFill>
            <w14:solidFill>
              <w14:schemeClr w14:val="tx1"/>
            </w14:solidFill>
          </w14:textFill>
        </w:rPr>
        <w:t>8</w:t>
      </w:r>
      <w:r>
        <w:rPr>
          <w:rFonts w:ascii="Times New Roman" w:hAnsi="Times New Roman" w:eastAsia="新宋体" w:cstheme="minorBidi"/>
          <w:color w:val="000000" w:themeColor="text1"/>
          <w:szCs w:val="24"/>
          <w:lang w:val="en-US" w:bidi="ar-SA"/>
          <w14:textFill>
            <w14:solidFill>
              <w14:schemeClr w14:val="tx1"/>
            </w14:solidFill>
          </w14:textFill>
        </w:rPr>
        <w:t>项目服务范围</w:t>
      </w:r>
      <w:bookmarkEnd w:id="102"/>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根据《黑龙江省农垦红兴隆管理局城市总体（2014-2030年）》中的中心城区供热工程规划，本项目为农垦红兴隆管理局局直地区的集中供热中心，为红兴隆管理局主供热源。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黑龙江农垦兴隆热力有限公司现有供热面积190万平方米。2023年，供热范围内，有65万平方米的供热面积报停，不在供热范围内。</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本次新建1台70MW热水锅炉，满负荷供热能力130万平方米，能够满足剩余125万平方米的供热需求。根据热工程规划，黑龙江农垦兴隆热力有限公司未来将扩建1台70MW热水锅炉，以扩大其供热服务范围。</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03" w:name="_Toc1749"/>
      <w:r>
        <w:rPr>
          <w:rFonts w:ascii="Times New Roman" w:hAnsi="Times New Roman" w:eastAsia="新宋体" w:cstheme="minorBidi"/>
          <w:color w:val="000000" w:themeColor="text1"/>
          <w:szCs w:val="24"/>
          <w:lang w:val="en-US" w:bidi="ar-SA"/>
          <w14:textFill>
            <w14:solidFill>
              <w14:schemeClr w14:val="tx1"/>
            </w14:solidFill>
          </w14:textFill>
        </w:rPr>
        <w:t>3.2.</w:t>
      </w:r>
      <w:r>
        <w:rPr>
          <w:rFonts w:hint="eastAsia" w:ascii="Times New Roman" w:hAnsi="Times New Roman" w:eastAsia="新宋体" w:cstheme="minorBidi"/>
          <w:color w:val="000000" w:themeColor="text1"/>
          <w:szCs w:val="24"/>
          <w:lang w:val="en-US" w:bidi="ar-SA"/>
          <w14:textFill>
            <w14:solidFill>
              <w14:schemeClr w14:val="tx1"/>
            </w14:solidFill>
          </w14:textFill>
        </w:rPr>
        <w:t>9</w:t>
      </w:r>
      <w:r>
        <w:rPr>
          <w:rFonts w:ascii="Times New Roman" w:hAnsi="Times New Roman" w:eastAsia="新宋体" w:cstheme="minorBidi"/>
          <w:color w:val="000000" w:themeColor="text1"/>
          <w:szCs w:val="24"/>
          <w:lang w:val="en-US" w:bidi="ar-SA"/>
          <w14:textFill>
            <w14:solidFill>
              <w14:schemeClr w14:val="tx1"/>
            </w14:solidFill>
          </w14:textFill>
        </w:rPr>
        <w:t>总平面布置</w:t>
      </w:r>
      <w:bookmarkEnd w:id="103"/>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本次工程扩建在原有厂区内进行，厂区内新增占地</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2150</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（1）热源厂总平面布置图见下图</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①</w:t>
      </w:r>
      <w:r>
        <w:rPr>
          <w:rFonts w:ascii="Times New Roman" w:hAnsi="Times New Roman" w:cs="Times New Roman" w:eastAsiaTheme="minorEastAsia"/>
          <w:color w:val="000000" w:themeColor="text1"/>
          <w:sz w:val="24"/>
          <w:szCs w:val="24"/>
          <w:lang w:val="en-US"/>
          <w14:textFill>
            <w14:solidFill>
              <w14:schemeClr w14:val="tx1"/>
            </w14:solidFill>
          </w14:textFill>
        </w:rPr>
        <w:t>生产区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锅炉房布置在厂区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现有锅炉房的东侧</w:t>
      </w:r>
      <w:r>
        <w:rPr>
          <w:rFonts w:ascii="Times New Roman" w:hAnsi="Times New Roman" w:cs="Times New Roman" w:eastAsiaTheme="minorEastAsia"/>
          <w:color w:val="000000" w:themeColor="text1"/>
          <w:sz w:val="24"/>
          <w:szCs w:val="24"/>
          <w:lang w:val="en-US"/>
          <w14:textFill>
            <w14:solidFill>
              <w14:schemeClr w14:val="tx1"/>
            </w14:solidFill>
          </w14:textFill>
        </w:rPr>
        <w:t>，锅炉房占地面积</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2150</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新建药剂存放间、脱硫泵房等均位于新建锅炉房内。</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②</w:t>
      </w:r>
      <w:r>
        <w:rPr>
          <w:rFonts w:ascii="Times New Roman" w:hAnsi="Times New Roman" w:cs="Times New Roman" w:eastAsiaTheme="minorEastAsia"/>
          <w:color w:val="000000" w:themeColor="text1"/>
          <w:sz w:val="24"/>
          <w:szCs w:val="24"/>
          <w:lang w:val="en-US"/>
          <w14:textFill>
            <w14:solidFill>
              <w14:schemeClr w14:val="tx1"/>
            </w14:solidFill>
          </w14:textFill>
        </w:rPr>
        <w:t>仓储区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仓储区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主要</w:t>
      </w:r>
      <w:r>
        <w:rPr>
          <w:rFonts w:ascii="Times New Roman" w:hAnsi="Times New Roman" w:cs="Times New Roman" w:eastAsiaTheme="minorEastAsia"/>
          <w:color w:val="000000" w:themeColor="text1"/>
          <w:sz w:val="24"/>
          <w:szCs w:val="24"/>
          <w:lang w:val="en-US"/>
          <w14:textFill>
            <w14:solidFill>
              <w14:schemeClr w14:val="tx1"/>
            </w14:solidFill>
          </w14:textFill>
        </w:rPr>
        <w:t>包括</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半封闭储煤场、半封闭灰渣仓、危废贮存库等</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储煤场位于厂内南侧，为半封闭式储煤场，占地面积36000m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，堆煤高度4m，可储煤50000吨。依托现有半封闭灰渣场</w:t>
      </w:r>
      <w:r>
        <w:rPr>
          <w:rFonts w:ascii="Times New Roman" w:hAnsi="Times New Roman" w:cs="Times New Roman" w:eastAsiaTheme="minorEastAsia"/>
          <w:color w:val="000000" w:themeColor="text1"/>
          <w:sz w:val="24"/>
          <w:szCs w:val="24"/>
          <w:lang w:val="en-US"/>
          <w14:textFill>
            <w14:solidFill>
              <w14:schemeClr w14:val="tx1"/>
            </w14:solidFill>
          </w14:textFill>
        </w:rPr>
        <w:t>，用于锅炉灰渣等的暂存。</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位于厂区东北侧、现有锅炉房东侧，占地面积为21000m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，可存储灰渣量约为20000t，为半封闭结构。危废贮存库</w:t>
      </w:r>
      <w:r>
        <w:rPr>
          <w:rFonts w:ascii="Times New Roman" w:hAnsi="Times New Roman" w:cs="Times New Roman" w:eastAsiaTheme="minorEastAsia"/>
          <w:color w:val="000000" w:themeColor="text1"/>
          <w:sz w:val="24"/>
          <w:szCs w:val="24"/>
          <w:lang w:val="en-US"/>
          <w14:textFill>
            <w14:solidFill>
              <w14:schemeClr w14:val="tx1"/>
            </w14:solidFill>
          </w14:textFill>
        </w:rPr>
        <w:t>位于厂区原有锅炉房东侧，面积</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50</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。配套脱硫水池位于脱硫泵房的东北侧，占地面积400 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，容积600m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，用于本项目脱硫废水的暂存。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（2）厂房的布置</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本项目锅炉房主厂房由锅炉间、水处理水泵间及备件库等组成。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①</w:t>
      </w:r>
      <w:r>
        <w:rPr>
          <w:rFonts w:ascii="Times New Roman" w:hAnsi="Times New Roman" w:cs="Times New Roman" w:eastAsiaTheme="minorEastAsia"/>
          <w:color w:val="000000" w:themeColor="text1"/>
          <w:sz w:val="24"/>
          <w:szCs w:val="24"/>
          <w:lang w:val="en-US"/>
          <w14:textFill>
            <w14:solidFill>
              <w14:schemeClr w14:val="tx1"/>
            </w14:solidFill>
          </w14:textFill>
        </w:rPr>
        <w:t>锅炉间布置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热源厂原有工艺布置呈“一字”形，即锅炉主厂房、除尘器、引风机间、脱硫塔、架空烟道、烟囱等南北呈一字排列。其中锅炉主厂房为典型的双层布置加输煤廊形式，沿锅炉房纵向锅炉主厂房呈阶梯三段式布置，锅炉房最前端为输煤廊，输煤廊底标高</w:t>
      </w:r>
      <w:r>
        <w:rPr>
          <w:rFonts w:ascii="Times New Roman" w:hAnsi="Times New Roman" w:cs="Times New Roman" w:eastAsiaTheme="minorEastAsia"/>
          <w:color w:val="000000" w:themeColor="text1"/>
          <w:sz w:val="24"/>
          <w:szCs w:val="24"/>
          <w:lang w:val="en-US"/>
          <w14:textFill>
            <w14:solidFill>
              <w14:schemeClr w14:val="tx1"/>
            </w14:solidFill>
          </w14:textFill>
        </w:rPr>
        <w:t>22.0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米，输煤廊层高3.</w:t>
      </w:r>
      <w:r>
        <w:rPr>
          <w:rFonts w:ascii="Times New Roman" w:hAnsi="Times New Roman" w:cs="Times New Roman" w:eastAsiaTheme="minorEastAsia"/>
          <w:color w:val="000000" w:themeColor="text1"/>
          <w:sz w:val="24"/>
          <w:szCs w:val="24"/>
          <w:lang w:val="en-US"/>
          <w14:textFill>
            <w14:solidFill>
              <w14:schemeClr w14:val="tx1"/>
            </w14:solidFill>
          </w14:textFill>
        </w:rPr>
        <w:t>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米；其后为锅炉主机间，锅炉主机间屋顶下悬标高</w:t>
      </w:r>
      <w:r>
        <w:rPr>
          <w:rFonts w:ascii="Times New Roman" w:hAnsi="Times New Roman" w:cs="Times New Roman" w:eastAsiaTheme="minorEastAsia"/>
          <w:color w:val="000000" w:themeColor="text1"/>
          <w:sz w:val="24"/>
          <w:szCs w:val="24"/>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3.5米，锅炉主机间为双层布置，一层为除渣层，层高</w:t>
      </w:r>
      <w:r>
        <w:rPr>
          <w:rFonts w:ascii="Times New Roman" w:hAnsi="Times New Roman" w:cs="Times New Roman" w:eastAsiaTheme="minorEastAsia"/>
          <w:color w:val="000000" w:themeColor="text1"/>
          <w:sz w:val="24"/>
          <w:szCs w:val="24"/>
          <w:lang w:val="en-US"/>
          <w14:textFill>
            <w14:solidFill>
              <w14:schemeClr w14:val="tx1"/>
            </w14:solidFill>
          </w14:textFill>
        </w:rPr>
        <w:t>6</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.0米，布置除渣机及鼓风机，鼓风机单独布置在一层尾部，鼓风机采用低噪音鼓风机，避免鼓风机噪音的影响。一层除渣层东侧布置水泵房及水箱间，二层主机间布置锅炉及空气预热器置。</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设计将空气预热器置于锅炉主机间运行层上，主要考虑锅炉与空气预热器烟道连接及鼓风机与空气预热器之间工艺布置需求，尽量缩短烟风道长度。锅炉房供回水母管由锅炉房西侧进出。锅炉房供水母管位于炉上，锅炉房回水母管位于炉前，锅炉房供回水母管均沿柱布置。输煤栈桥位于锅炉房西侧，内设皮带上煤机。出渣与输煤栈桥设于锅炉房同侧，靠近货运出入口，方便灰渣运出。</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次新建锅炉房在原有厂房的东侧，布置方式与原有锅炉房相同，即双层布置，一层除渣层，分别布置除渣机及鼓风机，新建除渣机排入原有除渣机内；二层主机间，布置锅炉及空气预热器置；输煤层与原有输煤层相连，配煤皮带延长。</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②</w:t>
      </w:r>
      <w:r>
        <w:rPr>
          <w:rFonts w:ascii="Times New Roman" w:hAnsi="Times New Roman" w:cs="Times New Roman" w:eastAsiaTheme="minorEastAsia"/>
          <w:color w:val="000000" w:themeColor="text1"/>
          <w:sz w:val="24"/>
          <w:szCs w:val="24"/>
          <w:lang w:val="en-US"/>
          <w14:textFill>
            <w14:solidFill>
              <w14:schemeClr w14:val="tx1"/>
            </w14:solidFill>
          </w14:textFill>
        </w:rPr>
        <w:t>风机、除尘间布置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风机、除尘间为独立房间，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柱距6.0、6.60m，跨度6.0m，其总长*宽：21.20m*18.20m。</w:t>
      </w:r>
      <w:r>
        <w:rPr>
          <w:rFonts w:ascii="Times New Roman" w:hAnsi="Times New Roman" w:cs="Times New Roman" w:eastAsiaTheme="minorEastAsia"/>
          <w:color w:val="000000" w:themeColor="text1"/>
          <w:sz w:val="24"/>
          <w:szCs w:val="24"/>
          <w:lang w:val="en-US"/>
          <w14:textFill>
            <w14:solidFill>
              <w14:schemeClr w14:val="tx1"/>
            </w14:solidFill>
          </w14:textFill>
        </w:rPr>
        <w:t>布置湿式脱硫除尘器、鼓风机、引风机及其配套设备、控制柜等。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受煤间、破碎间、除渣栈桥、渣仓等采用钢筋混凝土框架结构，钢筋混凝土柱下独立基础。</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）交通运输</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sectPr>
          <w:headerReference r:id="rId11"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本项目厂区内规划道路系统，兼消防环路系统。厂区内主要道路宽</w:t>
      </w:r>
      <w:r>
        <w:rPr>
          <w:rFonts w:ascii="Times New Roman" w:hAnsi="Times New Roman" w:cs="Times New Roman" w:eastAsiaTheme="minorEastAsia"/>
          <w:color w:val="000000" w:themeColor="text1"/>
          <w:sz w:val="24"/>
          <w:szCs w:val="24"/>
          <w:lang w:val="en-US"/>
          <w14:textFill>
            <w14:solidFill>
              <w14:schemeClr w14:val="tx1"/>
            </w14:solidFill>
          </w14:textFill>
        </w:rPr>
        <w:t>7.0m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，转弯半径为</w:t>
      </w:r>
      <w:r>
        <w:rPr>
          <w:rFonts w:ascii="Times New Roman" w:hAnsi="Times New Roman" w:cs="Times New Roman" w:eastAsiaTheme="minorEastAsia"/>
          <w:color w:val="000000" w:themeColor="text1"/>
          <w:sz w:val="24"/>
          <w:szCs w:val="24"/>
          <w:lang w:val="en-US"/>
          <w14:textFill>
            <w14:solidFill>
              <w14:schemeClr w14:val="tx1"/>
            </w14:solidFill>
          </w14:textFill>
        </w:rPr>
        <w:t>9.0m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，沥青砼路面。厂区内有两个出入口，能够满足运输、人流通行消防的要求。</w:t>
      </w:r>
    </w:p>
    <w:p>
      <w:pPr>
        <w:pStyle w:val="91"/>
        <w:ind w:firstLine="360"/>
        <w:rPr>
          <w:rFonts w:cs="Times New Roman" w:eastAsiaTheme="minorEastAsia"/>
          <w:snapToGrid w:val="0"/>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37088" behindDoc="0" locked="0" layoutInCell="1" allowOverlap="1">
            <wp:simplePos x="0" y="0"/>
            <wp:positionH relativeFrom="column">
              <wp:posOffset>7209155</wp:posOffset>
            </wp:positionH>
            <wp:positionV relativeFrom="paragraph">
              <wp:posOffset>52070</wp:posOffset>
            </wp:positionV>
            <wp:extent cx="934720" cy="876300"/>
            <wp:effectExtent l="0" t="0" r="0" b="0"/>
            <wp:wrapNone/>
            <wp:docPr id="8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2"/>
                    <pic:cNvPicPr>
                      <a:picLocks noChangeAspect="1"/>
                    </pic:cNvPicPr>
                  </pic:nvPicPr>
                  <pic:blipFill>
                    <a:blip r:embed="rId26"/>
                    <a:stretch>
                      <a:fillRect/>
                    </a:stretch>
                  </pic:blipFill>
                  <pic:spPr>
                    <a:xfrm>
                      <a:off x="0" y="0"/>
                      <a:ext cx="934720" cy="876300"/>
                    </a:xfrm>
                    <a:prstGeom prst="rect">
                      <a:avLst/>
                    </a:prstGeom>
                    <a:noFill/>
                    <a:ln>
                      <a:noFill/>
                    </a:ln>
                  </pic:spPr>
                </pic:pic>
              </a:graphicData>
            </a:graphic>
          </wp:anchor>
        </w:drawing>
      </w:r>
      <w:r>
        <w:rPr>
          <w:color w:val="000000" w:themeColor="text1"/>
          <w:lang w:val="en-US" w:bidi="ar-SA"/>
          <w14:textFill>
            <w14:solidFill>
              <w14:schemeClr w14:val="tx1"/>
            </w14:solidFill>
          </w14:textFill>
        </w:rPr>
        <w:drawing>
          <wp:anchor distT="0" distB="0" distL="114300" distR="114300" simplePos="0" relativeHeight="251726848" behindDoc="0" locked="0" layoutInCell="1" allowOverlap="1">
            <wp:simplePos x="0" y="0"/>
            <wp:positionH relativeFrom="column">
              <wp:posOffset>898525</wp:posOffset>
            </wp:positionH>
            <wp:positionV relativeFrom="paragraph">
              <wp:posOffset>-394335</wp:posOffset>
            </wp:positionV>
            <wp:extent cx="7072630" cy="5172075"/>
            <wp:effectExtent l="0" t="0" r="13970" b="9525"/>
            <wp:wrapNone/>
            <wp:docPr id="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12"/>
                    <pic:cNvPicPr>
                      <a:picLocks noChangeAspect="1"/>
                    </pic:cNvPicPr>
                  </pic:nvPicPr>
                  <pic:blipFill>
                    <a:blip r:embed="rId35"/>
                    <a:stretch>
                      <a:fillRect/>
                    </a:stretch>
                  </pic:blipFill>
                  <pic:spPr>
                    <a:xfrm>
                      <a:off x="0" y="0"/>
                      <a:ext cx="7072630" cy="5172075"/>
                    </a:xfrm>
                    <a:prstGeom prst="rect">
                      <a:avLst/>
                    </a:prstGeom>
                    <a:noFill/>
                    <a:ln>
                      <a:noFill/>
                    </a:ln>
                  </pic:spPr>
                </pic:pic>
              </a:graphicData>
            </a:graphic>
          </wp:anchor>
        </w:drawing>
      </w: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图3-2-3 厂区总平面布置图</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26" w:charSpace="0"/>
        </w:sectPr>
      </w:pP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04" w:name="_Toc16503"/>
      <w:r>
        <w:rPr>
          <w:rFonts w:ascii="Times New Roman" w:hAnsi="Times New Roman" w:eastAsia="新宋体" w:cstheme="minorBidi"/>
          <w:color w:val="000000" w:themeColor="text1"/>
          <w:szCs w:val="24"/>
          <w:lang w:val="en-US" w:bidi="ar-SA"/>
          <w14:textFill>
            <w14:solidFill>
              <w14:schemeClr w14:val="tx1"/>
            </w14:solidFill>
          </w14:textFill>
        </w:rPr>
        <w:t>3.2.1</w:t>
      </w:r>
      <w:r>
        <w:rPr>
          <w:rFonts w:hint="eastAsia" w:ascii="Times New Roman" w:hAnsi="Times New Roman" w:eastAsia="新宋体" w:cstheme="minorBidi"/>
          <w:color w:val="000000" w:themeColor="text1"/>
          <w:szCs w:val="24"/>
          <w:lang w:val="en-US" w:bidi="ar-SA"/>
          <w14:textFill>
            <w14:solidFill>
              <w14:schemeClr w14:val="tx1"/>
            </w14:solidFill>
          </w14:textFill>
        </w:rPr>
        <w:t>0</w:t>
      </w:r>
      <w:r>
        <w:rPr>
          <w:rFonts w:ascii="Times New Roman" w:hAnsi="Times New Roman" w:eastAsia="新宋体" w:cstheme="minorBidi"/>
          <w:color w:val="000000" w:themeColor="text1"/>
          <w:szCs w:val="24"/>
          <w:lang w:val="en-US" w:bidi="ar-SA"/>
          <w14:textFill>
            <w14:solidFill>
              <w14:schemeClr w14:val="tx1"/>
            </w14:solidFill>
          </w14:textFill>
        </w:rPr>
        <w:t>公用工程</w:t>
      </w:r>
      <w:bookmarkEnd w:id="104"/>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3.2.1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0</w:t>
      </w:r>
      <w:r>
        <w:rPr>
          <w:rFonts w:ascii="Times New Roman" w:hAnsi="Times New Roman" w:cs="Times New Roman" w:eastAsiaTheme="minorEastAsia"/>
          <w:color w:val="000000" w:themeColor="text1"/>
          <w:sz w:val="24"/>
          <w:szCs w:val="24"/>
          <w:lang w:val="en-US" w:bidi="ar-SA"/>
          <w14:textFill>
            <w14:solidFill>
              <w14:schemeClr w14:val="tx1"/>
            </w14:solidFill>
          </w14:textFill>
        </w:rPr>
        <w:t>.1 给水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（1）水源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本项目用水主要为锅炉用水，用水来自于市政自来水。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（2）给水系统</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本项目不新增劳动定员，不新增生活用水。</w:t>
      </w:r>
      <w:r>
        <w:rPr>
          <w:rFonts w:ascii="Times New Roman" w:hAnsi="Times New Roman" w:cs="Times New Roman" w:eastAsiaTheme="minorEastAsia"/>
          <w:color w:val="000000" w:themeColor="text1"/>
          <w:sz w:val="24"/>
          <w:szCs w:val="24"/>
          <w:lang w:val="en-US"/>
          <w14:textFill>
            <w14:solidFill>
              <w14:schemeClr w14:val="tx1"/>
            </w14:solidFill>
          </w14:textFill>
        </w:rPr>
        <w:t>本项目锅炉房用水主要为生产工艺用水，以循环水为主，主要为锅炉热力网循环系统补水、脱硫用水、脱硝用水、冲渣水、输煤降尘水等。</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①</w:t>
      </w:r>
      <w:r>
        <w:rPr>
          <w:rFonts w:ascii="Times New Roman" w:hAnsi="Times New Roman" w:cs="Times New Roman" w:eastAsiaTheme="minorEastAsia"/>
          <w:color w:val="000000" w:themeColor="text1"/>
          <w:sz w:val="24"/>
          <w:szCs w:val="24"/>
          <w:lang w:val="en-US"/>
          <w14:textFill>
            <w14:solidFill>
              <w14:schemeClr w14:val="tx1"/>
            </w14:solidFill>
          </w14:textFill>
        </w:rPr>
        <w:t>工业给水系统用水量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1）工业给水系统用水量主要为锅炉系统补水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：根据可研设计资料，热水锅炉补充水量按热网循环水量的 </w:t>
      </w: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选取，热网循环水量为</w:t>
      </w: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855</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，锅炉补水量为</w:t>
      </w: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8.55</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/h；</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2）脱硫补水量：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根据建设单位提供的设计资料，脱硫系统用水量为1.3</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3）脱硝补水量：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脱硝用水量：根据建设单位提供的设计资料，本项目脱硝系统用水量为</w:t>
      </w:r>
      <w:r>
        <w:rPr>
          <w:rFonts w:ascii="Times New Roman" w:hAnsi="Times New Roman" w:cs="Times New Roman" w:eastAsiaTheme="minorEastAsia"/>
          <w:color w:val="000000" w:themeColor="text1"/>
          <w:sz w:val="24"/>
          <w:szCs w:val="24"/>
          <w:lang w:val="en-US"/>
          <w14:textFill>
            <w14:solidFill>
              <w14:schemeClr w14:val="tx1"/>
            </w14:solidFill>
          </w14:textFill>
        </w:rPr>
        <w:t>0.55m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/h；</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4）除渣机用水量为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0.98</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23.5m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/d，循环水量为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10.33</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248 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/d；</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begin"/>
      </w:r>
      <w:r>
        <w:rPr>
          <w:rFonts w:ascii="Times New Roman" w:hAnsi="Times New Roman" w:cs="Times New Roman" w:eastAsiaTheme="minorEastAsia"/>
          <w:color w:val="000000" w:themeColor="text1"/>
          <w:sz w:val="24"/>
          <w:szCs w:val="24"/>
          <w:lang w:val="en-US"/>
          <w14:textFill>
            <w14:solidFill>
              <w14:schemeClr w14:val="tx1"/>
            </w14:solidFill>
          </w14:textFill>
        </w:rPr>
        <w:instrText xml:space="preserve"> = 2 \* GB3 \* MERGEFORMAT </w:instrTex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separate"/>
      </w:r>
      <w:r>
        <w:rPr>
          <w:rFonts w:hint="eastAsia"/>
          <w:color w:val="000000" w:themeColor="text1"/>
          <w:sz w:val="24"/>
          <w:szCs w:val="24"/>
          <w:lang w:val="en-US"/>
          <w14:textFill>
            <w14:solidFill>
              <w14:schemeClr w14:val="tx1"/>
            </w14:solidFill>
          </w14:textFill>
        </w:rPr>
        <w:t>②</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软化水制备用水量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锅炉用水采用全自动软水器进行水质软化处理，制水效率为98%，处理能力为100~120t/h。本次新增软化水用水量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20</w:t>
      </w:r>
      <w:r>
        <w:rPr>
          <w:rFonts w:ascii="Times New Roman" w:hAnsi="Times New Roman" w:cs="Times New Roman" w:eastAsiaTheme="minorEastAsia"/>
          <w:color w:val="000000" w:themeColor="text1"/>
          <w:sz w:val="24"/>
          <w:szCs w:val="24"/>
          <w:lang w:val="en-US"/>
          <w14:textFill>
            <w14:solidFill>
              <w14:schemeClr w14:val="tx1"/>
            </w14:solidFill>
          </w14:textFill>
        </w:rPr>
        <w:t>t/h。新增软化水排放量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0.41</w:t>
      </w:r>
      <w:r>
        <w:rPr>
          <w:rFonts w:ascii="Times New Roman" w:hAnsi="Times New Roman" w:cs="Times New Roman" w:eastAsiaTheme="minorEastAsia"/>
          <w:color w:val="000000" w:themeColor="text1"/>
          <w:sz w:val="24"/>
          <w:szCs w:val="24"/>
          <w:lang w:val="en-US"/>
          <w14:textFill>
            <w14:solidFill>
              <w14:schemeClr w14:val="tx1"/>
            </w14:solidFill>
          </w14:textFill>
        </w:rPr>
        <w:t>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3.2.1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0</w:t>
      </w:r>
      <w:r>
        <w:rPr>
          <w:rFonts w:ascii="Times New Roman" w:hAnsi="Times New Roman" w:cs="Times New Roman" w:eastAsiaTheme="minorEastAsia"/>
          <w:color w:val="000000" w:themeColor="text1"/>
          <w:sz w:val="24"/>
          <w:szCs w:val="24"/>
          <w:lang w:val="en-US" w:bidi="ar-SA"/>
          <w14:textFill>
            <w14:solidFill>
              <w14:schemeClr w14:val="tx1"/>
            </w14:solidFill>
          </w14:textFill>
        </w:rPr>
        <w:t>.2 排水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本项目排水采用雨污分流排水系统。</w:t>
      </w:r>
      <w:r>
        <w:rPr>
          <w:rFonts w:ascii="Times New Roman" w:hAnsi="Times New Roman" w:cs="Times New Roman" w:eastAsiaTheme="minorEastAsia"/>
          <w:color w:val="000000" w:themeColor="text1"/>
          <w:sz w:val="24"/>
          <w:szCs w:val="24"/>
          <w:lang w:val="en-US"/>
          <w14:textFill>
            <w14:solidFill>
              <w14:schemeClr w14:val="tx1"/>
            </w14:solidFill>
          </w14:textFill>
        </w:rPr>
        <w:t>项目生产废水主要为锅炉排水及软化水系统排水等。本项目工艺排水用于冲渣，不外排。因此，本项目生产污水全部回用，不外排。</w:t>
      </w:r>
    </w:p>
    <w:p>
      <w:pPr>
        <w:pStyle w:val="26"/>
        <w:spacing w:line="500" w:lineRule="exact"/>
        <w:ind w:firstLine="480" w:firstLineChars="200"/>
        <w:jc w:val="both"/>
        <w:rPr>
          <w:rFonts w:hint="eastAsia"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（1）雨水</w:t>
      </w:r>
    </w:p>
    <w:p>
      <w:pPr>
        <w:pStyle w:val="26"/>
        <w:spacing w:line="500" w:lineRule="exact"/>
        <w:ind w:firstLine="480" w:firstLineChars="200"/>
        <w:jc w:val="both"/>
        <w:rPr>
          <w:rFonts w:hint="eastAsia"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本次评价针对厂区煤炭的运输道路核算初期雨水量，厂区的运输道路的长度为25</w:t>
      </w:r>
      <w:r>
        <w:rPr>
          <w:rFonts w:ascii="Times New Roman" w:hAnsi="Times New Roman" w:cs="Times New Roman" w:eastAsiaTheme="minorEastAsia"/>
          <w:color w:val="000000" w:themeColor="text1"/>
          <w:sz w:val="24"/>
          <w:szCs w:val="24"/>
          <w:lang w:val="en-US"/>
          <w14:textFill>
            <w14:solidFill>
              <w14:schemeClr w14:val="tx1"/>
            </w14:solidFill>
          </w14:textFill>
        </w:rPr>
        <w:t>0m、宽度为5m，占地面积为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125</w:t>
      </w:r>
      <w:r>
        <w:rPr>
          <w:rFonts w:ascii="Times New Roman" w:hAnsi="Times New Roman" w:cs="Times New Roman" w:eastAsiaTheme="minorEastAsia"/>
          <w:color w:val="000000" w:themeColor="text1"/>
          <w:sz w:val="24"/>
          <w:szCs w:val="24"/>
          <w:lang w:val="en-US"/>
          <w14:textFill>
            <w14:solidFill>
              <w14:schemeClr w14:val="tx1"/>
            </w14:solidFill>
          </w14:textFill>
        </w:rPr>
        <w:t>0m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采用双鸭山市地区暴雨强度公式：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q=2889*（1+0.91*lgP）/（t+10）0.88</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式中：</w:t>
      </w:r>
      <w:r>
        <w:rPr>
          <w:rFonts w:ascii="Times New Roman" w:hAnsi="Times New Roman" w:cs="Times New Roman" w:eastAsiaTheme="minorEastAsia"/>
          <w:color w:val="000000" w:themeColor="text1"/>
          <w:sz w:val="24"/>
          <w:szCs w:val="24"/>
          <w:lang w:val="en-US"/>
          <w14:textFill>
            <w14:solidFill>
              <w14:schemeClr w14:val="tx1"/>
            </w14:solidFill>
          </w14:textFill>
        </w:rPr>
        <w:t>q—设计暴雨强度（L/（s·ha））；</w:t>
      </w:r>
    </w:p>
    <w:p>
      <w:pPr>
        <w:pStyle w:val="26"/>
        <w:spacing w:line="500" w:lineRule="exact"/>
        <w:ind w:firstLine="1200" w:firstLineChars="5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P—设计重现期（a）；</w:t>
      </w:r>
    </w:p>
    <w:p>
      <w:pPr>
        <w:pStyle w:val="26"/>
        <w:spacing w:line="500" w:lineRule="exact"/>
        <w:ind w:firstLine="1200" w:firstLineChars="5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t—设计降雨历时（min）。</w:t>
      </w:r>
    </w:p>
    <w:p>
      <w:pPr>
        <w:pStyle w:val="26"/>
        <w:spacing w:line="500" w:lineRule="exact"/>
        <w:ind w:firstLine="480" w:firstLineChars="200"/>
        <w:jc w:val="both"/>
        <w:rPr>
          <w:rFonts w:hint="eastAsia"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初期雨水量计算公式：</w:t>
      </w:r>
    </w:p>
    <w:p>
      <w:pPr>
        <w:pStyle w:val="26"/>
        <w:spacing w:line="500" w:lineRule="exact"/>
        <w:ind w:firstLine="1200" w:firstLineChars="500"/>
        <w:jc w:val="both"/>
        <w:rPr>
          <w:rFonts w:hint="eastAsia"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Qy=Ψ·q·F 计算</w:t>
      </w:r>
    </w:p>
    <w:p>
      <w:pPr>
        <w:pStyle w:val="26"/>
        <w:spacing w:line="500" w:lineRule="exact"/>
        <w:ind w:firstLine="480" w:firstLineChars="200"/>
        <w:jc w:val="both"/>
        <w:rPr>
          <w:rFonts w:hint="eastAsia"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式中：</w:t>
      </w:r>
      <w:r>
        <w:rPr>
          <w:rFonts w:ascii="Times New Roman" w:hAnsi="Times New Roman" w:cs="Times New Roman" w:eastAsiaTheme="minorEastAsia"/>
          <w:color w:val="000000" w:themeColor="text1"/>
          <w:sz w:val="24"/>
          <w:szCs w:val="24"/>
          <w:lang w:val="en-US"/>
          <w14:textFill>
            <w14:solidFill>
              <w14:schemeClr w14:val="tx1"/>
            </w14:solidFill>
          </w14:textFill>
        </w:rPr>
        <w:t>Qy—雨水流量(L/s)；</w:t>
      </w:r>
    </w:p>
    <w:p>
      <w:pPr>
        <w:pStyle w:val="26"/>
        <w:spacing w:line="500" w:lineRule="exact"/>
        <w:ind w:firstLine="1200" w:firstLineChars="5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Ψ—径流系数取</w:t>
      </w:r>
      <w:r>
        <w:rPr>
          <w:rFonts w:ascii="Times New Roman" w:hAnsi="Times New Roman" w:cs="Times New Roman" w:eastAsiaTheme="minorEastAsia"/>
          <w:color w:val="000000" w:themeColor="text1"/>
          <w:sz w:val="24"/>
          <w:szCs w:val="24"/>
          <w:lang w:val="en-US"/>
          <w14:textFill>
            <w14:solidFill>
              <w14:schemeClr w14:val="tx1"/>
            </w14:solidFill>
          </w14:textFill>
        </w:rPr>
        <w:t>0.9；</w:t>
      </w:r>
    </w:p>
    <w:p>
      <w:pPr>
        <w:pStyle w:val="26"/>
        <w:spacing w:line="500" w:lineRule="exact"/>
        <w:ind w:firstLine="1200" w:firstLineChars="500"/>
        <w:jc w:val="both"/>
        <w:rPr>
          <w:rFonts w:hint="eastAsia"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q—暴雨强度（L/（s·ha））；F—汇水面积（ha）。</w:t>
      </w:r>
    </w:p>
    <w:p>
      <w:pPr>
        <w:pStyle w:val="26"/>
        <w:spacing w:line="500" w:lineRule="exact"/>
        <w:ind w:firstLine="480" w:firstLineChars="200"/>
        <w:jc w:val="both"/>
        <w:rPr>
          <w:rFonts w:hint="eastAsia"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设计重现期</w:t>
      </w:r>
      <w:r>
        <w:rPr>
          <w:rFonts w:ascii="Times New Roman" w:hAnsi="Times New Roman" w:cs="Times New Roman" w:eastAsiaTheme="minorEastAsia"/>
          <w:color w:val="000000" w:themeColor="text1"/>
          <w:sz w:val="24"/>
          <w:szCs w:val="24"/>
          <w:lang w:val="en-US"/>
          <w14:textFill>
            <w14:solidFill>
              <w14:schemeClr w14:val="tx1"/>
            </w14:solidFill>
          </w14:textFill>
        </w:rPr>
        <w:t>P取2年，设计降雨历时t取15分钟，径流系数取0.9，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汇水</w:t>
      </w:r>
      <w:r>
        <w:rPr>
          <w:rFonts w:ascii="Times New Roman" w:hAnsi="Times New Roman" w:cs="Times New Roman" w:eastAsiaTheme="minorEastAsia"/>
          <w:color w:val="000000" w:themeColor="text1"/>
          <w:sz w:val="24"/>
          <w:szCs w:val="24"/>
          <w:lang w:val="en-US"/>
          <w14:textFill>
            <w14:solidFill>
              <w14:schemeClr w14:val="tx1"/>
            </w14:solidFill>
          </w14:textFill>
        </w:rPr>
        <w:t>面积</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1250</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，经计算雨水流量Qy=216.11L/s·ha×0.9×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0.12</w:t>
      </w:r>
      <w:r>
        <w:rPr>
          <w:rFonts w:ascii="Times New Roman" w:hAnsi="Times New Roman" w:cs="Times New Roman" w:eastAsiaTheme="minorEastAsia"/>
          <w:color w:val="000000" w:themeColor="text1"/>
          <w:sz w:val="24"/>
          <w:szCs w:val="24"/>
          <w:lang w:val="en-US"/>
          <w14:textFill>
            <w14:solidFill>
              <w14:schemeClr w14:val="tx1"/>
            </w14:solidFill>
          </w14:textFill>
        </w:rPr>
        <w:t>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24.31</w:t>
      </w:r>
      <w:r>
        <w:rPr>
          <w:rFonts w:ascii="Times New Roman" w:hAnsi="Times New Roman" w:cs="Times New Roman" w:eastAsiaTheme="minorEastAsia"/>
          <w:color w:val="000000" w:themeColor="text1"/>
          <w:sz w:val="24"/>
          <w:szCs w:val="24"/>
          <w:lang w:val="en-US"/>
          <w14:textFill>
            <w14:solidFill>
              <w14:schemeClr w14:val="tx1"/>
            </w14:solidFill>
          </w14:textFill>
        </w:rPr>
        <w:t>L/s ，初期雨水量为24.31×15×60÷1000=21.88m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/次。建设单位在厂区设置1座25m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的初期雨水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收集池，收集雨季初期雨水，初期雨水用于储煤场洒水降尘。厂区内部设置雨水管网，雨水排入周边雨水管网。</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（2）生活污水：本项目不新增劳动定员，不新增生活污水排放。</w:t>
      </w:r>
      <w:r>
        <w:rPr>
          <w:rFonts w:ascii="Times New Roman" w:hAnsi="Times New Roman" w:cs="Times New Roman" w:eastAsiaTheme="minorEastAsia"/>
          <w:color w:val="000000" w:themeColor="text1"/>
          <w:sz w:val="24"/>
          <w:szCs w:val="24"/>
          <w:lang w:val="en-US"/>
          <w14:textFill>
            <w14:solidFill>
              <w14:schemeClr w14:val="tx1"/>
            </w14:solidFill>
          </w14:textFill>
        </w:rPr>
        <w:t>生活污水产生量为0.8t/d、292t/a，其主要污染物为COD、氨氮，浓度分别为300mg/L、30mg/L</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生活污水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排入</w:t>
      </w:r>
      <w:r>
        <w:rPr>
          <w:rFonts w:ascii="Times New Roman" w:hAnsi="Times New Roman" w:cs="Times New Roman" w:eastAsiaTheme="minorEastAsia"/>
          <w:color w:val="000000" w:themeColor="text1"/>
          <w:sz w:val="24"/>
          <w:szCs w:val="24"/>
          <w:lang w:val="en-US"/>
          <w14:textFill>
            <w14:solidFill>
              <w14:schemeClr w14:val="tx1"/>
            </w14:solidFill>
          </w14:textFill>
        </w:rPr>
        <w:t>防渗化粪池</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，定期清运至黑龙江红兴隆农垦清洁污水处理有限公司（集中污水处理厂）进行处理。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（3）生产废水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本项目新</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扩</w:t>
      </w:r>
      <w:r>
        <w:rPr>
          <w:rFonts w:ascii="Times New Roman" w:hAnsi="Times New Roman" w:cs="Times New Roman" w:eastAsiaTheme="minorEastAsia"/>
          <w:color w:val="000000" w:themeColor="text1"/>
          <w:sz w:val="24"/>
          <w:szCs w:val="24"/>
          <w:lang w:val="en-US"/>
          <w14:textFill>
            <w14:solidFill>
              <w14:schemeClr w14:val="tx1"/>
            </w14:solidFill>
          </w14:textFill>
        </w:rPr>
        <w:t>建锅炉排污水量为43.1m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/d，软化水系统排污水量为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9.84</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/d，用于输煤降尘（5.2m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/d）、除灰渣（</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15.74</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/d）、脱硫（31.1m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/d）及地面冲洗（0.9m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/d），不外排。</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本项目建成后水平衡图见图3-2-4。</w:t>
      </w:r>
    </w:p>
    <w:p>
      <w:pPr>
        <w:ind w:firstLine="180"/>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4391025" cy="3819525"/>
            <wp:effectExtent l="0" t="0" r="952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6"/>
                    <a:stretch>
                      <a:fillRect/>
                    </a:stretch>
                  </pic:blipFill>
                  <pic:spPr>
                    <a:xfrm>
                      <a:off x="0" y="0"/>
                      <a:ext cx="4391025" cy="3819525"/>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 xml:space="preserve">图3-2-4 </w:t>
      </w:r>
      <w:r>
        <w:rPr>
          <w:rFonts w:hint="eastAsia" w:ascii="Times New Roman" w:hAnsiTheme="minorEastAsia" w:eastAsiaTheme="minorEastAsia"/>
          <w:b/>
          <w:bCs/>
          <w:color w:val="000000" w:themeColor="text1"/>
          <w:szCs w:val="24"/>
          <w14:textFill>
            <w14:solidFill>
              <w14:schemeClr w14:val="tx1"/>
            </w14:solidFill>
          </w14:textFill>
        </w:rPr>
        <w:t>新</w:t>
      </w:r>
      <w:r>
        <w:rPr>
          <w:rFonts w:ascii="Times New Roman" w:hAnsiTheme="minorEastAsia" w:eastAsiaTheme="minorEastAsia"/>
          <w:b/>
          <w:bCs/>
          <w:color w:val="000000" w:themeColor="text1"/>
          <w:szCs w:val="24"/>
          <w14:textFill>
            <w14:solidFill>
              <w14:schemeClr w14:val="tx1"/>
            </w14:solidFill>
          </w14:textFill>
        </w:rPr>
        <w:t>建</w:t>
      </w:r>
      <w:r>
        <w:rPr>
          <w:rFonts w:hint="eastAsia" w:ascii="Times New Roman" w:hAnsiTheme="minorEastAsia" w:eastAsiaTheme="minorEastAsia"/>
          <w:b/>
          <w:bCs/>
          <w:color w:val="000000" w:themeColor="text1"/>
          <w:szCs w:val="24"/>
          <w14:textFill>
            <w14:solidFill>
              <w14:schemeClr w14:val="tx1"/>
            </w14:solidFill>
          </w14:textFill>
        </w:rPr>
        <w:t>锅炉</w:t>
      </w:r>
      <w:r>
        <w:rPr>
          <w:rFonts w:ascii="Times New Roman" w:hAnsiTheme="minorEastAsia" w:eastAsiaTheme="minorEastAsia"/>
          <w:b/>
          <w:bCs/>
          <w:color w:val="000000" w:themeColor="text1"/>
          <w:szCs w:val="24"/>
          <w14:textFill>
            <w14:solidFill>
              <w14:schemeClr w14:val="tx1"/>
            </w14:solidFill>
          </w14:textFill>
        </w:rPr>
        <w:t>项目水平衡图（t/d）</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3.2.1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0</w:t>
      </w:r>
      <w:r>
        <w:rPr>
          <w:rFonts w:ascii="Times New Roman" w:hAnsi="Times New Roman" w:cs="Times New Roman" w:eastAsiaTheme="minorEastAsia"/>
          <w:color w:val="000000" w:themeColor="text1"/>
          <w:sz w:val="24"/>
          <w:szCs w:val="24"/>
          <w:lang w:val="en-US" w:bidi="ar-SA"/>
          <w14:textFill>
            <w14:solidFill>
              <w14:schemeClr w14:val="tx1"/>
            </w14:solidFill>
          </w14:textFill>
        </w:rPr>
        <w:t>.3 供电</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w:t>
      </w:r>
      <w:r>
        <w:rPr>
          <w:rFonts w:ascii="Times New Roman" w:hAnsi="Times New Roman" w:cs="Times New Roman" w:eastAsiaTheme="minorEastAsia"/>
          <w:color w:val="000000" w:themeColor="text1"/>
          <w:sz w:val="24"/>
          <w:szCs w:val="24"/>
          <w:lang w:val="en-US"/>
          <w14:textFill>
            <w14:solidFill>
              <w14:schemeClr w14:val="tx1"/>
            </w14:solidFill>
          </w14:textFill>
        </w:rPr>
        <w:t>用电由市政电网提供。</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3.2.1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0</w:t>
      </w:r>
      <w:r>
        <w:rPr>
          <w:rFonts w:ascii="Times New Roman" w:hAnsi="Times New Roman" w:cs="Times New Roman" w:eastAsiaTheme="minorEastAsia"/>
          <w:color w:val="000000" w:themeColor="text1"/>
          <w:sz w:val="24"/>
          <w:szCs w:val="24"/>
          <w:lang w:val="en-US" w:bidi="ar-SA"/>
          <w14:textFill>
            <w14:solidFill>
              <w14:schemeClr w14:val="tx1"/>
            </w14:solidFill>
          </w14:textFill>
        </w:rPr>
        <w:t>.4 供热</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项目办公区域供热由厂区锅炉房供给。</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3.2.1</w:t>
      </w:r>
      <w:r>
        <w:rPr>
          <w:rFonts w:hint="eastAsia" w:ascii="Times New Roman" w:hAnsi="Times New Roman" w:eastAsia="新宋体" w:cstheme="minorBidi"/>
          <w:color w:val="000000" w:themeColor="text1"/>
          <w:szCs w:val="24"/>
          <w:lang w:val="en-US" w:bidi="ar-SA"/>
          <w14:textFill>
            <w14:solidFill>
              <w14:schemeClr w14:val="tx1"/>
            </w14:solidFill>
          </w14:textFill>
        </w:rPr>
        <w:t>1</w:t>
      </w:r>
      <w:r>
        <w:rPr>
          <w:rFonts w:ascii="Times New Roman" w:hAnsi="Times New Roman" w:eastAsia="新宋体" w:cstheme="minorBidi"/>
          <w:color w:val="000000" w:themeColor="text1"/>
          <w:szCs w:val="24"/>
          <w:lang w:val="en-US" w:bidi="ar-SA"/>
          <w14:textFill>
            <w14:solidFill>
              <w14:schemeClr w14:val="tx1"/>
            </w14:solidFill>
          </w14:textFill>
        </w:rPr>
        <w:t>储运工程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（1）厂区储运情况</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本项目涉及物料主要为燃料燃煤、脱硫氧化镁、脱硝尿素、点火燃油轻柴油、锅炉炉渣</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等</w:t>
      </w:r>
      <w:r>
        <w:rPr>
          <w:rFonts w:ascii="Times New Roman" w:hAnsi="Times New Roman" w:cs="Times New Roman" w:eastAsiaTheme="minorEastAsia"/>
          <w:color w:val="000000" w:themeColor="text1"/>
          <w:sz w:val="24"/>
          <w:szCs w:val="24"/>
          <w:lang w:val="en-US"/>
          <w14:textFill>
            <w14:solidFill>
              <w14:schemeClr w14:val="tx1"/>
            </w14:solidFill>
          </w14:textFill>
        </w:rPr>
        <w:t>，其储运情况见表3-2-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表3-2-</w:t>
      </w:r>
      <w:r>
        <w:rPr>
          <w:rFonts w:hint="eastAsia" w:ascii="Times New Roman" w:hAnsiTheme="minorEastAsia" w:eastAsiaTheme="minorEastAsia"/>
          <w:b/>
          <w:bCs/>
          <w:color w:val="000000" w:themeColor="text1"/>
          <w:szCs w:val="24"/>
          <w14:textFill>
            <w14:solidFill>
              <w14:schemeClr w14:val="tx1"/>
            </w14:solidFill>
          </w14:textFill>
        </w:rPr>
        <w:t>8</w:t>
      </w:r>
      <w:r>
        <w:rPr>
          <w:rFonts w:ascii="Times New Roman" w:hAnsiTheme="minorEastAsia" w:eastAsiaTheme="minorEastAsia"/>
          <w:b/>
          <w:bCs/>
          <w:color w:val="000000" w:themeColor="text1"/>
          <w:szCs w:val="24"/>
          <w14:textFill>
            <w14:solidFill>
              <w14:schemeClr w14:val="tx1"/>
            </w14:solidFill>
          </w14:textFill>
        </w:rPr>
        <w:t xml:space="preserve">  本项目储运工程情况一览表单位：t/a</w:t>
      </w:r>
    </w:p>
    <w:tbl>
      <w:tblPr>
        <w:tblStyle w:val="70"/>
        <w:tblW w:w="85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28" w:type="dxa"/>
        </w:tblCellMar>
      </w:tblPr>
      <w:tblGrid>
        <w:gridCol w:w="481"/>
        <w:gridCol w:w="1125"/>
        <w:gridCol w:w="985"/>
        <w:gridCol w:w="502"/>
        <w:gridCol w:w="683"/>
        <w:gridCol w:w="47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28" w:type="dxa"/>
          </w:tblCellMar>
        </w:tblPrEx>
        <w:trPr>
          <w:trHeight w:val="397" w:hRule="atLeast"/>
          <w:jc w:val="center"/>
        </w:trPr>
        <w:tc>
          <w:tcPr>
            <w:tcW w:w="481"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112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名称</w:t>
            </w:r>
          </w:p>
        </w:tc>
        <w:tc>
          <w:tcPr>
            <w:tcW w:w="98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年耗、产量</w:t>
            </w:r>
          </w:p>
        </w:tc>
        <w:tc>
          <w:tcPr>
            <w:tcW w:w="50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状态</w:t>
            </w:r>
          </w:p>
        </w:tc>
        <w:tc>
          <w:tcPr>
            <w:tcW w:w="68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运输</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方式</w:t>
            </w:r>
          </w:p>
        </w:tc>
        <w:tc>
          <w:tcPr>
            <w:tcW w:w="472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本项目储存方式储存地点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28" w:type="dxa"/>
          </w:tblCellMar>
        </w:tblPrEx>
        <w:trPr>
          <w:trHeight w:val="397" w:hRule="atLeast"/>
          <w:jc w:val="center"/>
        </w:trPr>
        <w:tc>
          <w:tcPr>
            <w:tcW w:w="481"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12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煤</w:t>
            </w:r>
          </w:p>
        </w:tc>
        <w:tc>
          <w:tcPr>
            <w:tcW w:w="98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42017</w:t>
            </w:r>
          </w:p>
        </w:tc>
        <w:tc>
          <w:tcPr>
            <w:tcW w:w="50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固态</w:t>
            </w:r>
          </w:p>
        </w:tc>
        <w:tc>
          <w:tcPr>
            <w:tcW w:w="68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汽运</w:t>
            </w:r>
          </w:p>
        </w:tc>
        <w:tc>
          <w:tcPr>
            <w:tcW w:w="472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储煤场位于厂内南侧，为半封闭式储煤场，占地面积36000m</w:t>
            </w:r>
            <w:r>
              <w:rPr>
                <w:rFonts w:hint="eastAsia" w:ascii="Times New Roman" w:eastAsiaTheme="minorEastAsia"/>
                <w:color w:val="000000" w:themeColor="text1"/>
                <w:kern w:val="2"/>
                <w:szCs w:val="24"/>
                <w:vertAlign w:val="superscript"/>
                <w:lang w:bidi="zh-CN"/>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，堆煤高度4m，可储煤50000吨。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28" w:type="dxa"/>
          </w:tblCellMar>
        </w:tblPrEx>
        <w:trPr>
          <w:trHeight w:val="629" w:hRule="atLeast"/>
          <w:jc w:val="center"/>
        </w:trPr>
        <w:tc>
          <w:tcPr>
            <w:tcW w:w="481"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112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氧化镁</w:t>
            </w:r>
          </w:p>
        </w:tc>
        <w:tc>
          <w:tcPr>
            <w:tcW w:w="98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240</w:t>
            </w:r>
          </w:p>
        </w:tc>
        <w:tc>
          <w:tcPr>
            <w:tcW w:w="50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固态</w:t>
            </w:r>
          </w:p>
        </w:tc>
        <w:tc>
          <w:tcPr>
            <w:tcW w:w="68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汽运</w:t>
            </w:r>
          </w:p>
        </w:tc>
        <w:tc>
          <w:tcPr>
            <w:tcW w:w="472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氧化镁暂存于</w:t>
            </w:r>
            <w:r>
              <w:rPr>
                <w:rFonts w:hint="eastAsia" w:ascii="Times New Roman" w:eastAsiaTheme="minorEastAsia"/>
                <w:color w:val="000000" w:themeColor="text1"/>
                <w:sz w:val="21"/>
                <w:szCs w:val="21"/>
                <w14:textFill>
                  <w14:solidFill>
                    <w14:schemeClr w14:val="tx1"/>
                  </w14:solidFill>
                </w14:textFill>
              </w:rPr>
              <w:t>新建锅炉房</w:t>
            </w:r>
            <w:r>
              <w:rPr>
                <w:rFonts w:ascii="Times New Roman" w:eastAsiaTheme="minorEastAsia"/>
                <w:color w:val="000000" w:themeColor="text1"/>
                <w:sz w:val="21"/>
                <w:szCs w:val="21"/>
                <w14:textFill>
                  <w14:solidFill>
                    <w14:schemeClr w14:val="tx1"/>
                  </w14:solidFill>
                </w14:textFill>
              </w:rPr>
              <w:t>脱硫药剂存放间内，最大暂存量计划存储氧化镁10t，储存7d用量。存储方式：50kg包装袋。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28" w:type="dxa"/>
          </w:tblCellMar>
        </w:tblPrEx>
        <w:trPr>
          <w:trHeight w:val="397" w:hRule="atLeast"/>
          <w:jc w:val="center"/>
        </w:trPr>
        <w:tc>
          <w:tcPr>
            <w:tcW w:w="481"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112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尿素</w:t>
            </w:r>
          </w:p>
        </w:tc>
        <w:tc>
          <w:tcPr>
            <w:tcW w:w="98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600</w:t>
            </w:r>
          </w:p>
        </w:tc>
        <w:tc>
          <w:tcPr>
            <w:tcW w:w="50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固态</w:t>
            </w:r>
          </w:p>
        </w:tc>
        <w:tc>
          <w:tcPr>
            <w:tcW w:w="68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汽运</w:t>
            </w:r>
          </w:p>
        </w:tc>
        <w:tc>
          <w:tcPr>
            <w:tcW w:w="472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尿素暂存于</w:t>
            </w:r>
            <w:r>
              <w:rPr>
                <w:rFonts w:hint="eastAsia" w:ascii="Times New Roman" w:eastAsiaTheme="minorEastAsia"/>
                <w:color w:val="000000" w:themeColor="text1"/>
                <w:sz w:val="21"/>
                <w:szCs w:val="21"/>
                <w14:textFill>
                  <w14:solidFill>
                    <w14:schemeClr w14:val="tx1"/>
                  </w14:solidFill>
                </w14:textFill>
              </w:rPr>
              <w:t>新建锅炉房</w:t>
            </w:r>
            <w:r>
              <w:rPr>
                <w:rFonts w:ascii="Times New Roman" w:eastAsiaTheme="minorEastAsia"/>
                <w:color w:val="000000" w:themeColor="text1"/>
                <w:sz w:val="21"/>
                <w:szCs w:val="21"/>
                <w14:textFill>
                  <w14:solidFill>
                    <w14:schemeClr w14:val="tx1"/>
                  </w14:solidFill>
                </w14:textFill>
              </w:rPr>
              <w:t>脱硫药剂存放间内，储存量约8t，满足锅炉7天用量。存储方式：50kg包装袋。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28" w:type="dxa"/>
          </w:tblCellMar>
        </w:tblPrEx>
        <w:trPr>
          <w:trHeight w:val="397" w:hRule="atLeast"/>
          <w:jc w:val="center"/>
        </w:trPr>
        <w:tc>
          <w:tcPr>
            <w:tcW w:w="481"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112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尿素溶液罐</w:t>
            </w:r>
          </w:p>
        </w:tc>
        <w:tc>
          <w:tcPr>
            <w:tcW w:w="98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1880</w:t>
            </w:r>
          </w:p>
        </w:tc>
        <w:tc>
          <w:tcPr>
            <w:tcW w:w="50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液态</w:t>
            </w:r>
          </w:p>
        </w:tc>
        <w:tc>
          <w:tcPr>
            <w:tcW w:w="68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自行</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制备</w:t>
            </w:r>
          </w:p>
        </w:tc>
        <w:tc>
          <w:tcPr>
            <w:tcW w:w="472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设有1个尿素溶液储罐，由1个</w:t>
            </w:r>
            <w:r>
              <w:rPr>
                <w:rFonts w:hint="eastAsia" w:ascii="Times New Roman" w:eastAsiaTheme="minorEastAsia"/>
                <w:color w:val="000000" w:themeColor="text1"/>
                <w:sz w:val="21"/>
                <w:szCs w:val="21"/>
                <w14:textFill>
                  <w14:solidFill>
                    <w14:schemeClr w14:val="tx1"/>
                  </w14:solidFill>
                </w14:textFill>
              </w:rPr>
              <w:t>5</w:t>
            </w:r>
            <w:r>
              <w:rPr>
                <w:rFonts w:ascii="Times New Roman" w:eastAsiaTheme="minorEastAsia"/>
                <w:color w:val="000000" w:themeColor="text1"/>
                <w:sz w:val="21"/>
                <w:szCs w:val="21"/>
                <w14:textFill>
                  <w14:solidFill>
                    <w14:schemeClr w14:val="tx1"/>
                  </w14:solidFill>
                </w14:textFill>
              </w:rPr>
              <w:t>m</w:t>
            </w:r>
            <w:r>
              <w:rPr>
                <w:rFonts w:ascii="Times New Roman" w:eastAsiaTheme="minorEastAsia"/>
                <w:color w:val="000000" w:themeColor="text1"/>
                <w:kern w:val="2"/>
                <w:szCs w:val="24"/>
                <w:vertAlign w:val="superscript"/>
                <w:lang w:bidi="zh-CN"/>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尿素溶解罐。存储方式：储罐。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28" w:type="dxa"/>
          </w:tblCellMar>
        </w:tblPrEx>
        <w:trPr>
          <w:trHeight w:val="397" w:hRule="atLeast"/>
          <w:jc w:val="center"/>
        </w:trPr>
        <w:tc>
          <w:tcPr>
            <w:tcW w:w="481"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112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轻柴油</w:t>
            </w:r>
          </w:p>
        </w:tc>
        <w:tc>
          <w:tcPr>
            <w:tcW w:w="98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0.05</w:t>
            </w:r>
          </w:p>
        </w:tc>
        <w:tc>
          <w:tcPr>
            <w:tcW w:w="50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液态</w:t>
            </w:r>
          </w:p>
        </w:tc>
        <w:tc>
          <w:tcPr>
            <w:tcW w:w="68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汽运</w:t>
            </w:r>
          </w:p>
        </w:tc>
        <w:tc>
          <w:tcPr>
            <w:tcW w:w="472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不在厂内储存，用时由有危险品运输资质单位负责运输，在点火作业时，柴油罐车停靠在厂内。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28" w:type="dxa"/>
          </w:tblCellMar>
        </w:tblPrEx>
        <w:trPr>
          <w:trHeight w:val="397" w:hRule="atLeast"/>
          <w:jc w:val="center"/>
        </w:trPr>
        <w:tc>
          <w:tcPr>
            <w:tcW w:w="481"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w:t>
            </w:r>
          </w:p>
        </w:tc>
        <w:tc>
          <w:tcPr>
            <w:tcW w:w="112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w:t>
            </w:r>
            <w:r>
              <w:rPr>
                <w:rFonts w:hint="eastAsia" w:ascii="Times New Roman" w:eastAsiaTheme="minorEastAsia"/>
                <w:color w:val="000000" w:themeColor="text1"/>
                <w:sz w:val="21"/>
                <w:szCs w:val="21"/>
                <w14:textFill>
                  <w14:solidFill>
                    <w14:schemeClr w14:val="tx1"/>
                  </w14:solidFill>
                </w14:textFill>
              </w:rPr>
              <w:t>离子交换</w:t>
            </w:r>
            <w:r>
              <w:rPr>
                <w:rFonts w:ascii="Times New Roman" w:eastAsiaTheme="minorEastAsia"/>
                <w:color w:val="000000" w:themeColor="text1"/>
                <w:sz w:val="21"/>
                <w:szCs w:val="21"/>
                <w14:textFill>
                  <w14:solidFill>
                    <w14:schemeClr w14:val="tx1"/>
                  </w14:solidFill>
                </w14:textFill>
              </w:rPr>
              <w:t>树脂</w:t>
            </w:r>
          </w:p>
        </w:tc>
        <w:tc>
          <w:tcPr>
            <w:tcW w:w="98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50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固态</w:t>
            </w:r>
          </w:p>
        </w:tc>
        <w:tc>
          <w:tcPr>
            <w:tcW w:w="68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汽运</w:t>
            </w:r>
          </w:p>
        </w:tc>
        <w:tc>
          <w:tcPr>
            <w:tcW w:w="472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废离子交换树脂集中收集后在厂区暂存，交由离子交换树脂生产单位进行回收处置。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28" w:type="dxa"/>
          </w:tblCellMar>
        </w:tblPrEx>
        <w:trPr>
          <w:trHeight w:val="397" w:hRule="atLeast"/>
          <w:jc w:val="center"/>
        </w:trPr>
        <w:tc>
          <w:tcPr>
            <w:tcW w:w="481"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w:t>
            </w:r>
          </w:p>
        </w:tc>
        <w:tc>
          <w:tcPr>
            <w:tcW w:w="112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锅炉灰渣</w:t>
            </w:r>
          </w:p>
        </w:tc>
        <w:tc>
          <w:tcPr>
            <w:tcW w:w="98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17497.33</w:t>
            </w:r>
          </w:p>
        </w:tc>
        <w:tc>
          <w:tcPr>
            <w:tcW w:w="50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固态</w:t>
            </w:r>
          </w:p>
        </w:tc>
        <w:tc>
          <w:tcPr>
            <w:tcW w:w="68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汽运</w:t>
            </w:r>
          </w:p>
        </w:tc>
        <w:tc>
          <w:tcPr>
            <w:tcW w:w="472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依托现有半封闭灰渣场</w:t>
            </w:r>
            <w:r>
              <w:rPr>
                <w:rFonts w:ascii="Times New Roman" w:eastAsiaTheme="minorEastAsia"/>
                <w:color w:val="000000" w:themeColor="text1"/>
                <w:sz w:val="21"/>
                <w:szCs w:val="21"/>
                <w14:textFill>
                  <w14:solidFill>
                    <w14:schemeClr w14:val="tx1"/>
                  </w14:solidFill>
                </w14:textFill>
              </w:rPr>
              <w:t>，用于锅炉灰渣等的暂存。</w:t>
            </w:r>
            <w:r>
              <w:rPr>
                <w:rFonts w:hint="eastAsia" w:ascii="Times New Roman" w:eastAsiaTheme="minorEastAsia"/>
                <w:color w:val="000000" w:themeColor="text1"/>
                <w:sz w:val="21"/>
                <w:szCs w:val="21"/>
                <w14:textFill>
                  <w14:solidFill>
                    <w14:schemeClr w14:val="tx1"/>
                  </w14:solidFill>
                </w14:textFill>
              </w:rPr>
              <w:t>位于厂区东北侧、现有锅炉房东侧，占地面积为21000m</w:t>
            </w:r>
            <w:r>
              <w:rPr>
                <w:rFonts w:hint="eastAsia" w:ascii="Times New Roman" w:eastAsiaTheme="minorEastAsia"/>
                <w:color w:val="000000" w:themeColor="text1"/>
                <w:kern w:val="2"/>
                <w:szCs w:val="24"/>
                <w:vertAlign w:val="superscript"/>
                <w:lang w:bidi="zh-CN"/>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，可存储灰渣量约为20000t，为半封闭结构。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28" w:type="dxa"/>
          </w:tblCellMar>
        </w:tblPrEx>
        <w:trPr>
          <w:trHeight w:val="397" w:hRule="atLeast"/>
          <w:jc w:val="center"/>
        </w:trPr>
        <w:tc>
          <w:tcPr>
            <w:tcW w:w="481"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w:t>
            </w:r>
          </w:p>
        </w:tc>
        <w:tc>
          <w:tcPr>
            <w:tcW w:w="112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废机油</w:t>
            </w:r>
          </w:p>
        </w:tc>
        <w:tc>
          <w:tcPr>
            <w:tcW w:w="98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0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液态</w:t>
            </w:r>
          </w:p>
        </w:tc>
        <w:tc>
          <w:tcPr>
            <w:tcW w:w="68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汽运</w:t>
            </w:r>
          </w:p>
        </w:tc>
        <w:tc>
          <w:tcPr>
            <w:tcW w:w="472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在危废贮存库暂存，后委托具有资质单位进行处置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28" w:type="dxa"/>
          </w:tblCellMar>
        </w:tblPrEx>
        <w:trPr>
          <w:trHeight w:val="397" w:hRule="atLeast"/>
          <w:jc w:val="center"/>
        </w:trPr>
        <w:tc>
          <w:tcPr>
            <w:tcW w:w="481"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w:t>
            </w:r>
          </w:p>
        </w:tc>
        <w:tc>
          <w:tcPr>
            <w:tcW w:w="112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废催化剂</w:t>
            </w:r>
          </w:p>
        </w:tc>
        <w:tc>
          <w:tcPr>
            <w:tcW w:w="98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5t/3a</w:t>
            </w:r>
          </w:p>
        </w:tc>
        <w:tc>
          <w:tcPr>
            <w:tcW w:w="50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固态</w:t>
            </w:r>
          </w:p>
        </w:tc>
        <w:tc>
          <w:tcPr>
            <w:tcW w:w="68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汽运</w:t>
            </w:r>
          </w:p>
        </w:tc>
        <w:tc>
          <w:tcPr>
            <w:tcW w:w="472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在危废贮存库暂存，后委托具有资质单位进行处置</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危废贮存库：位于原有锅炉房东侧，建筑面积</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50</w:t>
      </w:r>
      <w:r>
        <w:rPr>
          <w:rFonts w:ascii="Times New Roman" w:hAnsi="Times New Roman" w:cs="Times New Roman" w:eastAsiaTheme="minorEastAsia"/>
          <w:color w:val="000000" w:themeColor="text1"/>
          <w:sz w:val="24"/>
          <w:szCs w:val="24"/>
          <w:lang w:val="en-US"/>
          <w14:textFill>
            <w14:solidFill>
              <w14:schemeClr w14:val="tx1"/>
            </w14:solidFill>
          </w14:textFill>
        </w:rPr>
        <w:t>平方米，危废贮存库采取严格的防渗措施，防渗层为水泥地面硬化，上铺设2mm厚高密度聚乙烯，或至少2mm厚的其它人工材料，渗透系数≤10</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-10</w:t>
      </w:r>
      <w:r>
        <w:rPr>
          <w:rFonts w:ascii="Times New Roman" w:hAnsi="Times New Roman" w:cs="Times New Roman" w:eastAsiaTheme="minorEastAsia"/>
          <w:color w:val="000000" w:themeColor="text1"/>
          <w:sz w:val="24"/>
          <w:szCs w:val="24"/>
          <w:lang w:val="en-US"/>
          <w14:textFill>
            <w14:solidFill>
              <w14:schemeClr w14:val="tx1"/>
            </w14:solidFill>
          </w14:textFill>
        </w:rPr>
        <w:t>cm/s，符合《危险废物贮存污染控制标准》（GB18597-20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23</w:t>
      </w:r>
      <w:r>
        <w:rPr>
          <w:rFonts w:ascii="Times New Roman" w:hAnsi="Times New Roman" w:cs="Times New Roman" w:eastAsiaTheme="minorEastAsia"/>
          <w:color w:val="000000" w:themeColor="text1"/>
          <w:sz w:val="24"/>
          <w:szCs w:val="24"/>
          <w:lang w:val="en-US"/>
          <w14:textFill>
            <w14:solidFill>
              <w14:schemeClr w14:val="tx1"/>
            </w14:solidFill>
          </w14:textFill>
        </w:rPr>
        <w:t>）要求。</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（2）运输</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本厂区燃料、脱硫剂、炉渣、生活垃圾等均通过汽车运输进出厂。本厂不设置运输车辆，接炉渣及</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运输</w:t>
      </w:r>
      <w:r>
        <w:rPr>
          <w:rFonts w:ascii="Times New Roman" w:hAnsi="Times New Roman" w:cs="Times New Roman" w:eastAsiaTheme="minorEastAsia"/>
          <w:color w:val="000000" w:themeColor="text1"/>
          <w:sz w:val="24"/>
          <w:szCs w:val="24"/>
          <w:lang w:val="en-US"/>
          <w14:textFill>
            <w14:solidFill>
              <w14:schemeClr w14:val="tx1"/>
            </w14:solidFill>
          </w14:textFill>
        </w:rPr>
        <w:t>企业已委托给第三方负责。</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105" w:name="_Toc21645"/>
      <w:bookmarkStart w:id="106" w:name="_Toc162605169"/>
      <w:r>
        <w:rPr>
          <w:rFonts w:ascii="Times New Roman" w:hAnsi="Times New Roman" w:cs="Times New Roman" w:eastAsiaTheme="minorEastAsia"/>
          <w:color w:val="000000" w:themeColor="text1"/>
          <w:szCs w:val="24"/>
          <w:lang w:val="en-US" w:bidi="ar-SA"/>
          <w14:textFill>
            <w14:solidFill>
              <w14:schemeClr w14:val="tx1"/>
            </w14:solidFill>
          </w14:textFill>
        </w:rPr>
        <w:t>3.3施工期工程分析</w:t>
      </w:r>
      <w:bookmarkEnd w:id="105"/>
      <w:bookmarkEnd w:id="106"/>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1、废气</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施工期间废气主要为施工现场和建筑材料运输产生的扬尘。施工扬尘主要有挖掘作业时产生的扬尘、建筑材料堆放及使用时产生的扬尘、汽车运输时产生的扬尘等，主要污染物为TSP等。在施工现场，还会产生少量的汽车尾气。</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2、废水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施工期间废水主要为施工人员生活污水和施工活动自身产生的废水（混凝土养护水、建筑保养废水等）。施工人员产生的生活污水主要污染因子为COD、BOD5、SS和氨氮。施工人员人数按高峰期50人计，用水量按60L/（人·d）计，污水排放量为2.7t/d。施工活动自身产生的废水主要污染因子为SS。</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3、噪声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施工期施工机械产生的设备噪声和建筑材料运输车辆产生的交通噪声如处理不当将对施工场地周围地区的声环境产生不利影响。</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详</w:t>
      </w:r>
      <w:r>
        <w:rPr>
          <w:rFonts w:ascii="Times New Roman" w:hAnsi="Times New Roman" w:cs="Times New Roman" w:eastAsiaTheme="minorEastAsia"/>
          <w:color w:val="000000" w:themeColor="text1"/>
          <w:sz w:val="24"/>
          <w:szCs w:val="24"/>
          <w:lang w:val="en-US"/>
          <w14:textFill>
            <w14:solidFill>
              <w14:schemeClr w14:val="tx1"/>
            </w14:solidFill>
          </w14:textFill>
        </w:rPr>
        <w:t>见表3-3-1。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表3-3-1 施工机械噪声源源强</w:t>
      </w:r>
    </w:p>
    <w:tbl>
      <w:tblPr>
        <w:tblStyle w:val="7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89"/>
        <w:gridCol w:w="2734"/>
        <w:gridCol w:w="2448"/>
        <w:gridCol w:w="21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89" w:type="dxa"/>
            <w:tcBorders>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2734" w:type="dxa"/>
            <w:tcBorders>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设备名称</w:t>
            </w:r>
          </w:p>
        </w:tc>
        <w:tc>
          <w:tcPr>
            <w:tcW w:w="2448" w:type="dxa"/>
            <w:tcBorders>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测点距离（m）</w:t>
            </w:r>
          </w:p>
        </w:tc>
        <w:tc>
          <w:tcPr>
            <w:tcW w:w="2151" w:type="dxa"/>
            <w:tcBorders>
              <w:left w:val="single" w:color="auto" w:sz="6" w:space="0"/>
              <w:bottom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声级值dB(A)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89" w:type="dxa"/>
            <w:tcBorders>
              <w:top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2734" w:type="dxa"/>
            <w:tcBorders>
              <w:top w:val="single" w:color="auto" w:sz="6"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搅拌机</w:t>
            </w:r>
          </w:p>
        </w:tc>
        <w:tc>
          <w:tcPr>
            <w:tcW w:w="2448" w:type="dxa"/>
            <w:tcBorders>
              <w:top w:val="single" w:color="auto" w:sz="6"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2151" w:type="dxa"/>
            <w:tcBorders>
              <w:top w:val="single" w:color="auto" w:sz="6" w:space="0"/>
              <w:left w:val="single" w:color="auto" w:sz="6" w:space="0"/>
              <w:bottom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89" w:type="dxa"/>
            <w:tcBorders>
              <w:top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2734" w:type="dxa"/>
            <w:tcBorders>
              <w:top w:val="single" w:color="auto" w:sz="6"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挖掘机</w:t>
            </w:r>
          </w:p>
        </w:tc>
        <w:tc>
          <w:tcPr>
            <w:tcW w:w="2448" w:type="dxa"/>
            <w:tcBorders>
              <w:top w:val="single" w:color="auto" w:sz="6"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2151" w:type="dxa"/>
            <w:tcBorders>
              <w:top w:val="single" w:color="auto" w:sz="6" w:space="0"/>
              <w:left w:val="single" w:color="auto" w:sz="6" w:space="0"/>
              <w:bottom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89" w:type="dxa"/>
            <w:tcBorders>
              <w:top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2734" w:type="dxa"/>
            <w:tcBorders>
              <w:top w:val="single" w:color="auto" w:sz="6"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装载机</w:t>
            </w:r>
          </w:p>
        </w:tc>
        <w:tc>
          <w:tcPr>
            <w:tcW w:w="2448" w:type="dxa"/>
            <w:tcBorders>
              <w:top w:val="single" w:color="auto" w:sz="6"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2151" w:type="dxa"/>
            <w:tcBorders>
              <w:top w:val="single" w:color="auto" w:sz="6" w:space="0"/>
              <w:left w:val="single" w:color="auto" w:sz="6" w:space="0"/>
              <w:bottom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89" w:type="dxa"/>
            <w:tcBorders>
              <w:top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2734" w:type="dxa"/>
            <w:tcBorders>
              <w:top w:val="single" w:color="auto" w:sz="6"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振动棒</w:t>
            </w:r>
          </w:p>
        </w:tc>
        <w:tc>
          <w:tcPr>
            <w:tcW w:w="2448" w:type="dxa"/>
            <w:tcBorders>
              <w:top w:val="single" w:color="auto" w:sz="6"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2151" w:type="dxa"/>
            <w:tcBorders>
              <w:top w:val="single" w:color="auto" w:sz="6" w:space="0"/>
              <w:left w:val="single" w:color="auto" w:sz="6" w:space="0"/>
              <w:bottom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89" w:type="dxa"/>
            <w:tcBorders>
              <w:top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2734" w:type="dxa"/>
            <w:tcBorders>
              <w:top w:val="single" w:color="auto" w:sz="6"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起重机</w:t>
            </w:r>
          </w:p>
        </w:tc>
        <w:tc>
          <w:tcPr>
            <w:tcW w:w="2448" w:type="dxa"/>
            <w:tcBorders>
              <w:top w:val="single" w:color="auto" w:sz="6"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2151" w:type="dxa"/>
            <w:tcBorders>
              <w:top w:val="single" w:color="auto" w:sz="6" w:space="0"/>
              <w:left w:val="single" w:color="auto" w:sz="6" w:space="0"/>
              <w:bottom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89" w:type="dxa"/>
            <w:tcBorders>
              <w:top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w:t>
            </w:r>
          </w:p>
        </w:tc>
        <w:tc>
          <w:tcPr>
            <w:tcW w:w="2734" w:type="dxa"/>
            <w:tcBorders>
              <w:top w:val="single" w:color="auto" w:sz="6"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电锯</w:t>
            </w:r>
          </w:p>
        </w:tc>
        <w:tc>
          <w:tcPr>
            <w:tcW w:w="2448" w:type="dxa"/>
            <w:tcBorders>
              <w:top w:val="single" w:color="auto" w:sz="6" w:space="0"/>
              <w:left w:val="single" w:color="auto" w:sz="6" w:space="0"/>
              <w:bottom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2151" w:type="dxa"/>
            <w:tcBorders>
              <w:top w:val="single" w:color="auto" w:sz="6" w:space="0"/>
              <w:left w:val="single" w:color="auto" w:sz="6" w:space="0"/>
              <w:bottom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189" w:type="dxa"/>
            <w:tcBorders>
              <w:top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w:t>
            </w:r>
          </w:p>
        </w:tc>
        <w:tc>
          <w:tcPr>
            <w:tcW w:w="2734" w:type="dxa"/>
            <w:tcBorders>
              <w:top w:val="single" w:color="auto" w:sz="6" w:space="0"/>
              <w:left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卷扬机</w:t>
            </w:r>
          </w:p>
        </w:tc>
        <w:tc>
          <w:tcPr>
            <w:tcW w:w="2448" w:type="dxa"/>
            <w:tcBorders>
              <w:top w:val="single" w:color="auto" w:sz="6" w:space="0"/>
              <w:left w:val="single" w:color="auto" w:sz="6" w:space="0"/>
              <w:righ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2151" w:type="dxa"/>
            <w:tcBorders>
              <w:top w:val="single" w:color="auto" w:sz="6" w:space="0"/>
              <w:left w:val="single" w:color="auto"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4、固废</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施工期期间固体废物主要是施工产生的残土和废弃的建筑材料，以及施工人员产生的生活垃圾等。施工人员人数按高峰期50人计，生活垃圾产生量为25kg/d。施工期建筑垃圾约为20t。</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107" w:name="_Toc3809"/>
      <w:bookmarkStart w:id="108" w:name="_Toc162605170"/>
      <w:r>
        <w:rPr>
          <w:rFonts w:ascii="Times New Roman" w:hAnsi="Times New Roman" w:cs="Times New Roman" w:eastAsiaTheme="minorEastAsia"/>
          <w:color w:val="000000" w:themeColor="text1"/>
          <w:szCs w:val="24"/>
          <w:lang w:val="en-US" w:bidi="ar-SA"/>
          <w14:textFill>
            <w14:solidFill>
              <w14:schemeClr w14:val="tx1"/>
            </w14:solidFill>
          </w14:textFill>
        </w:rPr>
        <w:t>3.4营运期工程分析</w:t>
      </w:r>
      <w:bookmarkEnd w:id="107"/>
      <w:bookmarkEnd w:id="108"/>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09" w:name="_Toc21560"/>
      <w:r>
        <w:rPr>
          <w:rFonts w:ascii="Times New Roman" w:hAnsi="Times New Roman" w:eastAsia="新宋体" w:cstheme="minorBidi"/>
          <w:color w:val="000000" w:themeColor="text1"/>
          <w:szCs w:val="24"/>
          <w:lang w:val="en-US" w:bidi="ar-SA"/>
          <w14:textFill>
            <w14:solidFill>
              <w14:schemeClr w14:val="tx1"/>
            </w14:solidFill>
          </w14:textFill>
        </w:rPr>
        <w:t>3.4.1 工艺流程</w:t>
      </w:r>
      <w:bookmarkEnd w:id="109"/>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3.4.1.1 锅炉运行工艺流程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本项目为集中供热工程，运行期锅炉房工艺流程详见下图：</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91"/>
        <w:ind w:firstLine="360"/>
        <w:rPr>
          <w:rFonts w:cs="Times New Roman" w:eastAsiaTheme="minorEastAsia"/>
          <w:snapToGrid w:val="0"/>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27872" behindDoc="0" locked="0" layoutInCell="1" allowOverlap="1">
            <wp:simplePos x="0" y="0"/>
            <wp:positionH relativeFrom="column">
              <wp:posOffset>70485</wp:posOffset>
            </wp:positionH>
            <wp:positionV relativeFrom="paragraph">
              <wp:posOffset>-186690</wp:posOffset>
            </wp:positionV>
            <wp:extent cx="8855710" cy="4979670"/>
            <wp:effectExtent l="0" t="0" r="2540" b="11430"/>
            <wp:wrapNone/>
            <wp:docPr id="9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5"/>
                    <pic:cNvPicPr>
                      <a:picLocks noChangeAspect="1"/>
                    </pic:cNvPicPr>
                  </pic:nvPicPr>
                  <pic:blipFill>
                    <a:blip r:embed="rId37"/>
                    <a:stretch>
                      <a:fillRect/>
                    </a:stretch>
                  </pic:blipFill>
                  <pic:spPr>
                    <a:xfrm>
                      <a:off x="0" y="0"/>
                      <a:ext cx="8855710" cy="4979670"/>
                    </a:xfrm>
                    <a:prstGeom prst="rect">
                      <a:avLst/>
                    </a:prstGeom>
                    <a:noFill/>
                    <a:ln>
                      <a:noFill/>
                    </a:ln>
                  </pic:spPr>
                </pic:pic>
              </a:graphicData>
            </a:graphic>
          </wp:anchor>
        </w:drawing>
      </w: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1382"/>
        <w:ind w:firstLine="180"/>
        <w:rPr>
          <w:color w:val="000000" w:themeColor="text1"/>
          <w14:textFill>
            <w14:solidFill>
              <w14:schemeClr w14:val="tx1"/>
            </w14:solidFill>
          </w14:textFill>
        </w:rPr>
      </w:pPr>
    </w:p>
    <w:p>
      <w:pPr>
        <w:pStyle w:val="1382"/>
        <w:ind w:firstLine="180"/>
        <w:rPr>
          <w:color w:val="000000" w:themeColor="text1"/>
          <w14:textFill>
            <w14:solidFill>
              <w14:schemeClr w14:val="tx1"/>
            </w14:solidFill>
          </w14:textFill>
        </w:rPr>
      </w:pPr>
    </w:p>
    <w:p>
      <w:pPr>
        <w:pStyle w:val="1382"/>
        <w:ind w:firstLine="180"/>
        <w:rPr>
          <w:color w:val="000000" w:themeColor="text1"/>
          <w14:textFill>
            <w14:solidFill>
              <w14:schemeClr w14:val="tx1"/>
            </w14:solidFill>
          </w14:textFill>
        </w:rPr>
      </w:pPr>
    </w:p>
    <w:p>
      <w:pPr>
        <w:pStyle w:val="1382"/>
        <w:ind w:firstLine="180"/>
        <w:rPr>
          <w:color w:val="000000" w:themeColor="text1"/>
          <w14:textFill>
            <w14:solidFill>
              <w14:schemeClr w14:val="tx1"/>
            </w14:solidFill>
          </w14:textFill>
        </w:rPr>
      </w:pPr>
    </w:p>
    <w:p>
      <w:pPr>
        <w:pStyle w:val="1382"/>
        <w:ind w:firstLine="180"/>
        <w:rPr>
          <w:color w:val="000000" w:themeColor="text1"/>
          <w14:textFill>
            <w14:solidFill>
              <w14:schemeClr w14:val="tx1"/>
            </w14:solidFill>
          </w14:textFill>
        </w:rPr>
      </w:pPr>
    </w:p>
    <w:p>
      <w:pPr>
        <w:pStyle w:val="1382"/>
        <w:ind w:firstLine="180"/>
        <w:rPr>
          <w:color w:val="000000" w:themeColor="text1"/>
          <w14:textFill>
            <w14:solidFill>
              <w14:schemeClr w14:val="tx1"/>
            </w14:solidFill>
          </w14:textFill>
        </w:rPr>
      </w:pPr>
    </w:p>
    <w:p>
      <w:pPr>
        <w:pStyle w:val="1382"/>
        <w:ind w:firstLine="180"/>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r>
        <w:rPr>
          <w:rFonts w:ascii="Times New Roman" w:hAnsiTheme="minorEastAsia" w:eastAsiaTheme="minorEastAsia"/>
          <w:b/>
          <w:bCs/>
          <w:color w:val="000000" w:themeColor="text1"/>
          <w:szCs w:val="24"/>
          <w14:textFill>
            <w14:solidFill>
              <w14:schemeClr w14:val="tx1"/>
            </w14:solidFill>
          </w14:textFill>
        </w:rPr>
        <w:t>图3-4-1 锅炉运行工艺流程图</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工艺流程简述：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锅炉房运行的主要工艺流程主要包括上煤系统、燃烧系统、补水系统、废气净化系统及排污等。上煤部分首先在封闭煤场内由铲车将煤运送至提升机处，之后经皮带等输送进入锅炉炉膛中进行燃烧，转换为热能，把水加热成高温热水直接用于供热。锅炉产生的烟气经脱硝、除尘器除尘和烟气脱硫系统净化后，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100</w:t>
      </w:r>
      <w:r>
        <w:rPr>
          <w:rFonts w:ascii="Times New Roman" w:hAnsi="Times New Roman" w:cs="Times New Roman" w:eastAsiaTheme="minorEastAsia"/>
          <w:color w:val="000000" w:themeColor="text1"/>
          <w:sz w:val="24"/>
          <w:szCs w:val="24"/>
          <w:lang w:val="en-US"/>
          <w14:textFill>
            <w14:solidFill>
              <w14:schemeClr w14:val="tx1"/>
            </w14:solidFill>
          </w14:textFill>
        </w:rPr>
        <w:t>米高烟囱高空排放；除尘器收集的除尘灰经除灰系统排入封闭</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灰渣仓</w:t>
      </w:r>
      <w:r>
        <w:rPr>
          <w:rFonts w:ascii="Times New Roman" w:hAnsi="Times New Roman" w:cs="Times New Roman" w:eastAsiaTheme="minorEastAsia"/>
          <w:color w:val="000000" w:themeColor="text1"/>
          <w:sz w:val="24"/>
          <w:szCs w:val="24"/>
          <w:lang w:val="en-US"/>
          <w14:textFill>
            <w14:solidFill>
              <w14:schemeClr w14:val="tx1"/>
            </w14:solidFill>
          </w14:textFill>
        </w:rPr>
        <w:t>暂存；锅炉定期排水用于厂区冲渣。锅炉用水取自厂区原有自来水，采用钠离子交换器的方式制备软化水。锅炉内热水加热到130℃后经一次网送至用户换热站，与用户返回的低温水进行交换，经热交换后一次网内水返回锅炉房再进行加热。用户低温水经换热后送至用户供热。</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3.4.1.2 软水制备工艺流程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锅炉长时间使用硬水会对炉壁造成损坏，缩短锅炉寿命，锅炉用水必须经软化后进入锅炉。</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根据厂区附近的市政管网情况，锅炉补给水的水源采用市政自来水。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软化水</w:t>
      </w:r>
      <w:r>
        <w:rPr>
          <w:rFonts w:ascii="Times New Roman" w:hAnsi="Times New Roman" w:cs="Times New Roman" w:eastAsiaTheme="minorEastAsia"/>
          <w:color w:val="000000" w:themeColor="text1"/>
          <w:sz w:val="24"/>
          <w:szCs w:val="24"/>
          <w:lang w:val="en-US"/>
          <w14:textFill>
            <w14:solidFill>
              <w14:schemeClr w14:val="tx1"/>
            </w14:solidFill>
          </w14:textFill>
        </w:rPr>
        <w:t>处理工艺流程如下：供水管网→储水池→除铁、除锰→水泵→钠离子交换器→软化水箱→软化水泵→锅炉。</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锅炉补充水的软化装置采用新型的LDZN（S）1000/40-B型微电脑全自动钠离子交换器，该产品两个交换柱在微机的指令下，由多功能集成阀引导，一柱产水，另一柱完成松床、再生、置换、清洗等辅助作业，实现两柱交替运行，连续产水。从根本上杜绝因人工操作失误造成故障的可能性，提高了运行的安全性。本</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项目</w:t>
      </w:r>
      <w:r>
        <w:rPr>
          <w:rFonts w:ascii="Times New Roman" w:hAnsi="Times New Roman" w:cs="Times New Roman" w:eastAsiaTheme="minorEastAsia"/>
          <w:color w:val="000000" w:themeColor="text1"/>
          <w:sz w:val="24"/>
          <w:szCs w:val="24"/>
          <w:lang w:val="en-US"/>
          <w14:textFill>
            <w14:solidFill>
              <w14:schemeClr w14:val="tx1"/>
            </w14:solidFill>
          </w14:textFill>
        </w:rPr>
        <w:t>已设置全自动纳离子交换器一台，最大处理量为100~120t/h。</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3.4.1.3 脱硫工艺流程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脱硫采用塔式脱硫除尘器：脱硫吸收塔采用双模脱硫技术，即；超强湍流发生器+喷淋装置的双模装置，本项目采用湿法脱硫，氧化镁作为吸收剂，其特点是技术成熟，煤种适应性强，根据《污染源源强核算技术指南 锅炉》（HJ991-2018）氧化镁法脱硫效率为90-99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，副产品能回收利用。本次环评在报告中对项目安装的湿式镁法脱硫效率按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95</w:t>
      </w:r>
      <w:r>
        <w:rPr>
          <w:rFonts w:ascii="Times New Roman" w:hAnsi="Times New Roman" w:cs="Times New Roman" w:eastAsiaTheme="minorEastAsia"/>
          <w:color w:val="000000" w:themeColor="text1"/>
          <w:sz w:val="24"/>
          <w:szCs w:val="24"/>
          <w:lang w:val="en-US"/>
          <w14:textFill>
            <w14:solidFill>
              <w14:schemeClr w14:val="tx1"/>
            </w14:solidFill>
          </w14:textFill>
        </w:rPr>
        <w:t>%计算。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脱硫塔水路：送浆水泵（加脱硫原浆液）——脱硫循环水池——循环水泵——脱硫液输送管道——新建脱硫塔——脱硫循环水池。</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脱硫产物分离：脱硫塔——脱硫循环水池——曝气——沉淀物用板式压滤机压滤固液分离。</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工艺流程图如下。</w:t>
      </w:r>
    </w:p>
    <w:p>
      <w:pPr>
        <w:ind w:firstLine="180"/>
        <w:rPr>
          <w:rFonts w:cs="Times New Roman" w:eastAsiaTheme="minorEastAsia"/>
          <w:color w:val="000000" w:themeColor="text1"/>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mc:AlternateContent>
          <mc:Choice Requires="wps">
            <w:drawing>
              <wp:anchor distT="0" distB="0" distL="114300" distR="114300" simplePos="0" relativeHeight="251750400" behindDoc="0" locked="0" layoutInCell="1" allowOverlap="1">
                <wp:simplePos x="0" y="0"/>
                <wp:positionH relativeFrom="column">
                  <wp:posOffset>2630170</wp:posOffset>
                </wp:positionH>
                <wp:positionV relativeFrom="paragraph">
                  <wp:posOffset>1528445</wp:posOffset>
                </wp:positionV>
                <wp:extent cx="1103630" cy="1403985"/>
                <wp:effectExtent l="0" t="0" r="1270" b="2540"/>
                <wp:wrapNone/>
                <wp:docPr id="30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103630" cy="1403985"/>
                        </a:xfrm>
                        <a:prstGeom prst="rect">
                          <a:avLst/>
                        </a:prstGeom>
                        <a:solidFill>
                          <a:srgbClr val="FFFFFF"/>
                        </a:solidFill>
                        <a:ln w="9525">
                          <a:noFill/>
                          <a:miter lim="800000"/>
                        </a:ln>
                      </wps:spPr>
                      <wps:txbx>
                        <w:txbxContent>
                          <w:p>
                            <w:pPr>
                              <w:ind w:firstLine="180"/>
                            </w:pPr>
                            <w:r>
                              <w:rPr>
                                <w:rFonts w:hint="eastAsia"/>
                              </w:rPr>
                              <w:t>中和沉淀+絮凝</w:t>
                            </w: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文本框 2" o:spid="_x0000_s1026" o:spt="202" type="#_x0000_t202" style="position:absolute;left:0pt;margin-left:207.1pt;margin-top:120.35pt;height:110.55pt;width:86.9pt;z-index:251750400;mso-width-relative:page;mso-height-relative:margin;mso-height-percent:200;" fillcolor="#FFFFFF" filled="t" stroked="f" coordsize="21600,21600" o:gfxdata="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PGXIjbZAAAACwEAAA8AAAAAAAAAAQAgAAAAIgAAAGRycy9k&#10;b3ducmV2LnhtbFBLAQIUABQAAAAIAIdO4kB/fjLpOgIAAFUEAAAOAAAAAAAAAAEAIAAAACgBAABk&#10;cnMvZTJvRG9jLnhtbFBLBQYAAAAABgAGAFkBAADUBQAAAAA=&#10;">
                <v:fill on="t" focussize="0,0"/>
                <v:stroke on="f" miterlimit="8" joinstyle="miter"/>
                <v:imagedata o:title=""/>
                <o:lock v:ext="edit" aspectratio="f"/>
                <v:textbox style="mso-fit-shape-to-text:t;">
                  <w:txbxContent>
                    <w:p>
                      <w:pPr>
                        <w:ind w:firstLine="180"/>
                      </w:pPr>
                      <w:r>
                        <w:rPr>
                          <w:rFonts w:hint="eastAsia"/>
                        </w:rPr>
                        <w:t>中和沉淀+絮凝</w:t>
                      </w:r>
                    </w:p>
                  </w:txbxContent>
                </v:textbox>
              </v:shape>
            </w:pict>
          </mc:Fallback>
        </mc:AlternateContent>
      </w:r>
      <w:r>
        <w:rPr>
          <w:color w:val="000000" w:themeColor="text1"/>
          <w:lang w:val="en-US" w:bidi="ar-SA"/>
          <w14:textFill>
            <w14:solidFill>
              <w14:schemeClr w14:val="tx1"/>
            </w14:solidFill>
          </w14:textFill>
        </w:rPr>
        <w:drawing>
          <wp:inline distT="0" distB="0" distL="114300" distR="114300">
            <wp:extent cx="4538345" cy="2465705"/>
            <wp:effectExtent l="0" t="0" r="14605" b="10795"/>
            <wp:docPr id="9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4"/>
                    <pic:cNvPicPr>
                      <a:picLocks noChangeAspect="1"/>
                    </pic:cNvPicPr>
                  </pic:nvPicPr>
                  <pic:blipFill>
                    <a:blip r:embed="rId38"/>
                    <a:stretch>
                      <a:fillRect/>
                    </a:stretch>
                  </pic:blipFill>
                  <pic:spPr>
                    <a:xfrm>
                      <a:off x="0" y="0"/>
                      <a:ext cx="4538345" cy="2465705"/>
                    </a:xfrm>
                    <a:prstGeom prst="rect">
                      <a:avLst/>
                    </a:prstGeom>
                    <a:noFill/>
                    <a:ln>
                      <a:noFill/>
                    </a:ln>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图3-4-2 脱硫工艺流程图</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3.4.1.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4</w:t>
      </w:r>
      <w:r>
        <w:rPr>
          <w:rFonts w:ascii="Times New Roman" w:hAnsi="Times New Roman" w:cs="Times New Roman" w:eastAsiaTheme="minorEastAsia"/>
          <w:color w:val="000000" w:themeColor="text1"/>
          <w:sz w:val="24"/>
          <w:szCs w:val="24"/>
          <w:lang w:val="en-US" w:bidi="ar-SA"/>
          <w14:textFill>
            <w14:solidFill>
              <w14:schemeClr w14:val="tx1"/>
            </w14:solidFill>
          </w14:textFill>
        </w:rPr>
        <w:t xml:space="preserve"> </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脱硝</w:t>
      </w:r>
      <w:r>
        <w:rPr>
          <w:rFonts w:ascii="Times New Roman" w:hAnsi="Times New Roman" w:cs="Times New Roman" w:eastAsiaTheme="minorEastAsia"/>
          <w:color w:val="000000" w:themeColor="text1"/>
          <w:sz w:val="24"/>
          <w:szCs w:val="24"/>
          <w:lang w:val="en-US" w:bidi="ar-SA"/>
          <w14:textFill>
            <w14:solidFill>
              <w14:schemeClr w14:val="tx1"/>
            </w14:solidFill>
          </w14:textFill>
        </w:rPr>
        <w:t>工艺流程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本项目新建锅炉脱硝工艺采用SNCR-SCR联合脱硝工艺。</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SNCR法脱硝采用固体尿素作为还原剂，SCR法脱硝采用V2O5等活性物质作为催化剂。联合SNCR-SCR工艺具有2个反应区，通过布置在锅炉炉墙上的喷射系统，首先将还原剂喷入第一个反应区炉膛，在高温下，还原剂与烟气中的NOX在没有催化剂参与的情况下发生还原反应，实现初步脱氮。然后未反应完全的还原剂进入混合工艺的第二个反应区SCR反应器，再有催化剂的情况下进一步脱氮。联合SNCR-SCR工艺主要的改进就是省去了SCR工艺设置在烟道的复杂氨喷射隔栅系统，并大幅度减少了催化剂的用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脱硝工艺流程：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首先将尿素溶解制备成50%浓度的溶液，经输送泵输送至尿素储罐。储罐中的尿素溶液经计量稀释模块稀释成5-15%（浓度可调节）的溶液后被分配至每杆喷枪，喷入炉膛特定窗口（850℃—1100℃）与烟气充分混合反应，将烟气中的NOx还原为氮气分子（N</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）和水蒸气，最终达到脱除NOx的目的。</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以尿素为还原剂其在SNCR工艺中主要化学反应式为：</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CO(NH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—2NH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+CO</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NH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+NO—N</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O</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CO+NO—N</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+CO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然后未反应完全的还原剂经过热解进入混合工艺的第二个反应区SCR反应器，在催化</w:t>
      </w:r>
      <w:r>
        <w:rPr>
          <w:rFonts w:ascii="Times New Roman" w:hAnsi="Times New Roman" w:cs="Times New Roman" w:eastAsiaTheme="minorEastAsia"/>
          <w:color w:val="000000" w:themeColor="text1"/>
          <w:sz w:val="24"/>
          <w:szCs w:val="24"/>
          <w:lang w:val="en-US"/>
          <w14:textFill>
            <w14:solidFill>
              <w14:schemeClr w14:val="tx1"/>
            </w14:solidFill>
          </w14:textFill>
        </w:rPr>
        <w:t>剂的作用下将NO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X</w:t>
      </w:r>
      <w:r>
        <w:rPr>
          <w:rFonts w:ascii="Times New Roman" w:hAnsi="Times New Roman" w:cs="Times New Roman" w:eastAsiaTheme="minorEastAsia"/>
          <w:color w:val="000000" w:themeColor="text1"/>
          <w:sz w:val="24"/>
          <w:szCs w:val="24"/>
          <w:lang w:val="en-US"/>
          <w14:textFill>
            <w14:solidFill>
              <w14:schemeClr w14:val="tx1"/>
            </w14:solidFill>
          </w14:textFill>
        </w:rPr>
        <w:t>(主要是NO)还原为对大气没有多少影响的N</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和水。在SCR反应器内，NO通过以下反应被还原：</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4NO+4NH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+O2→3N</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+6H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O</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6NO+4NH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→5N</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+6H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O</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在锅炉的烟气中，NO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一般约占总的NO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X</w:t>
      </w:r>
      <w:r>
        <w:rPr>
          <w:rFonts w:ascii="Times New Roman" w:hAnsi="Times New Roman" w:cs="Times New Roman" w:eastAsiaTheme="minorEastAsia"/>
          <w:color w:val="000000" w:themeColor="text1"/>
          <w:sz w:val="24"/>
          <w:szCs w:val="24"/>
          <w:lang w:val="en-US"/>
          <w14:textFill>
            <w14:solidFill>
              <w14:schemeClr w14:val="tx1"/>
            </w14:solidFill>
          </w14:textFill>
        </w:rPr>
        <w:t>浓度的5%，NO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参与的反应如下：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+4NH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→3N</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+6H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O</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6NO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+8NH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→7N</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+12H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O</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上面两个反应表明还原NO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比还原NO需要更多的氨。</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本设计中选用平板式烟气脱硝催化剂，SCR反应器布置在锅炉省煤器出口合适位置处（310℃～420℃），平板式催化剂为双层布置，出口氮氧化物排放浓度：</w:t>
      </w:r>
      <w:r>
        <w:rPr>
          <w:rFonts w:ascii="Times New Roman" w:hAnsi="Times New Roman" w:cs="Times New Roman" w:eastAsiaTheme="minorEastAsia"/>
          <w:color w:val="000000" w:themeColor="text1"/>
          <w:sz w:val="24"/>
          <w:szCs w:val="24"/>
          <w:lang w:val="en-US"/>
          <w14:textFill>
            <w14:solidFill>
              <w14:schemeClr w14:val="tx1"/>
            </w14:solidFill>
          </w14:textFill>
        </w:rPr>
        <w:t>≤50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mg/Nm</w:t>
      </w:r>
      <w:r>
        <w:rPr>
          <w:rFonts w:ascii="Times New Roman" w:hAnsi="Times New Roman" w:cs="Times New Roman" w:eastAsiaTheme="minorEastAsia"/>
          <w:color w:val="000000" w:themeColor="text1"/>
          <w:sz w:val="24"/>
          <w:szCs w:val="24"/>
          <w:lang w:val="en-US"/>
          <w14:textFill>
            <w14:solidFill>
              <w14:schemeClr w14:val="tx1"/>
            </w14:solidFill>
          </w14:textFill>
        </w:rPr>
        <w:t>³</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制氨工艺的原理和流程，储存于缓冲罐中的浓度为5-15%左右的尿素溶液，通过计量分配模块精准地分配至每把喷枪，喷入锅炉炉膛内部达到脱硝效果。系统主要组成部分：喷淋泵、喷淋管道、计量分配模块、喷枪等。本项目采用低氮燃烧+联合SNCR-SCR工艺脱硝效率取值80%。</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10" w:name="_Toc3906"/>
      <w:r>
        <w:rPr>
          <w:rFonts w:ascii="Times New Roman" w:hAnsi="Times New Roman" w:eastAsia="新宋体" w:cstheme="minorBidi"/>
          <w:color w:val="000000" w:themeColor="text1"/>
          <w:szCs w:val="24"/>
          <w:lang w:val="en-US" w:bidi="ar-SA"/>
          <w14:textFill>
            <w14:solidFill>
              <w14:schemeClr w14:val="tx1"/>
            </w14:solidFill>
          </w14:textFill>
        </w:rPr>
        <w:t>3.4.2 污染工序分析</w:t>
      </w:r>
      <w:bookmarkEnd w:id="110"/>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根据对拟建工程生产工艺过程的分析，可以看出燃煤锅炉运行时可能产生污染物的生产环节如下：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（1）燃煤运输、贮存、输送过程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项目区原有输煤系统的筛分、破碎、输送环节采用封闭措施，环锤破碎机和振动筛完全封闭于室内，产生的煤尘不外泄；输送过程采用封闭煤廊带式输送机输送。本项目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建设半</w:t>
      </w:r>
      <w:r>
        <w:rPr>
          <w:rFonts w:ascii="Times New Roman" w:hAnsi="Times New Roman" w:cs="Times New Roman" w:eastAsiaTheme="minorEastAsia"/>
          <w:color w:val="000000" w:themeColor="text1"/>
          <w:sz w:val="24"/>
          <w:szCs w:val="24"/>
          <w:lang w:val="en-US"/>
          <w14:textFill>
            <w14:solidFill>
              <w14:schemeClr w14:val="tx1"/>
            </w14:solidFill>
          </w14:textFill>
        </w:rPr>
        <w:t>封闭</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储煤场，燃煤贮存、装卸及输送时会产生颗粒物</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燃煤装卸及运输时会产生噪声。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（2）燃烧过程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燃料煤在锅炉内燃烧过程产生的烟气经烟气净化设施、烟道、烟囱排入环境空气。在该过程中，可能产生烟气污染物、生产废水及灰渣，一些机械转动设备，如风机等可能产生噪声；锅炉启动及事故排气时可能产生排气噪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（3）软化水处理间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软化水处理过程主要是为锅炉正常运行提供水质合格的工业补给水，在该过程中通过若干化学处理过程对原水进行处理时，会产生一定量的软化水处理系统浓水和废离子交换树脂；机械运行会产生设备噪声。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（4）除灰渣过程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除灰渣过程中将产生锅炉飞灰和炉渣；灰渣贮存及装卸运输过程中，若管理不当或在不利气象条件下，可能产生扬尘。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（5）脱硫过程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脱硫过程中会产生脱硫废水、脱硫渣；另外脱硫系统风机、浆液循环泵运行过程中会产生设备噪声。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（6）脱硝过程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本项目脱硝过程会产生</w:t>
      </w:r>
      <w:r>
        <w:rPr>
          <w:rFonts w:ascii="Times New Roman" w:hAnsi="Times New Roman" w:cs="Times New Roman" w:eastAsiaTheme="minorEastAsia"/>
          <w:color w:val="000000" w:themeColor="text1"/>
          <w:sz w:val="24"/>
          <w:szCs w:val="24"/>
          <w:lang w:val="en-US"/>
          <w14:textFill>
            <w14:solidFill>
              <w14:schemeClr w14:val="tx1"/>
            </w14:solidFill>
          </w14:textFill>
        </w:rPr>
        <w:t>NH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和废脱硝催化剂；设备运行会产生设备噪声。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（7）除尘过程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本项目1台</w:t>
      </w:r>
      <w:r>
        <w:rPr>
          <w:rFonts w:ascii="Times New Roman" w:hAnsi="Times New Roman" w:cs="Times New Roman" w:eastAsiaTheme="minorEastAsia"/>
          <w:color w:val="000000" w:themeColor="text1"/>
          <w:sz w:val="24"/>
          <w:szCs w:val="24"/>
          <w:lang w:val="en-US"/>
          <w14:textFill>
            <w14:solidFill>
              <w14:schemeClr w14:val="tx1"/>
            </w14:solidFill>
          </w14:textFill>
        </w:rPr>
        <w:t>70MW</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热水锅炉除尘过程中会产生废布袋。</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11" w:name="_Toc10595"/>
      <w:r>
        <w:rPr>
          <w:rFonts w:ascii="Times New Roman" w:hAnsi="Times New Roman" w:eastAsia="新宋体" w:cstheme="minorBidi"/>
          <w:color w:val="000000" w:themeColor="text1"/>
          <w:szCs w:val="24"/>
          <w:lang w:val="en-US" w:bidi="ar-SA"/>
          <w14:textFill>
            <w14:solidFill>
              <w14:schemeClr w14:val="tx1"/>
            </w14:solidFill>
          </w14:textFill>
        </w:rPr>
        <w:t>3.4.3 污染因素分析</w:t>
      </w:r>
      <w:bookmarkEnd w:id="111"/>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1、废气污染物</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废气污染物存在于锅炉燃烧产生的烟气中，主要的废气污染物为颗粒物、SO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、NOx。燃煤储存、破碎、输送过程会产生粉尘。此外，尿素在常温长时间储存时，部分游离氨会少量挥发。</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2、废水污染物</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本项目废水主要来自于软化水系统产生的浓缩水、锅炉排水、员工生活污水等。其中：软化水系统产生的浓缩水中的主要污染物为pH、SS，含盐类。锅炉排水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及脱硫废水</w:t>
      </w:r>
      <w:r>
        <w:rPr>
          <w:rFonts w:ascii="Times New Roman" w:hAnsi="Times New Roman" w:cs="Times New Roman" w:eastAsiaTheme="minorEastAsia"/>
          <w:color w:val="000000" w:themeColor="text1"/>
          <w:sz w:val="24"/>
          <w:szCs w:val="24"/>
          <w:lang w:val="en-US"/>
          <w14:textFill>
            <w14:solidFill>
              <w14:schemeClr w14:val="tx1"/>
            </w14:solidFill>
          </w14:textFill>
        </w:rPr>
        <w:t>中的主要污染因子为SS，含盐类。生活污水中的主要污染因子为COD、BOD</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5</w:t>
      </w:r>
      <w:r>
        <w:rPr>
          <w:rFonts w:ascii="Times New Roman" w:hAnsi="Times New Roman" w:cs="Times New Roman" w:eastAsiaTheme="minorEastAsia"/>
          <w:color w:val="000000" w:themeColor="text1"/>
          <w:sz w:val="24"/>
          <w:szCs w:val="24"/>
          <w:lang w:val="en-US"/>
          <w14:textFill>
            <w14:solidFill>
              <w14:schemeClr w14:val="tx1"/>
            </w14:solidFill>
          </w14:textFill>
        </w:rPr>
        <w:t>、氨氮等。</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3、噪声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本项目各种设备的噪声值范围约为80～95dB（A）。噪声源包括碎煤机、空压机、各种风机、泵，以及物料装卸、转运过程中的机械、运输噪声等。</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4、固体废物</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本项目固体废物包括灰渣、脱硫渣、</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废机油、废布袋、</w:t>
      </w:r>
      <w:r>
        <w:rPr>
          <w:rFonts w:ascii="Times New Roman" w:hAnsi="Times New Roman" w:cs="Times New Roman" w:eastAsiaTheme="minorEastAsia"/>
          <w:color w:val="000000" w:themeColor="text1"/>
          <w:sz w:val="24"/>
          <w:szCs w:val="24"/>
          <w:lang w:val="en-US"/>
          <w14:textFill>
            <w14:solidFill>
              <w14:schemeClr w14:val="tx1"/>
            </w14:solidFill>
          </w14:textFill>
        </w:rPr>
        <w:t>员工生活垃圾</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等</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表3-4-1  本项目运营期主要污染源和污染物一览表</w:t>
      </w:r>
    </w:p>
    <w:tbl>
      <w:tblPr>
        <w:tblStyle w:val="7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9"/>
        <w:gridCol w:w="1323"/>
        <w:gridCol w:w="1364"/>
        <w:gridCol w:w="1422"/>
        <w:gridCol w:w="373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3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7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生产过程</w:t>
            </w:r>
          </w:p>
        </w:tc>
        <w:tc>
          <w:tcPr>
            <w:tcW w:w="8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w:t>
            </w:r>
          </w:p>
        </w:tc>
        <w:tc>
          <w:tcPr>
            <w:tcW w:w="8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类别</w:t>
            </w:r>
          </w:p>
        </w:tc>
        <w:tc>
          <w:tcPr>
            <w:tcW w:w="219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77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煤炭储存和输送过程</w:t>
            </w:r>
          </w:p>
        </w:tc>
        <w:tc>
          <w:tcPr>
            <w:tcW w:w="8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储煤场、</w:t>
            </w:r>
            <w:r>
              <w:rPr>
                <w:rFonts w:ascii="Times New Roman" w:eastAsiaTheme="minorEastAsia"/>
                <w:color w:val="000000" w:themeColor="text1"/>
                <w:sz w:val="21"/>
                <w:szCs w:val="21"/>
                <w14:textFill>
                  <w14:solidFill>
                    <w14:schemeClr w14:val="tx1"/>
                  </w14:solidFill>
                </w14:textFill>
              </w:rPr>
              <w:t>输煤系统</w:t>
            </w:r>
          </w:p>
        </w:tc>
        <w:tc>
          <w:tcPr>
            <w:tcW w:w="8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废气和噪声</w:t>
            </w:r>
          </w:p>
        </w:tc>
        <w:tc>
          <w:tcPr>
            <w:tcW w:w="219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粉尘、噪声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3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7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破碎</w:t>
            </w:r>
            <w:r>
              <w:rPr>
                <w:rFonts w:hint="eastAsia" w:ascii="Times New Roman" w:eastAsiaTheme="minorEastAsia"/>
                <w:color w:val="000000" w:themeColor="text1"/>
                <w:sz w:val="21"/>
                <w:szCs w:val="21"/>
                <w14:textFill>
                  <w14:solidFill>
                    <w14:schemeClr w14:val="tx1"/>
                  </w14:solidFill>
                </w14:textFill>
              </w:rPr>
              <w:t>间</w:t>
            </w:r>
          </w:p>
        </w:tc>
        <w:tc>
          <w:tcPr>
            <w:tcW w:w="8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废气和噪声</w:t>
            </w:r>
          </w:p>
        </w:tc>
        <w:tc>
          <w:tcPr>
            <w:tcW w:w="219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粉尘、噪声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3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7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灰渣场</w:t>
            </w:r>
          </w:p>
        </w:tc>
        <w:tc>
          <w:tcPr>
            <w:tcW w:w="8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废气</w:t>
            </w:r>
          </w:p>
        </w:tc>
        <w:tc>
          <w:tcPr>
            <w:tcW w:w="219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粉尘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4" w:hRule="exact"/>
        </w:trPr>
        <w:tc>
          <w:tcPr>
            <w:tcW w:w="39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77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燃烧过程</w:t>
            </w:r>
          </w:p>
        </w:tc>
        <w:tc>
          <w:tcPr>
            <w:tcW w:w="800"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w:t>
            </w:r>
          </w:p>
        </w:tc>
        <w:tc>
          <w:tcPr>
            <w:tcW w:w="8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废气</w:t>
            </w:r>
          </w:p>
        </w:tc>
        <w:tc>
          <w:tcPr>
            <w:tcW w:w="219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颗粒物、SO</w:t>
            </w:r>
            <w:r>
              <w:rPr>
                <w:rFonts w:ascii="Times New Roman" w:eastAsiaTheme="minorEastAsia"/>
                <w:color w:val="000000" w:themeColor="text1"/>
                <w:sz w:val="21"/>
                <w:szCs w:val="21"/>
                <w:vertAlign w:val="subscript"/>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、NOx、氨、汞及其化合物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3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7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0"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固废和噪声</w:t>
            </w:r>
          </w:p>
        </w:tc>
        <w:tc>
          <w:tcPr>
            <w:tcW w:w="219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飞灰、炉渣</w:t>
            </w:r>
            <w:r>
              <w:rPr>
                <w:rFonts w:ascii="Times New Roman" w:eastAsiaTheme="minorEastAsia"/>
                <w:color w:val="000000" w:themeColor="text1"/>
                <w:sz w:val="21"/>
                <w:szCs w:val="21"/>
                <w14:textFill>
                  <w14:solidFill>
                    <w14:schemeClr w14:val="tx1"/>
                  </w14:solidFill>
                </w14:textFill>
              </w:rPr>
              <w:t>和噪声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10" w:hRule="exact"/>
        </w:trPr>
        <w:tc>
          <w:tcPr>
            <w:tcW w:w="3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7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0"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废水</w:t>
            </w:r>
          </w:p>
        </w:tc>
        <w:tc>
          <w:tcPr>
            <w:tcW w:w="219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化学需氧量、氨氮、悬浮物、石油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类、氟化物、硫化物、挥发酚、总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磷、全盐类</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39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77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脱硫过程</w:t>
            </w:r>
          </w:p>
        </w:tc>
        <w:tc>
          <w:tcPr>
            <w:tcW w:w="800"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脱硫系统</w:t>
            </w:r>
          </w:p>
        </w:tc>
        <w:tc>
          <w:tcPr>
            <w:tcW w:w="8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固废和噪声</w:t>
            </w:r>
          </w:p>
        </w:tc>
        <w:tc>
          <w:tcPr>
            <w:tcW w:w="219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脱硫渣和噪声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8" w:hRule="exact"/>
        </w:trPr>
        <w:tc>
          <w:tcPr>
            <w:tcW w:w="39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7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0"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废水</w:t>
            </w:r>
          </w:p>
        </w:tc>
        <w:tc>
          <w:tcPr>
            <w:tcW w:w="219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pH</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COD</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SS</w:t>
            </w:r>
            <w:r>
              <w:rPr>
                <w:rFonts w:hint="eastAsia" w:ascii="Times New Roman" w:eastAsiaTheme="minorEastAsia"/>
                <w:color w:val="000000" w:themeColor="text1"/>
                <w:sz w:val="21"/>
                <w:szCs w:val="21"/>
                <w14:textFill>
                  <w14:solidFill>
                    <w14:schemeClr w14:val="tx1"/>
                  </w14:solidFill>
                </w14:textFill>
              </w:rPr>
              <w:t xml:space="preserve">、总铅、总汞、总砷、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总镉、溶解性总固体、硫化物</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2" w:hRule="exact"/>
        </w:trPr>
        <w:tc>
          <w:tcPr>
            <w:tcW w:w="3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7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脱硝过程</w:t>
            </w:r>
          </w:p>
        </w:tc>
        <w:tc>
          <w:tcPr>
            <w:tcW w:w="8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脱硝系统</w:t>
            </w:r>
          </w:p>
        </w:tc>
        <w:tc>
          <w:tcPr>
            <w:tcW w:w="8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固废</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废气和噪声</w:t>
            </w:r>
          </w:p>
        </w:tc>
        <w:tc>
          <w:tcPr>
            <w:tcW w:w="219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废催化剂、</w:t>
            </w:r>
            <w:r>
              <w:rPr>
                <w:rFonts w:ascii="Times New Roman" w:eastAsiaTheme="minorEastAsia"/>
                <w:color w:val="000000" w:themeColor="text1"/>
                <w:sz w:val="21"/>
                <w:szCs w:val="21"/>
                <w14:textFill>
                  <w14:solidFill>
                    <w14:schemeClr w14:val="tx1"/>
                  </w14:solidFill>
                </w14:textFill>
              </w:rPr>
              <w:t>氨和噪声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exact"/>
        </w:trPr>
        <w:tc>
          <w:tcPr>
            <w:tcW w:w="3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7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水处理间</w:t>
            </w:r>
          </w:p>
        </w:tc>
        <w:tc>
          <w:tcPr>
            <w:tcW w:w="8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软化水系统</w:t>
            </w:r>
          </w:p>
        </w:tc>
        <w:tc>
          <w:tcPr>
            <w:tcW w:w="8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固废和废水和噪声</w:t>
            </w:r>
          </w:p>
        </w:tc>
        <w:tc>
          <w:tcPr>
            <w:tcW w:w="219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废树脂和pH、SS，含盐类和噪声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3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w:t>
            </w:r>
          </w:p>
        </w:tc>
        <w:tc>
          <w:tcPr>
            <w:tcW w:w="7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员工生活</w:t>
            </w:r>
          </w:p>
        </w:tc>
        <w:tc>
          <w:tcPr>
            <w:tcW w:w="8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生活污水</w:t>
            </w:r>
          </w:p>
        </w:tc>
        <w:tc>
          <w:tcPr>
            <w:tcW w:w="8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固废和废水</w:t>
            </w:r>
          </w:p>
        </w:tc>
        <w:tc>
          <w:tcPr>
            <w:tcW w:w="219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生活垃圾和COD、BOD</w:t>
            </w:r>
            <w:r>
              <w:rPr>
                <w:rFonts w:ascii="Times New Roman" w:eastAsiaTheme="minorEastAsia"/>
                <w:color w:val="000000" w:themeColor="text1"/>
                <w:sz w:val="21"/>
                <w:szCs w:val="21"/>
                <w:vertAlign w:val="subscript"/>
                <w14:textFill>
                  <w14:solidFill>
                    <w14:schemeClr w14:val="tx1"/>
                  </w14:solidFill>
                </w14:textFill>
              </w:rPr>
              <w:t>5</w:t>
            </w:r>
            <w:r>
              <w:rPr>
                <w:rFonts w:ascii="Times New Roman" w:eastAsiaTheme="minorEastAsia"/>
                <w:color w:val="000000" w:themeColor="text1"/>
                <w:sz w:val="21"/>
                <w:szCs w:val="21"/>
                <w14:textFill>
                  <w14:solidFill>
                    <w14:schemeClr w14:val="tx1"/>
                  </w14:solidFill>
                </w14:textFill>
              </w:rPr>
              <w:t>、氨氮等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3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bookmarkStart w:id="112" w:name="_Toc29684"/>
            <w:r>
              <w:rPr>
                <w:rFonts w:hint="eastAsia" w:ascii="Times New Roman" w:eastAsiaTheme="minorEastAsia"/>
                <w:color w:val="000000" w:themeColor="text1"/>
                <w:sz w:val="21"/>
                <w:szCs w:val="21"/>
                <w14:textFill>
                  <w14:solidFill>
                    <w14:schemeClr w14:val="tx1"/>
                  </w14:solidFill>
                </w14:textFill>
              </w:rPr>
              <w:t>7</w:t>
            </w:r>
          </w:p>
        </w:tc>
        <w:tc>
          <w:tcPr>
            <w:tcW w:w="7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设备维修</w:t>
            </w:r>
          </w:p>
        </w:tc>
        <w:tc>
          <w:tcPr>
            <w:tcW w:w="8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废机油</w:t>
            </w:r>
          </w:p>
        </w:tc>
        <w:tc>
          <w:tcPr>
            <w:tcW w:w="8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危废</w:t>
            </w:r>
          </w:p>
        </w:tc>
        <w:tc>
          <w:tcPr>
            <w:tcW w:w="219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废机油</w:t>
            </w:r>
          </w:p>
        </w:tc>
      </w:tr>
    </w:tbl>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3.4.4 污染物源强核算</w:t>
      </w:r>
      <w:bookmarkEnd w:id="112"/>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为使本评价污染物排放参数尽可能准确、完整，统计过程采用的主要方式如下：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（1）锅炉烟气源强数据主要根据本工程的煤质分析报告，本项目新增</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70</w:t>
      </w:r>
      <w:r>
        <w:rPr>
          <w:rFonts w:ascii="Times New Roman" w:hAnsi="Times New Roman" w:cs="Times New Roman" w:eastAsiaTheme="minorEastAsia"/>
          <w:color w:val="000000" w:themeColor="text1"/>
          <w:sz w:val="24"/>
          <w:szCs w:val="24"/>
          <w:lang w:val="en-US"/>
          <w14:textFill>
            <w14:solidFill>
              <w14:schemeClr w14:val="tx1"/>
            </w14:solidFill>
          </w14:textFill>
        </w:rPr>
        <w:t>MW热水锅炉烟气中颗粒物、SO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和NOx产生量根据《污染源源强核算技术指南锅炉》（HJ991-2018）中5.1物料衡算法进行计算确定。</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（2）废水排放量按可行性研究报告中提供的水量平衡确定。</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（3）固废产生与处置量根据《污染源源强核算技术指南锅炉》（HJ991-2018）中8.1物料衡算法进行计算确定。</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（4）噪声根据《污染源源强核算技术指南锅炉》（HJ991-2018）中附录D中表D.1确定。</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3.4.4.1 废气污染源源强核算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1、锅炉烟气</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新建70MW锅炉</w:t>
      </w:r>
      <w:r>
        <w:rPr>
          <w:rFonts w:ascii="Times New Roman" w:hAnsi="Times New Roman" w:cs="Times New Roman" w:eastAsiaTheme="minorEastAsia"/>
          <w:color w:val="000000" w:themeColor="text1"/>
          <w:sz w:val="24"/>
          <w:szCs w:val="24"/>
          <w:lang w:val="en-US"/>
          <w14:textFill>
            <w14:solidFill>
              <w14:schemeClr w14:val="tx1"/>
            </w14:solidFill>
          </w14:textFill>
        </w:rPr>
        <w:t>的大气污染源主要为燃煤锅炉烟囱，主要污染物为颗粒物、SO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X</w:t>
      </w:r>
      <w:r>
        <w:rPr>
          <w:rFonts w:ascii="Times New Roman" w:hAnsi="Times New Roman" w:cs="Times New Roman" w:eastAsiaTheme="minorEastAsia"/>
          <w:color w:val="000000" w:themeColor="text1"/>
          <w:sz w:val="24"/>
          <w:szCs w:val="24"/>
          <w:lang w:val="en-US"/>
          <w14:textFill>
            <w14:solidFill>
              <w14:schemeClr w14:val="tx1"/>
            </w14:solidFill>
          </w14:textFill>
        </w:rPr>
        <w:t>、汞及其化合物。烟气采用“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低氮燃烧和</w:t>
      </w:r>
      <w:r>
        <w:rPr>
          <w:rFonts w:ascii="Times New Roman" w:hAnsi="Times New Roman" w:cs="Times New Roman" w:eastAsiaTheme="minorEastAsia"/>
          <w:color w:val="000000" w:themeColor="text1"/>
          <w:sz w:val="24"/>
          <w:szCs w:val="24"/>
          <w:lang w:val="en-US"/>
          <w14:textFill>
            <w14:solidFill>
              <w14:schemeClr w14:val="tx1"/>
            </w14:solidFill>
          </w14:textFill>
        </w:rPr>
        <w:t>SNCR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+SCR联合</w:t>
      </w:r>
      <w:r>
        <w:rPr>
          <w:rFonts w:ascii="Times New Roman" w:hAnsi="Times New Roman" w:cs="Times New Roman" w:eastAsiaTheme="minorEastAsia"/>
          <w:color w:val="000000" w:themeColor="text1"/>
          <w:sz w:val="24"/>
          <w:szCs w:val="24"/>
          <w:lang w:val="en-US"/>
          <w14:textFill>
            <w14:solidFill>
              <w14:schemeClr w14:val="tx1"/>
            </w14:solidFill>
          </w14:textFill>
        </w:rPr>
        <w:t>脱硝+布袋除尘器+湿式镁法脱硫”废气净化措施。根据《污染源源强核算技术指南</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锅炉》（HJ991-2018）中5.1物料衡算法进行计算。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①烟气量计算</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object>
          <v:shape id="_x0000_i1025" o:spt="75" type="#_x0000_t75" style="height:19.65pt;width:275.45pt;" o:ole="t" filled="f" o:preferrelative="t" stroked="f" coordsize="21600,21600">
            <v:path/>
            <v:fill on="f" focussize="0,0"/>
            <v:stroke on="f" joinstyle="miter"/>
            <v:imagedata r:id="rId40" o:title=""/>
            <o:lock v:ext="edit" aspectratio="t"/>
            <w10:wrap type="none"/>
            <w10:anchorlock/>
          </v:shape>
          <o:OLEObject Type="Embed" ProgID="Equation.3" ShapeID="_x0000_i1025" DrawAspect="Content" ObjectID="_1468075725" r:id="rId39">
            <o:LockedField>false</o:LockedField>
          </o:OLEObject>
        </w:objec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式中：V0 —理论空气量，m3/kg；</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Car —收到基碳的质量分数，%，取38.66；</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Sar —收到基硫的质量分数，%，取0.16；</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H ar —收到基氢的质量分数，%，取2.53；</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Oar —收到基氧的质量分数，%，取13.25；</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Qnet，ar —收到基地位发热量，kJ/kg，18080。</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经计算燃用设计煤质时，V0=3.67m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/kg，按同样方法计算并带入校核煤种参数时，V0=5.41m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/kg。</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object>
          <v:shape id="_x0000_i1026" o:spt="75" type="#_x0000_t75" style="height:153.2pt;width:285.9pt;" o:ole="t" filled="f" o:preferrelative="t" stroked="f" coordsize="21600,21600">
            <v:path/>
            <v:fill on="f" focussize="0,0"/>
            <v:stroke on="f" joinstyle="miter"/>
            <v:imagedata r:id="rId42" o:title=""/>
            <o:lock v:ext="edit" aspectratio="t"/>
            <w10:wrap type="none"/>
            <w10:anchorlock/>
          </v:shape>
          <o:OLEObject Type="Embed" ProgID="Equation.3" ShapeID="_x0000_i1026" DrawAspect="Content" ObjectID="_1468075726" r:id="rId41">
            <o:LockedField>false</o:LockedField>
          </o:OLEObject>
        </w:objec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式中：VRO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—烟气中二氧化碳（VCO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）和二氧化硫（VSO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）容积之和，m3/kg；</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VN</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—烟气中氮气量，m3/kg；</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Car —收到基碳的质量分数，%，取38.66；</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Sar —收到基硫的质量分数，%，取0.16；</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H ar —收到基氢的质量分数，%，取2.53；</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Nar —收到基氮的质量分数，%，取0.68；</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α —过量空气系数，燃煤锅炉对应基准含氧量6%时α为1.4；</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Mar—收到基水分的质量分数，%，15.25；</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VH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O—锅炉排放湿烟气中水蒸汽量，m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/kg，0.49；</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Vs—湿烟气量，m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/kg，6.15；</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V0—理论空气量，m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/kg，3.67；</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Vg—干烟气排放量，m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/kg，5.64；</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经计算，</w:t>
      </w:r>
      <w:r>
        <w:rPr>
          <w:rFonts w:ascii="Times New Roman" w:hAnsi="Times New Roman" w:cs="Times New Roman" w:eastAsiaTheme="minorEastAsia"/>
          <w:color w:val="000000" w:themeColor="text1"/>
          <w:sz w:val="24"/>
          <w:szCs w:val="24"/>
          <w:lang w:val="en-US"/>
          <w14:textFill>
            <w14:solidFill>
              <w14:schemeClr w14:val="tx1"/>
            </w14:solidFill>
          </w14:textFill>
        </w:rPr>
        <w:t>锅炉燃料最大消耗量为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14.35</w:t>
      </w:r>
      <w:r>
        <w:rPr>
          <w:rFonts w:ascii="Times New Roman" w:hAnsi="Times New Roman" w:cs="Times New Roman" w:eastAsiaTheme="minorEastAsia"/>
          <w:color w:val="000000" w:themeColor="text1"/>
          <w:sz w:val="24"/>
          <w:szCs w:val="24"/>
          <w:lang w:val="en-US"/>
          <w14:textFill>
            <w14:solidFill>
              <w14:schemeClr w14:val="tx1"/>
            </w14:solidFill>
          </w14:textFill>
        </w:rPr>
        <w:t>t/h，则烟气量为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80934</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②</w:t>
      </w:r>
      <w:r>
        <w:rPr>
          <w:rFonts w:ascii="Times New Roman" w:hAnsi="Times New Roman" w:cs="Times New Roman" w:eastAsiaTheme="minorEastAsia"/>
          <w:color w:val="000000" w:themeColor="text1"/>
          <w:sz w:val="24"/>
          <w:szCs w:val="24"/>
          <w:lang w:val="en-US"/>
          <w14:textFill>
            <w14:solidFill>
              <w14:schemeClr w14:val="tx1"/>
            </w14:solidFill>
          </w14:textFill>
        </w:rPr>
        <w:t>颗粒物（烟尘）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本项目颗粒物（烟尘）的计算采用《污染源源强核算技术指南锅炉》（HJ991—2018）中5.1.1章节中式（2）应用物料衡算法进行计算。</w:t>
      </w:r>
    </w:p>
    <w:p>
      <w:pPr>
        <w:pStyle w:val="91"/>
        <w:ind w:firstLine="36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74624" behindDoc="0" locked="0" layoutInCell="1" allowOverlap="1">
            <wp:simplePos x="0" y="0"/>
            <wp:positionH relativeFrom="column">
              <wp:posOffset>749300</wp:posOffset>
            </wp:positionH>
            <wp:positionV relativeFrom="paragraph">
              <wp:posOffset>190500</wp:posOffset>
            </wp:positionV>
            <wp:extent cx="2814320" cy="808990"/>
            <wp:effectExtent l="0" t="0" r="5080" b="10160"/>
            <wp:wrapNone/>
            <wp:docPr id="48" name="图片 13" descr="C:\Users\win7\AppData\Roaming\Tencent\Users\124297787\QQ\WinTemp\RichOle\WU_MQ%1)WRL$}1Y}QSC~(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descr="C:\Users\win7\AppData\Roaming\Tencent\Users\124297787\QQ\WinTemp\RichOle\WU_MQ%1)WRL$}1Y}QSC~(_J.png"/>
                    <pic:cNvPicPr>
                      <a:picLocks noChangeAspect="1"/>
                    </pic:cNvPicPr>
                  </pic:nvPicPr>
                  <pic:blipFill>
                    <a:blip r:embed="rId43" cstate="print"/>
                    <a:stretch>
                      <a:fillRect/>
                    </a:stretch>
                  </pic:blipFill>
                  <pic:spPr>
                    <a:xfrm>
                      <a:off x="0" y="0"/>
                      <a:ext cx="2814320" cy="808990"/>
                    </a:xfrm>
                    <a:prstGeom prst="rect">
                      <a:avLst/>
                    </a:prstGeom>
                    <a:noFill/>
                    <a:ln>
                      <a:noFill/>
                    </a:ln>
                  </pic:spPr>
                </pic:pic>
              </a:graphicData>
            </a:graphic>
          </wp:anchor>
        </w:drawing>
      </w:r>
    </w:p>
    <w:p>
      <w:pPr>
        <w:pStyle w:val="91"/>
        <w:ind w:firstLine="360"/>
        <w:rPr>
          <w:color w:val="000000" w:themeColor="text1"/>
          <w14:textFill>
            <w14:solidFill>
              <w14:schemeClr w14:val="tx1"/>
            </w14:solidFill>
          </w14:textFill>
        </w:rPr>
      </w:pPr>
    </w:p>
    <w:p>
      <w:pPr>
        <w:pStyle w:val="91"/>
        <w:ind w:firstLine="360"/>
        <w:rPr>
          <w:color w:val="000000" w:themeColor="text1"/>
          <w14:textFill>
            <w14:solidFill>
              <w14:schemeClr w14:val="tx1"/>
            </w14:solidFill>
          </w14:textFill>
        </w:rPr>
      </w:pP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113" w:name="OLE_LINK44"/>
      <w:r>
        <w:rPr>
          <w:rFonts w:ascii="Times New Roman" w:hAnsi="Times New Roman" w:cs="Times New Roman" w:eastAsiaTheme="minorEastAsia"/>
          <w:color w:val="000000" w:themeColor="text1"/>
          <w:sz w:val="24"/>
          <w:szCs w:val="24"/>
          <w:lang w:val="en-US"/>
          <w14:textFill>
            <w14:solidFill>
              <w14:schemeClr w14:val="tx1"/>
            </w14:solidFill>
          </w14:textFill>
        </w:rPr>
        <w:t xml:space="preserve">式中：EA——核算时段内颗粒物排放量，t/h；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R——核算时段内锅炉燃料耗量，t/h；取最大值</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14.35</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Aar——收到基灰分的质量分数，%；取 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81</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dfh——锅炉烟气带出的飞灰份额，%；根据《污染源源强核算技术指南 锅炉》（HJ991-2018），取15。</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ηc——除尘效率，%；取99.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5%。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Cfh——飞灰中的可燃物含量，%。取</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23.90</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经计算，本项目颗粒物排放量为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0.294</w:t>
      </w:r>
      <w:r>
        <w:rPr>
          <w:rFonts w:ascii="Times New Roman" w:hAnsi="Times New Roman" w:cs="Times New Roman" w:eastAsiaTheme="minorEastAsia"/>
          <w:color w:val="000000" w:themeColor="text1"/>
          <w:sz w:val="24"/>
          <w:szCs w:val="24"/>
          <w:lang w:val="en-US"/>
          <w14:textFill>
            <w14:solidFill>
              <w14:schemeClr w14:val="tx1"/>
            </w14:solidFill>
          </w14:textFill>
        </w:rPr>
        <w:t>kg/h，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0.862</w:t>
      </w:r>
      <w:r>
        <w:rPr>
          <w:rFonts w:ascii="Times New Roman" w:hAnsi="Times New Roman" w:cs="Times New Roman" w:eastAsiaTheme="minorEastAsia"/>
          <w:color w:val="000000" w:themeColor="text1"/>
          <w:sz w:val="24"/>
          <w:szCs w:val="24"/>
          <w:lang w:val="en-US"/>
          <w14:textFill>
            <w14:solidFill>
              <w14:schemeClr w14:val="tx1"/>
            </w14:solidFill>
          </w14:textFill>
        </w:rPr>
        <w:t>t/a。</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③</w:t>
      </w:r>
      <w:r>
        <w:rPr>
          <w:rFonts w:ascii="Times New Roman" w:hAnsi="Times New Roman" w:cs="Times New Roman" w:eastAsiaTheme="minorEastAsia"/>
          <w:color w:val="000000" w:themeColor="text1"/>
          <w:sz w:val="24"/>
          <w:szCs w:val="24"/>
          <w:lang w:val="en-US"/>
          <w14:textFill>
            <w14:solidFill>
              <w14:schemeClr w14:val="tx1"/>
            </w14:solidFill>
          </w14:textFill>
        </w:rPr>
        <w:t>二氧化硫排放量</w:t>
      </w:r>
    </w:p>
    <w:p>
      <w:pPr>
        <w:pStyle w:val="41"/>
        <w:ind w:left="360" w:firstLine="20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114300" distR="114300">
            <wp:extent cx="2690495" cy="448310"/>
            <wp:effectExtent l="0" t="0" r="14605" b="8890"/>
            <wp:docPr id="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2"/>
                    <pic:cNvPicPr>
                      <a:picLocks noChangeAspect="1"/>
                    </pic:cNvPicPr>
                  </pic:nvPicPr>
                  <pic:blipFill>
                    <a:blip r:embed="rId44" cstate="print"/>
                    <a:stretch>
                      <a:fillRect/>
                    </a:stretch>
                  </pic:blipFill>
                  <pic:spPr>
                    <a:xfrm>
                      <a:off x="0" y="0"/>
                      <a:ext cx="2690495" cy="448310"/>
                    </a:xfrm>
                    <a:prstGeom prst="rect">
                      <a:avLst/>
                    </a:prstGeom>
                    <a:noFill/>
                    <a:ln>
                      <a:noFill/>
                    </a:ln>
                  </pic:spPr>
                </pic:pic>
              </a:graphicData>
            </a:graphic>
          </wp:inline>
        </w:drawing>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式中：ESO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——核算时段内二氧化硫排放量，t/h；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R——核算时段内锅炉燃料耗量，t/h；取最大值</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14.35</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Sar——收到基硫的质量分数，%；取</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0.16</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q4——锅炉机械不完全燃烧热损失，%；根据《污染源源强核算技术指南锅炉》（HJ991-2018），取 10。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ηs——脱硫效率，%；根据《污染源源强核算技术指南 锅炉》（HJ991-2018）氧化镁法脱硫效率为90-99，取 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K——燃料中的硫燃烧后氧化成二氧化硫的份额，量纲一的量；根据《污染源源强核算技术指南 锅炉》（HJ991-2018）层燃炉为 0.80-0.85，取 0.85。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经计算，本项目二氧化硫排放量为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1.756</w:t>
      </w:r>
      <w:r>
        <w:rPr>
          <w:rFonts w:ascii="Times New Roman" w:hAnsi="Times New Roman" w:cs="Times New Roman" w:eastAsiaTheme="minorEastAsia"/>
          <w:color w:val="000000" w:themeColor="text1"/>
          <w:sz w:val="24"/>
          <w:szCs w:val="24"/>
          <w:lang w:val="en-US"/>
          <w14:textFill>
            <w14:solidFill>
              <w14:schemeClr w14:val="tx1"/>
            </w14:solidFill>
          </w14:textFill>
        </w:rPr>
        <w:t>kg/h，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5.143</w:t>
      </w:r>
      <w:r>
        <w:rPr>
          <w:rFonts w:ascii="Times New Roman" w:hAnsi="Times New Roman" w:cs="Times New Roman" w:eastAsiaTheme="minorEastAsia"/>
          <w:color w:val="000000" w:themeColor="text1"/>
          <w:sz w:val="24"/>
          <w:szCs w:val="24"/>
          <w:lang w:val="en-US"/>
          <w14:textFill>
            <w14:solidFill>
              <w14:schemeClr w14:val="tx1"/>
            </w14:solidFill>
          </w14:textFill>
        </w:rPr>
        <w:t>t/a。</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④</w:t>
      </w:r>
      <w:r>
        <w:rPr>
          <w:rFonts w:ascii="Times New Roman" w:hAnsi="Times New Roman" w:cs="Times New Roman" w:eastAsiaTheme="minorEastAsia"/>
          <w:color w:val="000000" w:themeColor="text1"/>
          <w:sz w:val="24"/>
          <w:szCs w:val="24"/>
          <w:lang w:val="en-US"/>
          <w14:textFill>
            <w14:solidFill>
              <w14:schemeClr w14:val="tx1"/>
            </w14:solidFill>
          </w14:textFill>
        </w:rPr>
        <w:t>氮氧化物排放量</w:t>
      </w:r>
    </w:p>
    <w:p>
      <w:pPr>
        <w:ind w:firstLine="18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114300" distR="114300">
            <wp:extent cx="2159635" cy="545465"/>
            <wp:effectExtent l="0" t="0" r="12065" b="6985"/>
            <wp:docPr id="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
                    <pic:cNvPicPr>
                      <a:picLocks noChangeAspect="1"/>
                    </pic:cNvPicPr>
                  </pic:nvPicPr>
                  <pic:blipFill>
                    <a:blip r:embed="rId45" cstate="print"/>
                    <a:stretch>
                      <a:fillRect/>
                    </a:stretch>
                  </pic:blipFill>
                  <pic:spPr>
                    <a:xfrm>
                      <a:off x="0" y="0"/>
                      <a:ext cx="2159635" cy="545465"/>
                    </a:xfrm>
                    <a:prstGeom prst="rect">
                      <a:avLst/>
                    </a:prstGeom>
                    <a:noFill/>
                    <a:ln>
                      <a:noFill/>
                    </a:ln>
                  </pic:spPr>
                </pic:pic>
              </a:graphicData>
            </a:graphic>
          </wp:inline>
        </w:drawing>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式中：ENOx——氮氧化物排放量，t/h；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ρNOx——锅炉炉膛出口氮氧化物质量浓度，mg/m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；根据《污染源源强核算技术指南 锅炉》（HJ991-2018）层燃炉为 100-600，本项目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锅炉采用低氮燃烧技术，根据锅炉厂家提供的设计参数，</w:t>
      </w:r>
      <w:r>
        <w:rPr>
          <w:rFonts w:ascii="Times New Roman" w:hAnsi="Times New Roman" w:cs="Times New Roman" w:eastAsiaTheme="minorEastAsia"/>
          <w:color w:val="000000" w:themeColor="text1"/>
          <w:sz w:val="24"/>
          <w:szCs w:val="24"/>
          <w:lang w:val="en-US"/>
          <w14:textFill>
            <w14:solidFill>
              <w14:schemeClr w14:val="tx1"/>
            </w14:solidFill>
          </w14:textFill>
        </w:rPr>
        <w:t>炉膛出口氮氧化物排放质量浓度为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00mg/m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Q——标态干烟气排放量，m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/h；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ηNOx——脱硝效率，%。根据《污染源源强核算技术指南锅炉》（HJ991-2018）SNCR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-SCR</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脱硝效率为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55</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85</w:t>
      </w:r>
      <w:r>
        <w:rPr>
          <w:rFonts w:ascii="Times New Roman" w:hAnsi="Times New Roman" w:cs="Times New Roman" w:eastAsiaTheme="minorEastAsia"/>
          <w:color w:val="000000" w:themeColor="text1"/>
          <w:sz w:val="24"/>
          <w:szCs w:val="24"/>
          <w:lang w:val="en-US"/>
          <w14:textFill>
            <w14:solidFill>
              <w14:schemeClr w14:val="tx1"/>
            </w14:solidFill>
          </w14:textFill>
        </w:rPr>
        <w:t>，取</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80</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经计算，本项目氮氧化物排放量为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3.237</w:t>
      </w:r>
      <w:r>
        <w:rPr>
          <w:rFonts w:ascii="Times New Roman" w:hAnsi="Times New Roman" w:cs="Times New Roman" w:eastAsiaTheme="minorEastAsia"/>
          <w:color w:val="000000" w:themeColor="text1"/>
          <w:sz w:val="24"/>
          <w:szCs w:val="24"/>
          <w:lang w:val="en-US"/>
          <w14:textFill>
            <w14:solidFill>
              <w14:schemeClr w14:val="tx1"/>
            </w14:solidFill>
          </w14:textFill>
        </w:rPr>
        <w:t>kg/h，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9.479</w:t>
      </w:r>
      <w:r>
        <w:rPr>
          <w:rFonts w:ascii="Times New Roman" w:hAnsi="Times New Roman" w:cs="Times New Roman" w:eastAsiaTheme="minorEastAsia"/>
          <w:color w:val="000000" w:themeColor="text1"/>
          <w:sz w:val="24"/>
          <w:szCs w:val="24"/>
          <w:lang w:val="en-US"/>
          <w14:textFill>
            <w14:solidFill>
              <w14:schemeClr w14:val="tx1"/>
            </w14:solidFill>
          </w14:textFill>
        </w:rPr>
        <w:t>t/a。</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⑤</w:t>
      </w:r>
      <w:r>
        <w:rPr>
          <w:rFonts w:ascii="Times New Roman" w:hAnsi="Times New Roman" w:cs="Times New Roman" w:eastAsiaTheme="minorEastAsia"/>
          <w:color w:val="000000" w:themeColor="text1"/>
          <w:sz w:val="24"/>
          <w:szCs w:val="24"/>
          <w:lang w:val="en-US"/>
          <w14:textFill>
            <w14:solidFill>
              <w14:schemeClr w14:val="tx1"/>
            </w14:solidFill>
          </w14:textFill>
        </w:rPr>
        <w:t>汞及其化合物排放量</w:t>
      </w:r>
    </w:p>
    <w:p>
      <w:pPr>
        <w:pStyle w:val="41"/>
        <w:ind w:left="360" w:firstLine="20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114300" distR="114300">
            <wp:extent cx="2628900" cy="561975"/>
            <wp:effectExtent l="0" t="0" r="0" b="9525"/>
            <wp:docPr id="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4"/>
                    <pic:cNvPicPr>
                      <a:picLocks noChangeAspect="1"/>
                    </pic:cNvPicPr>
                  </pic:nvPicPr>
                  <pic:blipFill>
                    <a:blip r:embed="rId46" cstate="print"/>
                    <a:stretch>
                      <a:fillRect/>
                    </a:stretch>
                  </pic:blipFill>
                  <pic:spPr>
                    <a:xfrm>
                      <a:off x="0" y="0"/>
                      <a:ext cx="2628900" cy="561975"/>
                    </a:xfrm>
                    <a:prstGeom prst="rect">
                      <a:avLst/>
                    </a:prstGeom>
                    <a:noFill/>
                    <a:ln>
                      <a:noFill/>
                    </a:ln>
                  </pic:spPr>
                </pic:pic>
              </a:graphicData>
            </a:graphic>
          </wp:inline>
        </w:drawing>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式中：EHg——核算时段内汞及其化合物排放量（以汞计），</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t</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/h；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R——核算时段内锅炉燃料耗量，t/h；取最大值</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14.35</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mHgar——收到基汞的含量，µg/g。本项目收到基汞的含量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w:t>
      </w:r>
      <w:r>
        <w:rPr>
          <w:rFonts w:ascii="Times New Roman" w:hAnsi="Times New Roman" w:cs="Times New Roman" w:eastAsiaTheme="minorEastAsia"/>
          <w:color w:val="000000" w:themeColor="text1"/>
          <w:sz w:val="24"/>
          <w:szCs w:val="24"/>
          <w:lang w:val="en-US"/>
          <w14:textFill>
            <w14:solidFill>
              <w14:schemeClr w14:val="tx1"/>
            </w14:solidFill>
          </w14:textFill>
        </w:rPr>
        <w:t>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29</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μg/g。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ηHg——汞的协同脱除效率，%。取 70%。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经计算，本项目汞及其化合物排放量为 0.00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12kg</w:t>
      </w:r>
      <w:r>
        <w:rPr>
          <w:rFonts w:ascii="Times New Roman" w:hAnsi="Times New Roman" w:cs="Times New Roman" w:eastAsiaTheme="minorEastAsia"/>
          <w:color w:val="000000" w:themeColor="text1"/>
          <w:sz w:val="24"/>
          <w:szCs w:val="24"/>
          <w:lang w:val="en-US"/>
          <w14:textFill>
            <w14:solidFill>
              <w14:schemeClr w14:val="tx1"/>
            </w14:solidFill>
          </w14:textFill>
        </w:rPr>
        <w:t>/h，0.00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t/a。</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⑥PM2.5排放量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根据《燃煤锅炉烟气中细颗粒物的排放特征和控制现状》（环境工程技术学报</w:t>
      </w:r>
      <w:r>
        <w:rPr>
          <w:rFonts w:ascii="Times New Roman" w:hAnsi="Times New Roman" w:cs="Times New Roman" w:eastAsiaTheme="minorEastAsia"/>
          <w:color w:val="000000" w:themeColor="text1"/>
          <w:sz w:val="24"/>
          <w:szCs w:val="24"/>
          <w:lang w:val="en-US"/>
          <w14:textFill>
            <w14:solidFill>
              <w14:schemeClr w14:val="tx1"/>
            </w14:solidFill>
          </w14:textFill>
        </w:rPr>
        <w:t>2017.05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占颗粒物排放量的 </w:t>
      </w:r>
      <w:r>
        <w:rPr>
          <w:rFonts w:ascii="Times New Roman" w:hAnsi="Times New Roman" w:cs="Times New Roman" w:eastAsiaTheme="minorEastAsia"/>
          <w:color w:val="000000" w:themeColor="text1"/>
          <w:sz w:val="24"/>
          <w:szCs w:val="24"/>
          <w:lang w:val="en-US"/>
          <w14:textFill>
            <w14:solidFill>
              <w14:schemeClr w14:val="tx1"/>
            </w14:solidFill>
          </w14:textFill>
        </w:rPr>
        <w:t>64.1%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。本次评价</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的排放量参照按 </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10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排放量的 </w:t>
      </w:r>
      <w:r>
        <w:rPr>
          <w:rFonts w:ascii="Times New Roman" w:hAnsi="Times New Roman" w:cs="Times New Roman" w:eastAsiaTheme="minorEastAsia"/>
          <w:color w:val="000000" w:themeColor="text1"/>
          <w:sz w:val="24"/>
          <w:szCs w:val="24"/>
          <w:lang w:val="en-US"/>
          <w14:textFill>
            <w14:solidFill>
              <w14:schemeClr w14:val="tx1"/>
            </w14:solidFill>
          </w14:textFill>
        </w:rPr>
        <w:t>65%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计算。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所以，</w:t>
      </w:r>
      <w:r>
        <w:rPr>
          <w:rFonts w:ascii="Times New Roman" w:hAnsi="Times New Roman" w:cs="Times New Roman" w:eastAsiaTheme="minorEastAsia"/>
          <w:color w:val="000000" w:themeColor="text1"/>
          <w:sz w:val="24"/>
          <w:szCs w:val="24"/>
          <w:lang w:val="en-US"/>
          <w14:textFill>
            <w14:solidFill>
              <w14:schemeClr w14:val="tx1"/>
            </w14:solidFill>
          </w14:textFill>
        </w:rPr>
        <w:t>本次评价PM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ascii="Times New Roman" w:hAnsi="Times New Roman" w:cs="Times New Roman" w:eastAsiaTheme="minorEastAsia"/>
          <w:color w:val="000000" w:themeColor="text1"/>
          <w:sz w:val="24"/>
          <w:szCs w:val="24"/>
          <w:lang w:val="en-US"/>
          <w14:textFill>
            <w14:solidFill>
              <w14:schemeClr w14:val="tx1"/>
            </w14:solidFill>
          </w14:textFill>
        </w:rPr>
        <w:t>的排放量按PM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10</w:t>
      </w:r>
      <w:r>
        <w:rPr>
          <w:rFonts w:ascii="Times New Roman" w:hAnsi="Times New Roman" w:cs="Times New Roman" w:eastAsiaTheme="minorEastAsia"/>
          <w:color w:val="000000" w:themeColor="text1"/>
          <w:sz w:val="24"/>
          <w:szCs w:val="24"/>
          <w:lang w:val="en-US"/>
          <w14:textFill>
            <w14:solidFill>
              <w14:schemeClr w14:val="tx1"/>
            </w14:solidFill>
          </w14:textFill>
        </w:rPr>
        <w:t>排放量的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65</w:t>
      </w:r>
      <w:r>
        <w:rPr>
          <w:rFonts w:ascii="Times New Roman" w:hAnsi="Times New Roman" w:cs="Times New Roman" w:eastAsiaTheme="minorEastAsia"/>
          <w:color w:val="000000" w:themeColor="text1"/>
          <w:sz w:val="24"/>
          <w:szCs w:val="24"/>
          <w:lang w:val="en-US"/>
          <w14:textFill>
            <w14:solidFill>
              <w14:schemeClr w14:val="tx1"/>
            </w14:solidFill>
          </w14:textFill>
        </w:rPr>
        <w:t>%计算，PM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ascii="Times New Roman" w:hAnsi="Times New Roman" w:cs="Times New Roman" w:eastAsiaTheme="minorEastAsia"/>
          <w:color w:val="000000" w:themeColor="text1"/>
          <w:sz w:val="24"/>
          <w:szCs w:val="24"/>
          <w:lang w:val="en-US"/>
          <w14:textFill>
            <w14:solidFill>
              <w14:schemeClr w14:val="tx1"/>
            </w14:solidFill>
          </w14:textFill>
        </w:rPr>
        <w:t>排放量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0.191</w:t>
      </w:r>
      <w:r>
        <w:rPr>
          <w:rFonts w:ascii="Times New Roman" w:hAnsi="Times New Roman" w:cs="Times New Roman" w:eastAsiaTheme="minorEastAsia"/>
          <w:color w:val="000000" w:themeColor="text1"/>
          <w:sz w:val="24"/>
          <w:szCs w:val="24"/>
          <w:lang w:val="en-US"/>
          <w14:textFill>
            <w14:solidFill>
              <w14:schemeClr w14:val="tx1"/>
            </w14:solidFill>
          </w14:textFill>
        </w:rPr>
        <w:t>kg/h，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0.560</w:t>
      </w:r>
      <w:r>
        <w:rPr>
          <w:rFonts w:ascii="Times New Roman" w:hAnsi="Times New Roman" w:cs="Times New Roman" w:eastAsiaTheme="minorEastAsia"/>
          <w:color w:val="000000" w:themeColor="text1"/>
          <w:sz w:val="24"/>
          <w:szCs w:val="24"/>
          <w:lang w:val="en-US"/>
          <w14:textFill>
            <w14:solidFill>
              <w14:schemeClr w14:val="tx1"/>
            </w14:solidFill>
          </w14:textFill>
        </w:rPr>
        <w:t>t/a。</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⑦</w:t>
      </w:r>
      <w:r>
        <w:rPr>
          <w:rFonts w:ascii="Times New Roman" w:hAnsi="Times New Roman" w:cs="Times New Roman" w:eastAsiaTheme="minorEastAsia"/>
          <w:color w:val="000000" w:themeColor="text1"/>
          <w:sz w:val="24"/>
          <w:szCs w:val="24"/>
          <w:lang w:val="en-US"/>
          <w14:textFill>
            <w14:solidFill>
              <w14:schemeClr w14:val="tx1"/>
            </w14:solidFill>
          </w14:textFill>
        </w:rPr>
        <w:t>氨逃逸</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源强计算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参照《火电厂烟气脱硝工程技术规范 选择性催化还原法》要求脱硝系统氨逃逸浓度应控制在 2.5mg/m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以下，本次计算按氨逃逸质量浓度为 2.5mg/m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，排放强度小于0.202kg/h。</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表3-4-</w:t>
      </w:r>
      <w:r>
        <w:rPr>
          <w:rFonts w:hint="eastAsia" w:ascii="Times New Roman" w:hAnsiTheme="minorEastAsia" w:eastAsiaTheme="minorEastAsia"/>
          <w:b/>
          <w:bCs/>
          <w:color w:val="000000" w:themeColor="text1"/>
          <w:szCs w:val="24"/>
          <w14:textFill>
            <w14:solidFill>
              <w14:schemeClr w14:val="tx1"/>
            </w14:solidFill>
          </w14:textFill>
        </w:rPr>
        <w:t>2 新建70</w:t>
      </w:r>
      <w:r>
        <w:rPr>
          <w:rFonts w:ascii="Times New Roman" w:hAnsiTheme="minorEastAsia" w:eastAsiaTheme="minorEastAsia"/>
          <w:b/>
          <w:bCs/>
          <w:color w:val="000000" w:themeColor="text1"/>
          <w:szCs w:val="24"/>
          <w14:textFill>
            <w14:solidFill>
              <w14:schemeClr w14:val="tx1"/>
            </w14:solidFill>
          </w14:textFill>
        </w:rPr>
        <w:t>MW锅炉大气污染物产排情况表</w:t>
      </w:r>
    </w:p>
    <w:tbl>
      <w:tblPr>
        <w:tblStyle w:val="70"/>
        <w:tblW w:w="852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51"/>
        <w:gridCol w:w="852"/>
        <w:gridCol w:w="1954"/>
        <w:gridCol w:w="1043"/>
        <w:gridCol w:w="1394"/>
        <w:gridCol w:w="242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tblHeader/>
          <w:jc w:val="center"/>
        </w:trPr>
        <w:tc>
          <w:tcPr>
            <w:tcW w:w="3657" w:type="dxa"/>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符号</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单位</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参数</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1703" w:type="dxa"/>
            <w:gridSpan w:val="2"/>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烟囱</w:t>
            </w: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几何高度</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Hs</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1703" w:type="dxa"/>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出口内径</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D</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1703" w:type="dxa"/>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烟气量</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/h</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80934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大气污染物排放状况</w:t>
            </w:r>
          </w:p>
        </w:tc>
        <w:tc>
          <w:tcPr>
            <w:tcW w:w="852"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w:t>
            </w:r>
            <w:r>
              <w:rPr>
                <w:rFonts w:ascii="Times New Roman" w:eastAsiaTheme="minorEastAsia"/>
                <w:color w:val="000000" w:themeColor="text1"/>
                <w:sz w:val="21"/>
                <w:szCs w:val="21"/>
                <w:vertAlign w:val="subscript"/>
                <w14:textFill>
                  <w14:solidFill>
                    <w14:schemeClr w14:val="tx1"/>
                  </w14:solidFill>
                </w14:textFill>
              </w:rPr>
              <w:t>10</w:t>
            </w: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产生浓度</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7272.825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45"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排放浓度</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3.636</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（排放标准：</w:t>
            </w:r>
            <w:r>
              <w:rPr>
                <w:rFonts w:hint="eastAsia" w:ascii="Times New Roman" w:eastAsiaTheme="minorEastAsia"/>
                <w:color w:val="000000" w:themeColor="text1"/>
                <w:sz w:val="21"/>
                <w:szCs w:val="21"/>
                <w14:textFill>
                  <w14:solidFill>
                    <w14:schemeClr w14:val="tx1"/>
                  </w14:solidFill>
                </w14:textFill>
              </w:rPr>
              <w:t>10</w:t>
            </w: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w:t>
            </w:r>
          </w:p>
        </w:tc>
        <w:tc>
          <w:tcPr>
            <w:tcW w:w="104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588.619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4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1723.512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排放量</w:t>
            </w:r>
          </w:p>
        </w:tc>
        <w:tc>
          <w:tcPr>
            <w:tcW w:w="104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0.294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4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0.862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产生浓度</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CSO2</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434.023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59"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排放浓度</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CSO2</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21.697</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（排放标准：3</w:t>
            </w:r>
            <w:r>
              <w:rPr>
                <w:rFonts w:hint="eastAsia" w:ascii="Times New Roman" w:eastAsiaTheme="minorEastAsia"/>
                <w:color w:val="000000" w:themeColor="text1"/>
                <w:sz w:val="21"/>
                <w:szCs w:val="21"/>
                <w14:textFill>
                  <w14:solidFill>
                    <w14:schemeClr w14:val="tx1"/>
                  </w14:solidFill>
                </w14:textFill>
              </w:rPr>
              <w:t>5</w:t>
            </w: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w:t>
            </w:r>
          </w:p>
        </w:tc>
        <w:tc>
          <w:tcPr>
            <w:tcW w:w="104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MSO2</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35.127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4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102.861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排放量</w:t>
            </w:r>
          </w:p>
        </w:tc>
        <w:tc>
          <w:tcPr>
            <w:tcW w:w="104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MSO2</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1.756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4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5.143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X</w:t>
            </w: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产生浓度</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CNOx</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39"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排放浓度</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CNOx</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（排放标准：</w:t>
            </w:r>
            <w:r>
              <w:rPr>
                <w:rFonts w:hint="eastAsia" w:ascii="Times New Roman" w:eastAsiaTheme="minorEastAsia"/>
                <w:color w:val="000000" w:themeColor="text1"/>
                <w:sz w:val="21"/>
                <w:szCs w:val="21"/>
                <w14:textFill>
                  <w14:solidFill>
                    <w14:schemeClr w14:val="tx1"/>
                  </w14:solidFill>
                </w14:textFill>
              </w:rPr>
              <w:t>5</w:t>
            </w:r>
            <w:r>
              <w:rPr>
                <w:rFonts w:ascii="Times New Roman" w:eastAsiaTheme="minorEastAsia"/>
                <w:color w:val="000000" w:themeColor="text1"/>
                <w:sz w:val="21"/>
                <w:szCs w:val="21"/>
                <w14:textFill>
                  <w14:solidFill>
                    <w14:schemeClr w14:val="tx1"/>
                  </w14:solidFill>
                </w14:textFill>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w:t>
            </w:r>
          </w:p>
        </w:tc>
        <w:tc>
          <w:tcPr>
            <w:tcW w:w="104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MNOx</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16.187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4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47.395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排放量</w:t>
            </w:r>
          </w:p>
        </w:tc>
        <w:tc>
          <w:tcPr>
            <w:tcW w:w="104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MNOx</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3.237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4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9.479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汞及其化合物</w:t>
            </w: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产生浓度</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35"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排放浓度</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0.015</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（排放标准：0.05）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w:t>
            </w:r>
          </w:p>
        </w:tc>
        <w:tc>
          <w:tcPr>
            <w:tcW w:w="104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4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排放量</w:t>
            </w:r>
          </w:p>
        </w:tc>
        <w:tc>
          <w:tcPr>
            <w:tcW w:w="104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0.001 </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4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w:t>
            </w:r>
            <w:r>
              <w:rPr>
                <w:rFonts w:hint="eastAsia" w:ascii="Times New Roman" w:eastAsiaTheme="minorEastAsia"/>
                <w:color w:val="000000" w:themeColor="text1"/>
                <w:sz w:val="21"/>
                <w:szCs w:val="21"/>
                <w:vertAlign w:val="subscript"/>
                <w14:textFill>
                  <w14:solidFill>
                    <w14:schemeClr w14:val="tx1"/>
                  </w14:solidFill>
                </w14:textFill>
              </w:rPr>
              <w:t>2.5</w:t>
            </w: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产生浓度</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4727.336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排放浓度</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2.363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w:t>
            </w:r>
          </w:p>
        </w:tc>
        <w:tc>
          <w:tcPr>
            <w:tcW w:w="104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382.602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4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1120.283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排放量</w:t>
            </w:r>
          </w:p>
        </w:tc>
        <w:tc>
          <w:tcPr>
            <w:tcW w:w="104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0.191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4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NH</w:t>
            </w:r>
            <w:r>
              <w:rPr>
                <w:rFonts w:hint="eastAsia" w:ascii="Times New Roman" w:eastAsiaTheme="minorEastAsia"/>
                <w:color w:val="000000" w:themeColor="text1"/>
                <w:sz w:val="21"/>
                <w:szCs w:val="21"/>
                <w:vertAlign w:val="subscript"/>
                <w14:textFill>
                  <w14:solidFill>
                    <w14:schemeClr w14:val="tx1"/>
                  </w14:solidFill>
                </w14:textFill>
              </w:rPr>
              <w:t>3</w:t>
            </w: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产生浓度</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排放浓度</w:t>
            </w:r>
          </w:p>
        </w:tc>
        <w:tc>
          <w:tcPr>
            <w:tcW w:w="10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w:t>
            </w:r>
          </w:p>
        </w:tc>
        <w:tc>
          <w:tcPr>
            <w:tcW w:w="104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4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0.591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排放量</w:t>
            </w:r>
          </w:p>
        </w:tc>
        <w:tc>
          <w:tcPr>
            <w:tcW w:w="104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MA</w:t>
            </w: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0.202</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1" w:hRule="exact"/>
          <w:jc w:val="center"/>
        </w:trPr>
        <w:tc>
          <w:tcPr>
            <w:tcW w:w="85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5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4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24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0.591</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2、无组织废气</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①</w:t>
      </w:r>
      <w:bookmarkEnd w:id="113"/>
      <w:r>
        <w:rPr>
          <w:rFonts w:hint="eastAsia" w:ascii="Times New Roman" w:hAnsi="Times New Roman" w:cs="Times New Roman" w:eastAsiaTheme="minorEastAsia"/>
          <w:color w:val="000000" w:themeColor="text1"/>
          <w:sz w:val="24"/>
          <w:szCs w:val="24"/>
          <w:lang w:val="en-US"/>
          <w14:textFill>
            <w14:solidFill>
              <w14:schemeClr w14:val="tx1"/>
            </w14:solidFill>
          </w14:textFill>
        </w:rPr>
        <w:t>无组织氨</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本项目SNCR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-SCR脱硝</w:t>
      </w:r>
      <w:r>
        <w:rPr>
          <w:rFonts w:ascii="Times New Roman" w:hAnsi="Times New Roman" w:cs="Times New Roman" w:eastAsiaTheme="minorEastAsia"/>
          <w:color w:val="000000" w:themeColor="text1"/>
          <w:sz w:val="24"/>
          <w:szCs w:val="24"/>
          <w:lang w:val="en-US"/>
          <w14:textFill>
            <w14:solidFill>
              <w14:schemeClr w14:val="tx1"/>
            </w14:solidFill>
          </w14:textFill>
        </w:rPr>
        <w:t>系统采用尿素作为还原剂，系统运行过程中将使用50%的尿素溶液在炉内喷淋，完成SNCR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-SCR</w:t>
      </w:r>
      <w:r>
        <w:rPr>
          <w:rFonts w:ascii="Times New Roman" w:hAnsi="Times New Roman" w:cs="Times New Roman" w:eastAsiaTheme="minorEastAsia"/>
          <w:color w:val="000000" w:themeColor="text1"/>
          <w:sz w:val="24"/>
          <w:szCs w:val="24"/>
          <w:lang w:val="en-US"/>
          <w14:textFill>
            <w14:solidFill>
              <w14:schemeClr w14:val="tx1"/>
            </w14:solidFill>
          </w14:textFill>
        </w:rPr>
        <w:t>脱硝，因此产生的大部分NH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在炉膛内被焚烧氧化生成N</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和H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O。由于尿素中含有微量的游离氨（占总量的0.02%），在储存尿素溶液时会于尿素溶液罐逸出少量无组织排放的NH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根据《污染源源强核算技术指南锅炉》（HJ991-2018）中4.4.2.1中的要求，“料/堆场采用全封闭型式、储罐采用密闭容器的，废气无组织源强可忽略不计。”本项目尿素溶液储罐为密闭容器，尿素中游离氨溶于水所以尿素溶液游离氨的质量分数只有0.01%，不易逸出。所以本项目对尿素溶液储罐无组织排放的N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排放量忽略不计。</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②工业</w:t>
      </w:r>
      <w:r>
        <w:rPr>
          <w:rFonts w:ascii="Times New Roman" w:hAnsi="Times New Roman" w:cs="Times New Roman" w:eastAsiaTheme="minorEastAsia"/>
          <w:color w:val="000000" w:themeColor="text1"/>
          <w:sz w:val="24"/>
          <w:szCs w:val="24"/>
          <w:lang w:val="en-US"/>
          <w14:textFill>
            <w14:solidFill>
              <w14:schemeClr w14:val="tx1"/>
            </w14:solidFill>
          </w14:textFill>
        </w:rPr>
        <w:t>粉尘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A、碎煤机室产生的煤尘扬尘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碎煤机室的各落煤点会产生煤尘扬尘，在碎煤机室设置2套布袋除尘器，除尘效率99%（每台布袋除尘器的风量3000m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/h）；碎煤机室产生的粉尘经布袋除尘器除尘后，尾气直接经风机排放，碎煤机室有效排放高度20m。</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碎煤机室颗粒物产生量《逸散性工业粉尘控制技术》细碎粉尘产生系数0.15kg/t计算，颗粒物的产生量为2.153kg/h，碎煤机室颗粒物的排放量为0.022kg/h。</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B、原煤装卸产生扬尘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根据建设单位提供资料显示，储煤场面积为36000</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，最大贮煤约500</w:t>
      </w:r>
      <w:r>
        <w:rPr>
          <w:rFonts w:ascii="Times New Roman" w:hAnsi="Times New Roman" w:cs="Times New Roman" w:eastAsiaTheme="minorEastAsia"/>
          <w:color w:val="000000" w:themeColor="text1"/>
          <w:sz w:val="24"/>
          <w:szCs w:val="24"/>
          <w:lang w:val="en-US"/>
          <w14:textFill>
            <w14:solidFill>
              <w14:schemeClr w14:val="tx1"/>
            </w14:solidFill>
          </w14:textFill>
        </w:rPr>
        <w:t>00t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。根据《扬尘源颗粒物排放清单编制技术指南》，堆场扬尘源的排放量是装卸、运输引起的扬尘与堆积存放期间风蚀扬尘的加和，计算公式如下：</w:t>
      </w:r>
    </w:p>
    <w:p>
      <w:pPr>
        <w:pStyle w:val="41"/>
        <w:ind w:left="360" w:firstLine="20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3267075" cy="428625"/>
            <wp:effectExtent l="19050" t="0" r="9525" b="0"/>
            <wp:docPr id="76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图片 31"/>
                    <pic:cNvPicPr>
                      <a:picLocks noChangeAspect="1" noChangeArrowheads="1"/>
                    </pic:cNvPicPr>
                  </pic:nvPicPr>
                  <pic:blipFill>
                    <a:blip r:embed="rId47" cstate="print"/>
                    <a:srcRect/>
                    <a:stretch>
                      <a:fillRect/>
                    </a:stretch>
                  </pic:blipFill>
                  <pic:spPr>
                    <a:xfrm>
                      <a:off x="0" y="0"/>
                      <a:ext cx="3267075" cy="428625"/>
                    </a:xfrm>
                    <a:prstGeom prst="rect">
                      <a:avLst/>
                    </a:prstGeom>
                    <a:noFill/>
                    <a:ln w="9525">
                      <a:noFill/>
                      <a:miter lim="800000"/>
                      <a:headEnd/>
                      <a:tailEnd/>
                    </a:ln>
                  </pic:spPr>
                </pic:pic>
              </a:graphicData>
            </a:graphic>
          </wp:inline>
        </w:drawing>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式中：</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WY</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为堆场扬尘源中颗粒物总排放量，</w:t>
      </w:r>
      <w:r>
        <w:rPr>
          <w:rFonts w:ascii="Times New Roman" w:hAnsi="Times New Roman" w:cs="Times New Roman" w:eastAsiaTheme="minorEastAsia"/>
          <w:color w:val="000000" w:themeColor="text1"/>
          <w:sz w:val="24"/>
          <w:szCs w:val="24"/>
          <w:lang w:val="en-US"/>
          <w14:textFill>
            <w14:solidFill>
              <w14:schemeClr w14:val="tx1"/>
            </w14:solidFill>
          </w14:textFill>
        </w:rPr>
        <w:t>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Eh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为堆场装卸运输过程的扬尘颗粒物排放系数，</w:t>
      </w:r>
      <w:r>
        <w:rPr>
          <w:rFonts w:ascii="Times New Roman" w:hAnsi="Times New Roman" w:cs="Times New Roman" w:eastAsiaTheme="minorEastAsia"/>
          <w:color w:val="000000" w:themeColor="text1"/>
          <w:sz w:val="24"/>
          <w:szCs w:val="24"/>
          <w:lang w:val="en-US"/>
          <w14:textFill>
            <w14:solidFill>
              <w14:schemeClr w14:val="tx1"/>
            </w14:solidFill>
          </w14:textFill>
        </w:rPr>
        <w:t>kg/t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m </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为每年料堆物料装卸总次数，约750次，按年装卸42017</w:t>
      </w:r>
      <w:r>
        <w:rPr>
          <w:rFonts w:ascii="Times New Roman" w:hAnsi="Times New Roman" w:cs="Times New Roman" w:eastAsiaTheme="minorEastAsia"/>
          <w:color w:val="000000" w:themeColor="text1"/>
          <w:sz w:val="24"/>
          <w:szCs w:val="24"/>
          <w:lang w:val="en-US"/>
          <w14:textFill>
            <w14:solidFill>
              <w14:schemeClr w14:val="tx1"/>
            </w14:solidFill>
          </w14:textFill>
        </w:rPr>
        <w:t>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，每次约56.023</w:t>
      </w:r>
      <w:r>
        <w:rPr>
          <w:rFonts w:ascii="Times New Roman" w:hAnsi="Times New Roman" w:cs="Times New Roman" w:eastAsiaTheme="minorEastAsia"/>
          <w:color w:val="000000" w:themeColor="text1"/>
          <w:sz w:val="24"/>
          <w:szCs w:val="24"/>
          <w:lang w:val="en-US"/>
          <w14:textFill>
            <w14:solidFill>
              <w14:schemeClr w14:val="tx1"/>
            </w14:solidFill>
          </w14:textFill>
        </w:rPr>
        <w:t>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计。</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GYi</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为第</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i </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次装卸过程的物料装卸量，</w:t>
      </w:r>
      <w:r>
        <w:rPr>
          <w:rFonts w:ascii="Times New Roman" w:hAnsi="Times New Roman" w:cs="Times New Roman" w:eastAsiaTheme="minorEastAsia"/>
          <w:color w:val="000000" w:themeColor="text1"/>
          <w:sz w:val="24"/>
          <w:szCs w:val="24"/>
          <w:lang w:val="en-US"/>
          <w14:textFill>
            <w14:solidFill>
              <w14:schemeClr w14:val="tx1"/>
            </w14:solidFill>
          </w14:textFill>
        </w:rPr>
        <w:t>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，取10</w:t>
      </w:r>
      <w:r>
        <w:rPr>
          <w:rFonts w:ascii="Times New Roman" w:hAnsi="Times New Roman" w:cs="Times New Roman" w:eastAsiaTheme="minorEastAsia"/>
          <w:color w:val="000000" w:themeColor="text1"/>
          <w:sz w:val="24"/>
          <w:szCs w:val="24"/>
          <w:lang w:val="en-US"/>
          <w14:textFill>
            <w14:solidFill>
              <w14:schemeClr w14:val="tx1"/>
            </w14:solidFill>
          </w14:textFill>
        </w:rPr>
        <w:t>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Ew</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为料堆受到风蚀作用的颗粒物排放系数，</w:t>
      </w:r>
      <w:r>
        <w:rPr>
          <w:rFonts w:ascii="Times New Roman" w:hAnsi="Times New Roman" w:cs="Times New Roman" w:eastAsiaTheme="minorEastAsia"/>
          <w:color w:val="000000" w:themeColor="text1"/>
          <w:sz w:val="24"/>
          <w:szCs w:val="24"/>
          <w:lang w:val="en-US"/>
          <w14:textFill>
            <w14:solidFill>
              <w14:schemeClr w14:val="tx1"/>
            </w14:solidFill>
          </w14:textFill>
        </w:rPr>
        <w:t>kg/m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，取0。</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AY</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为料堆表面积，</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，取20000。</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装卸、运输物料过程扬尘排放系数的估算：</w:t>
      </w:r>
    </w:p>
    <w:p>
      <w:pPr>
        <w:ind w:firstLine="18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2276475" cy="638175"/>
            <wp:effectExtent l="19050" t="0" r="9525" b="0"/>
            <wp:docPr id="75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图片 32"/>
                    <pic:cNvPicPr>
                      <a:picLocks noChangeAspect="1" noChangeArrowheads="1"/>
                    </pic:cNvPicPr>
                  </pic:nvPicPr>
                  <pic:blipFill>
                    <a:blip r:embed="rId48" cstate="print"/>
                    <a:srcRect/>
                    <a:stretch>
                      <a:fillRect/>
                    </a:stretch>
                  </pic:blipFill>
                  <pic:spPr>
                    <a:xfrm>
                      <a:off x="0" y="0"/>
                      <a:ext cx="2276475" cy="638175"/>
                    </a:xfrm>
                    <a:prstGeom prst="rect">
                      <a:avLst/>
                    </a:prstGeom>
                    <a:noFill/>
                    <a:ln w="9525">
                      <a:noFill/>
                      <a:miter lim="800000"/>
                      <a:headEnd/>
                      <a:tailEnd/>
                    </a:ln>
                  </pic:spPr>
                </pic:pic>
              </a:graphicData>
            </a:graphic>
          </wp:inline>
        </w:drawing>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Eh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为堆场装卸扬尘的排放系数，</w:t>
      </w:r>
      <w:r>
        <w:rPr>
          <w:rFonts w:ascii="Times New Roman" w:hAnsi="Times New Roman" w:cs="Times New Roman" w:eastAsiaTheme="minorEastAsia"/>
          <w:color w:val="000000" w:themeColor="text1"/>
          <w:sz w:val="24"/>
          <w:szCs w:val="24"/>
          <w:lang w:val="en-US"/>
          <w14:textFill>
            <w14:solidFill>
              <w14:schemeClr w14:val="tx1"/>
            </w14:solidFill>
          </w14:textFill>
        </w:rPr>
        <w:t>kg/t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ki</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为物料的粒度乘数，取</w:t>
      </w:r>
      <w:r>
        <w:rPr>
          <w:rFonts w:ascii="Times New Roman" w:hAnsi="Times New Roman" w:cs="Times New Roman" w:eastAsiaTheme="minorEastAsia"/>
          <w:color w:val="000000" w:themeColor="text1"/>
          <w:sz w:val="24"/>
          <w:szCs w:val="24"/>
          <w:lang w:val="en-US"/>
          <w14:textFill>
            <w14:solidFill>
              <w14:schemeClr w14:val="tx1"/>
            </w14:solidFill>
          </w14:textFill>
        </w:rPr>
        <w:t>0.74</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u </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为地面平均风速，</w:t>
      </w:r>
      <w:r>
        <w:rPr>
          <w:rFonts w:ascii="Times New Roman" w:hAnsi="Times New Roman" w:cs="Times New Roman" w:eastAsiaTheme="minorEastAsia"/>
          <w:color w:val="000000" w:themeColor="text1"/>
          <w:sz w:val="24"/>
          <w:szCs w:val="24"/>
          <w:lang w:val="en-US"/>
          <w14:textFill>
            <w14:solidFill>
              <w14:schemeClr w14:val="tx1"/>
            </w14:solidFill>
          </w14:textFill>
        </w:rPr>
        <w:t>m/s</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，平均风速取</w:t>
      </w:r>
      <w:r>
        <w:rPr>
          <w:rFonts w:ascii="Times New Roman" w:hAnsi="Times New Roman" w:cs="Times New Roman" w:eastAsiaTheme="minorEastAsia"/>
          <w:color w:val="000000" w:themeColor="text1"/>
          <w:sz w:val="24"/>
          <w:szCs w:val="24"/>
          <w:lang w:val="en-US"/>
          <w14:textFill>
            <w14:solidFill>
              <w14:schemeClr w14:val="tx1"/>
            </w14:solidFill>
          </w14:textFill>
        </w:rPr>
        <w:t>2.5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M </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为物料含水率，</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，根据煤质报告取23.6。</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η</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为污染控制技术对扬尘的去除效率，</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，取</w:t>
      </w:r>
      <w:r>
        <w:rPr>
          <w:rFonts w:ascii="Times New Roman" w:hAnsi="Times New Roman" w:cs="Times New Roman" w:eastAsiaTheme="minorEastAsia"/>
          <w:color w:val="000000" w:themeColor="text1"/>
          <w:sz w:val="24"/>
          <w:szCs w:val="24"/>
          <w:lang w:val="en-US"/>
          <w14:textFill>
            <w14:solidFill>
              <w14:schemeClr w14:val="tx1"/>
            </w14:solidFill>
          </w14:textFill>
        </w:rPr>
        <w:t>0.99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（半封闭储煤场）。</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经计算，本项目储煤场煤尘排放量为</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0.0000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，按每天装卸作业</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1h </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计算，年作业</w:t>
      </w:r>
      <w:r>
        <w:rPr>
          <w:rFonts w:ascii="Times New Roman" w:hAnsi="Times New Roman" w:cs="Times New Roman" w:eastAsiaTheme="minorEastAsia"/>
          <w:color w:val="000000" w:themeColor="text1"/>
          <w:sz w:val="24"/>
          <w:szCs w:val="24"/>
          <w:lang w:val="en-US"/>
          <w14:textFill>
            <w14:solidFill>
              <w14:schemeClr w14:val="tx1"/>
            </w14:solidFill>
          </w14:textFill>
        </w:rPr>
        <w:t>183h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，则排放速率为</w:t>
      </w:r>
      <w:r>
        <w:rPr>
          <w:rFonts w:ascii="Times New Roman" w:hAnsi="Times New Roman" w:cs="Times New Roman" w:eastAsiaTheme="minorEastAsia"/>
          <w:color w:val="000000" w:themeColor="text1"/>
          <w:sz w:val="24"/>
          <w:szCs w:val="24"/>
          <w:lang w:val="en-US"/>
          <w14:textFill>
            <w14:solidFill>
              <w14:schemeClr w14:val="tx1"/>
            </w14:solidFill>
          </w14:textFill>
        </w:rPr>
        <w:t>0.000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w:t>
      </w:r>
      <w:r>
        <w:rPr>
          <w:rFonts w:ascii="Times New Roman" w:hAnsi="Times New Roman" w:cs="Times New Roman" w:eastAsiaTheme="minorEastAsia"/>
          <w:color w:val="000000" w:themeColor="text1"/>
          <w:sz w:val="24"/>
          <w:szCs w:val="24"/>
          <w:lang w:val="en-US"/>
          <w14:textFill>
            <w14:solidFill>
              <w14:schemeClr w14:val="tx1"/>
            </w14:solidFill>
          </w14:textFill>
        </w:rPr>
        <w:t>kg/h</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C、其他环节无组织粉尘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厂区内原有输煤系统的筛分、输送环节均已采用封闭措施，输送过程采用封闭煤廊带式输送机输送</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，本项目输煤栈桥侧面及屋面均用100mm厚金属保温墙板或屋面板封闭，输送皮带上方设有喷淋水管用于燃料干燥时的加湿。此环节没有无组织逸散粉尘产生</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③交通运输移动源废气分析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根据《道路机动车大气污染物排放清单编制技术指南（试行）》中表6 柴油车各车型综合基准排放系数，本项目按照中型柴油车，执行国四排放标准计算。其中CO：1.65g/km、THC：0.103g/km、NOx：4.354g/km。</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本项目燃煤运输车辆所经路段采用中型卡车2313次/a，CO、THC、NOx 年排放量为0.015t/a、0.001t/a 和0.04t/a。本项目锅炉灰渣和脱硫渣运输距离为 15km，运输车辆所经路段新增中型卡 357次/a，CO、THC、NOx 年排放量为0.0088t/a、0.00055t/a 和0.0233t/a。</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3.4.4.2 水污染物源强核算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热源厂用水中，循环系统用水大部分用于补充锅炉管网中产生的渗漏、蒸发、物料带出等损耗水，不外排。因此，本项目在运行过程中废水主要为生产工艺排水，包括锅炉排污水等，本次工程不新增员工生活污水。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生产废水采用“中和沉淀+絮凝”工艺处理后用于地面冲洗水、输煤系统除尘、冲渣用水，</w:t>
      </w:r>
      <w:r>
        <w:rPr>
          <w:rFonts w:ascii="Times New Roman" w:hAnsi="Times New Roman" w:cs="Times New Roman" w:eastAsiaTheme="minorEastAsia"/>
          <w:color w:val="000000" w:themeColor="text1"/>
          <w:sz w:val="24"/>
          <w:szCs w:val="24"/>
          <w:lang w:val="en-US"/>
          <w14:textFill>
            <w14:solidFill>
              <w14:schemeClr w14:val="tx1"/>
            </w14:solidFill>
          </w14:textFill>
        </w:rPr>
        <w:t>不向外环境排放。本项目无新增劳动定员，无新增生活污水。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厂区生产废水包括软化水系统脱盐浓水、脱硫废水、锅炉排污水排入脱硫水池，经中和沉淀+絮凝处理后回用于地面冲洗水、输煤系统降尘水和冷渣机用水，不外排。本项目脱硫水池的容积为600m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，能够储存7d 的厂区生产废水最大产生量，排污降温池采用“中和沉淀+絮凝”处理工艺，</w:t>
      </w:r>
      <w:r>
        <w:rPr>
          <w:rFonts w:ascii="Times New Roman" w:hAnsi="Times New Roman" w:cs="Times New Roman" w:eastAsiaTheme="minorEastAsia"/>
          <w:color w:val="000000" w:themeColor="text1"/>
          <w:sz w:val="24"/>
          <w:szCs w:val="24"/>
          <w:lang w:val="en-US"/>
          <w14:textFill>
            <w14:solidFill>
              <w14:schemeClr w14:val="tx1"/>
            </w14:solidFill>
          </w14:textFill>
        </w:rPr>
        <w:t>本项目新</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扩</w:t>
      </w:r>
      <w:r>
        <w:rPr>
          <w:rFonts w:ascii="Times New Roman" w:hAnsi="Times New Roman" w:cs="Times New Roman" w:eastAsiaTheme="minorEastAsia"/>
          <w:color w:val="000000" w:themeColor="text1"/>
          <w:sz w:val="24"/>
          <w:szCs w:val="24"/>
          <w:lang w:val="en-US"/>
          <w14:textFill>
            <w14:solidFill>
              <w14:schemeClr w14:val="tx1"/>
            </w14:solidFill>
          </w14:textFill>
        </w:rPr>
        <w:t>建锅炉排污水量为43.1m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/d，软化水系统排污水量为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9.84</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/d，用于输煤降尘（5.2m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/d）、除灰渣（</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15.74</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/d）、脱硫（31.1m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/d）及地面冲洗（0.9m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/d），不外排。因此，本项目生产污水全部回用不外排；无新增生活污水。</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w:t>
      </w:r>
      <w:r>
        <w:rPr>
          <w:rFonts w:hint="eastAsia" w:ascii="Times New Roman" w:hAnsiTheme="minorEastAsia" w:eastAsiaTheme="minorEastAsia"/>
          <w:b/>
          <w:bCs/>
          <w:color w:val="000000" w:themeColor="text1"/>
          <w:szCs w:val="24"/>
          <w14:textFill>
            <w14:solidFill>
              <w14:schemeClr w14:val="tx1"/>
            </w14:solidFill>
          </w14:textFill>
        </w:rPr>
        <w:t>3-4-3</w:t>
      </w:r>
      <w:r>
        <w:rPr>
          <w:rFonts w:ascii="Times New Roman" w:hAnsiTheme="minorEastAsia" w:eastAsiaTheme="minorEastAsia"/>
          <w:b/>
          <w:bCs/>
          <w:color w:val="000000" w:themeColor="text1"/>
          <w:szCs w:val="24"/>
          <w14:textFill>
            <w14:solidFill>
              <w14:schemeClr w14:val="tx1"/>
            </w14:solidFill>
          </w14:textFill>
        </w:rPr>
        <w:t xml:space="preserve">  废水污染源源强核算结果及相关参数一览表</w:t>
      </w:r>
    </w:p>
    <w:tbl>
      <w:tblPr>
        <w:tblStyle w:val="70"/>
        <w:tblW w:w="78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2"/>
        <w:gridCol w:w="374"/>
        <w:gridCol w:w="464"/>
        <w:gridCol w:w="395"/>
        <w:gridCol w:w="641"/>
        <w:gridCol w:w="923"/>
        <w:gridCol w:w="708"/>
        <w:gridCol w:w="627"/>
        <w:gridCol w:w="346"/>
        <w:gridCol w:w="614"/>
        <w:gridCol w:w="538"/>
        <w:gridCol w:w="691"/>
        <w:gridCol w:w="742"/>
        <w:gridCol w:w="4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 w:hRule="atLeast"/>
          <w:jc w:val="center"/>
        </w:trPr>
        <w:tc>
          <w:tcPr>
            <w:tcW w:w="352" w:type="dxa"/>
            <w:vMerge w:val="restart"/>
            <w:vAlign w:val="center"/>
          </w:tcPr>
          <w:p>
            <w:pPr>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工序/生产线</w:t>
            </w:r>
          </w:p>
        </w:tc>
        <w:tc>
          <w:tcPr>
            <w:tcW w:w="374" w:type="dxa"/>
            <w:vMerge w:val="restart"/>
            <w:vAlign w:val="center"/>
          </w:tcPr>
          <w:p>
            <w:pPr>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装置</w:t>
            </w:r>
          </w:p>
        </w:tc>
        <w:tc>
          <w:tcPr>
            <w:tcW w:w="464" w:type="dxa"/>
            <w:vMerge w:val="restart"/>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污染源</w:t>
            </w:r>
          </w:p>
        </w:tc>
        <w:tc>
          <w:tcPr>
            <w:tcW w:w="395" w:type="dxa"/>
            <w:vMerge w:val="restart"/>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污染物</w:t>
            </w:r>
          </w:p>
        </w:tc>
        <w:tc>
          <w:tcPr>
            <w:tcW w:w="2899" w:type="dxa"/>
            <w:gridSpan w:val="4"/>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污染物产生</w:t>
            </w:r>
          </w:p>
        </w:tc>
        <w:tc>
          <w:tcPr>
            <w:tcW w:w="960" w:type="dxa"/>
            <w:gridSpan w:val="2"/>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治理措施</w:t>
            </w:r>
          </w:p>
        </w:tc>
        <w:tc>
          <w:tcPr>
            <w:tcW w:w="1971" w:type="dxa"/>
            <w:gridSpan w:val="3"/>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污染物排放</w:t>
            </w:r>
          </w:p>
        </w:tc>
        <w:tc>
          <w:tcPr>
            <w:tcW w:w="460" w:type="dxa"/>
            <w:vMerge w:val="restart"/>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2" w:type="dxa"/>
            <w:vMerge w:val="continue"/>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p>
        </w:tc>
        <w:tc>
          <w:tcPr>
            <w:tcW w:w="374" w:type="dxa"/>
            <w:vMerge w:val="continue"/>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p>
        </w:tc>
        <w:tc>
          <w:tcPr>
            <w:tcW w:w="464" w:type="dxa"/>
            <w:vMerge w:val="continue"/>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p>
        </w:tc>
        <w:tc>
          <w:tcPr>
            <w:tcW w:w="395" w:type="dxa"/>
            <w:vMerge w:val="continue"/>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p>
        </w:tc>
        <w:tc>
          <w:tcPr>
            <w:tcW w:w="641"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核算方法</w:t>
            </w:r>
          </w:p>
        </w:tc>
        <w:tc>
          <w:tcPr>
            <w:tcW w:w="923" w:type="dxa"/>
            <w:vAlign w:val="center"/>
          </w:tcPr>
          <w:p>
            <w:pPr>
              <w:pStyle w:val="1114"/>
              <w:ind w:firstLine="0" w:firstLineChars="0"/>
              <w:contextualSpacing/>
              <w:rPr>
                <w:rFonts w:ascii="Times New Roman" w:hAnsi="Times New Roman" w:eastAsiaTheme="minorEastAsia"/>
                <w:color w:val="000000" w:themeColor="text1"/>
                <w:sz w:val="21"/>
                <w:szCs w:val="21"/>
                <w14:textFill>
                  <w14:solidFill>
                    <w14:schemeClr w14:val="tx1"/>
                  </w14:solidFill>
                </w14:textFill>
              </w:rPr>
            </w:pPr>
            <w:r>
              <w:rPr>
                <w:rFonts w:ascii="Times New Roman" w:hAnsi="Times New Roman" w:eastAsiaTheme="minorEastAsia"/>
                <w:color w:val="000000" w:themeColor="text1"/>
                <w:sz w:val="21"/>
                <w:szCs w:val="21"/>
                <w14:textFill>
                  <w14:solidFill>
                    <w14:schemeClr w14:val="tx1"/>
                  </w14:solidFill>
                </w14:textFill>
              </w:rPr>
              <w:t>废水产生量t/</w:t>
            </w:r>
            <w:r>
              <w:rPr>
                <w:rFonts w:hint="eastAsia" w:ascii="Times New Roman" w:hAnsi="Times New Roman" w:eastAsiaTheme="minorEastAsia"/>
                <w:color w:val="000000" w:themeColor="text1"/>
                <w:sz w:val="21"/>
                <w:szCs w:val="21"/>
                <w14:textFill>
                  <w14:solidFill>
                    <w14:schemeClr w14:val="tx1"/>
                  </w14:solidFill>
                </w14:textFill>
              </w:rPr>
              <w:t>d</w:t>
            </w:r>
          </w:p>
        </w:tc>
        <w:tc>
          <w:tcPr>
            <w:tcW w:w="708" w:type="dxa"/>
            <w:vAlign w:val="center"/>
          </w:tcPr>
          <w:p>
            <w:pPr>
              <w:pStyle w:val="1114"/>
              <w:ind w:firstLine="0" w:firstLineChars="0"/>
              <w:contextualSpacing/>
              <w:rPr>
                <w:rFonts w:ascii="Times New Roman" w:hAnsi="Times New Roman" w:eastAsiaTheme="minorEastAsia"/>
                <w:color w:val="000000" w:themeColor="text1"/>
                <w:sz w:val="21"/>
                <w:szCs w:val="21"/>
                <w14:textFill>
                  <w14:solidFill>
                    <w14:schemeClr w14:val="tx1"/>
                  </w14:solidFill>
                </w14:textFill>
              </w:rPr>
            </w:pPr>
            <w:r>
              <w:rPr>
                <w:rFonts w:ascii="Times New Roman" w:hAnsi="Times New Roman" w:eastAsiaTheme="minorEastAsia"/>
                <w:color w:val="000000" w:themeColor="text1"/>
                <w:sz w:val="21"/>
                <w:szCs w:val="21"/>
                <w14:textFill>
                  <w14:solidFill>
                    <w14:schemeClr w14:val="tx1"/>
                  </w14:solidFill>
                </w14:textFill>
              </w:rPr>
              <w:t>产生浓度mg/L</w:t>
            </w:r>
          </w:p>
        </w:tc>
        <w:tc>
          <w:tcPr>
            <w:tcW w:w="627" w:type="dxa"/>
            <w:vAlign w:val="center"/>
          </w:tcPr>
          <w:p>
            <w:pPr>
              <w:pStyle w:val="1114"/>
              <w:ind w:firstLine="0" w:firstLineChars="0"/>
              <w:contextualSpacing/>
              <w:rPr>
                <w:rFonts w:ascii="Times New Roman" w:hAnsi="Times New Roman" w:eastAsiaTheme="minorEastAsia"/>
                <w:color w:val="000000" w:themeColor="text1"/>
                <w:sz w:val="21"/>
                <w:szCs w:val="21"/>
                <w14:textFill>
                  <w14:solidFill>
                    <w14:schemeClr w14:val="tx1"/>
                  </w14:solidFill>
                </w14:textFill>
              </w:rPr>
            </w:pPr>
            <w:r>
              <w:rPr>
                <w:rFonts w:ascii="Times New Roman" w:hAnsi="Times New Roman" w:eastAsiaTheme="minorEastAsia"/>
                <w:color w:val="000000" w:themeColor="text1"/>
                <w:sz w:val="21"/>
                <w:szCs w:val="21"/>
                <w14:textFill>
                  <w14:solidFill>
                    <w14:schemeClr w14:val="tx1"/>
                  </w14:solidFill>
                </w14:textFill>
              </w:rPr>
              <w:t>产生量</w:t>
            </w:r>
          </w:p>
          <w:p>
            <w:pPr>
              <w:pStyle w:val="1114"/>
              <w:ind w:firstLine="0" w:firstLineChars="0"/>
              <w:contextualSpacing/>
              <w:rPr>
                <w:rFonts w:ascii="Times New Roman" w:hAnsi="Times New Roman" w:eastAsiaTheme="minorEastAsia"/>
                <w:color w:val="000000" w:themeColor="text1"/>
                <w:sz w:val="21"/>
                <w:szCs w:val="21"/>
                <w14:textFill>
                  <w14:solidFill>
                    <w14:schemeClr w14:val="tx1"/>
                  </w14:solidFill>
                </w14:textFill>
              </w:rPr>
            </w:pPr>
            <w:r>
              <w:rPr>
                <w:rFonts w:ascii="Times New Roman" w:hAnsi="Times New Roman" w:eastAsiaTheme="minorEastAsia"/>
                <w:color w:val="000000" w:themeColor="text1"/>
                <w:sz w:val="21"/>
                <w:szCs w:val="21"/>
                <w14:textFill>
                  <w14:solidFill>
                    <w14:schemeClr w14:val="tx1"/>
                  </w14:solidFill>
                </w14:textFill>
              </w:rPr>
              <w:t>t/a</w:t>
            </w:r>
          </w:p>
        </w:tc>
        <w:tc>
          <w:tcPr>
            <w:tcW w:w="346"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工艺</w:t>
            </w:r>
          </w:p>
        </w:tc>
        <w:tc>
          <w:tcPr>
            <w:tcW w:w="614"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效率</w:t>
            </w:r>
          </w:p>
        </w:tc>
        <w:tc>
          <w:tcPr>
            <w:tcW w:w="538"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核算方法</w:t>
            </w:r>
          </w:p>
        </w:tc>
        <w:tc>
          <w:tcPr>
            <w:tcW w:w="691" w:type="dxa"/>
            <w:vAlign w:val="center"/>
          </w:tcPr>
          <w:p>
            <w:pPr>
              <w:pStyle w:val="1114"/>
              <w:ind w:firstLine="0" w:firstLineChars="0"/>
              <w:contextualSpacing/>
              <w:rPr>
                <w:rFonts w:ascii="Times New Roman" w:hAnsi="Times New Roman" w:eastAsiaTheme="minorEastAsia"/>
                <w:color w:val="000000" w:themeColor="text1"/>
                <w:sz w:val="21"/>
                <w:szCs w:val="21"/>
                <w14:textFill>
                  <w14:solidFill>
                    <w14:schemeClr w14:val="tx1"/>
                  </w14:solidFill>
                </w14:textFill>
              </w:rPr>
            </w:pPr>
            <w:r>
              <w:rPr>
                <w:rFonts w:ascii="Times New Roman" w:hAnsi="Times New Roman" w:eastAsiaTheme="minorEastAsia"/>
                <w:color w:val="000000" w:themeColor="text1"/>
                <w:sz w:val="21"/>
                <w:szCs w:val="21"/>
                <w14:textFill>
                  <w14:solidFill>
                    <w14:schemeClr w14:val="tx1"/>
                  </w14:solidFill>
                </w14:textFill>
              </w:rPr>
              <w:t>排放浓度mg/L</w:t>
            </w:r>
          </w:p>
        </w:tc>
        <w:tc>
          <w:tcPr>
            <w:tcW w:w="742" w:type="dxa"/>
            <w:vAlign w:val="center"/>
          </w:tcPr>
          <w:p>
            <w:pPr>
              <w:pStyle w:val="1114"/>
              <w:ind w:firstLine="0" w:firstLineChars="0"/>
              <w:contextualSpacing/>
              <w:rPr>
                <w:rFonts w:ascii="Times New Roman" w:hAnsi="Times New Roman" w:eastAsiaTheme="minorEastAsia"/>
                <w:color w:val="000000" w:themeColor="text1"/>
                <w:sz w:val="21"/>
                <w:szCs w:val="21"/>
                <w14:textFill>
                  <w14:solidFill>
                    <w14:schemeClr w14:val="tx1"/>
                  </w14:solidFill>
                </w14:textFill>
              </w:rPr>
            </w:pPr>
            <w:r>
              <w:rPr>
                <w:rFonts w:ascii="Times New Roman" w:hAnsi="Times New Roman" w:eastAsiaTheme="minorEastAsia"/>
                <w:color w:val="000000" w:themeColor="text1"/>
                <w:sz w:val="21"/>
                <w:szCs w:val="21"/>
                <w14:textFill>
                  <w14:solidFill>
                    <w14:schemeClr w14:val="tx1"/>
                  </w14:solidFill>
                </w14:textFill>
              </w:rPr>
              <w:t>排放量t/a</w:t>
            </w:r>
          </w:p>
        </w:tc>
        <w:tc>
          <w:tcPr>
            <w:tcW w:w="460" w:type="dxa"/>
            <w:vMerge w:val="continue"/>
            <w:vAlign w:val="center"/>
          </w:tcPr>
          <w:p>
            <w:pPr>
              <w:pStyle w:val="1114"/>
              <w:ind w:firstLine="0" w:firstLineChars="0"/>
              <w:contextualSpacing/>
              <w:rPr>
                <w:rFonts w:ascii="Times New Roman" w:hAns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2" w:type="dxa"/>
            <w:vMerge w:val="restart"/>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锅炉排污水</w:t>
            </w:r>
          </w:p>
        </w:tc>
        <w:tc>
          <w:tcPr>
            <w:tcW w:w="374" w:type="dxa"/>
            <w:vMerge w:val="restart"/>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锅炉</w:t>
            </w:r>
          </w:p>
        </w:tc>
        <w:tc>
          <w:tcPr>
            <w:tcW w:w="464" w:type="dxa"/>
            <w:vMerge w:val="restart"/>
            <w:vAlign w:val="center"/>
          </w:tcPr>
          <w:p>
            <w:pPr>
              <w:widowControl/>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锅炉污水</w:t>
            </w:r>
          </w:p>
        </w:tc>
        <w:tc>
          <w:tcPr>
            <w:tcW w:w="395" w:type="dxa"/>
            <w:vAlign w:val="center"/>
          </w:tcPr>
          <w:p>
            <w:pPr>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COD</w:t>
            </w:r>
          </w:p>
        </w:tc>
        <w:tc>
          <w:tcPr>
            <w:tcW w:w="641"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类比法</w:t>
            </w:r>
          </w:p>
        </w:tc>
        <w:tc>
          <w:tcPr>
            <w:tcW w:w="923"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43.1</w:t>
            </w:r>
          </w:p>
        </w:tc>
        <w:tc>
          <w:tcPr>
            <w:tcW w:w="708"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199.6</w:t>
            </w:r>
          </w:p>
        </w:tc>
        <w:tc>
          <w:tcPr>
            <w:tcW w:w="627"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1.574</w:t>
            </w:r>
          </w:p>
        </w:tc>
        <w:tc>
          <w:tcPr>
            <w:tcW w:w="346" w:type="dxa"/>
            <w:vMerge w:val="restart"/>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中和沉淀+絮凝</w:t>
            </w:r>
          </w:p>
        </w:tc>
        <w:tc>
          <w:tcPr>
            <w:tcW w:w="614" w:type="dxa"/>
            <w:vAlign w:val="center"/>
          </w:tcPr>
          <w:p>
            <w:pPr>
              <w:pStyle w:val="1412"/>
              <w:adjustRightInd/>
              <w:snapToGrid/>
              <w:spacing w:line="240" w:lineRule="auto"/>
              <w:ind w:firstLine="0" w:firstLineChars="0"/>
              <w:contextualSpacing/>
              <w:jc w:val="center"/>
              <w:rPr>
                <w:rFonts w:eastAsiaTheme="minorEastAsia"/>
                <w:bCs/>
                <w:color w:val="000000" w:themeColor="text1"/>
                <w:sz w:val="21"/>
                <w:szCs w:val="21"/>
                <w14:textFill>
                  <w14:solidFill>
                    <w14:schemeClr w14:val="tx1"/>
                  </w14:solidFill>
                </w14:textFill>
              </w:rPr>
            </w:pPr>
            <w:r>
              <w:rPr>
                <w:rFonts w:hint="eastAsia" w:eastAsiaTheme="minorEastAsia"/>
                <w:bCs/>
                <w:color w:val="000000" w:themeColor="text1"/>
                <w:sz w:val="21"/>
                <w:szCs w:val="21"/>
                <w14:textFill>
                  <w14:solidFill>
                    <w14:schemeClr w14:val="tx1"/>
                  </w14:solidFill>
                </w14:textFill>
              </w:rPr>
              <w:t>20%</w:t>
            </w:r>
          </w:p>
        </w:tc>
        <w:tc>
          <w:tcPr>
            <w:tcW w:w="538" w:type="dxa"/>
            <w:tcBorders>
              <w:top w:val="single" w:color="auto" w:sz="2" w:space="0"/>
              <w:bottom w:val="single" w:color="auto" w:sz="2" w:space="0"/>
            </w:tcBorders>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类比法</w:t>
            </w:r>
          </w:p>
        </w:tc>
        <w:tc>
          <w:tcPr>
            <w:tcW w:w="691"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1</w:t>
            </w:r>
            <w:r>
              <w:rPr>
                <w:rFonts w:hint="eastAsia" w:ascii="Times New Roman" w:hAnsi="Times New Roman" w:cs="Times New Roman" w:eastAsiaTheme="minorEastAsia"/>
                <w:color w:val="000000" w:themeColor="text1"/>
                <w:sz w:val="21"/>
                <w:szCs w:val="21"/>
                <w14:textFill>
                  <w14:solidFill>
                    <w14:schemeClr w14:val="tx1"/>
                  </w14:solidFill>
                </w14:textFill>
              </w:rPr>
              <w:t>59.7</w:t>
            </w:r>
          </w:p>
        </w:tc>
        <w:tc>
          <w:tcPr>
            <w:tcW w:w="742"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0</w:t>
            </w:r>
          </w:p>
        </w:tc>
        <w:tc>
          <w:tcPr>
            <w:tcW w:w="460"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4392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2" w:type="dxa"/>
            <w:vMerge w:val="continue"/>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p>
        </w:tc>
        <w:tc>
          <w:tcPr>
            <w:tcW w:w="374" w:type="dxa"/>
            <w:vMerge w:val="continue"/>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p>
        </w:tc>
        <w:tc>
          <w:tcPr>
            <w:tcW w:w="464" w:type="dxa"/>
            <w:vMerge w:val="continue"/>
            <w:vAlign w:val="center"/>
          </w:tcPr>
          <w:p>
            <w:pPr>
              <w:widowControl/>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p>
        </w:tc>
        <w:tc>
          <w:tcPr>
            <w:tcW w:w="395" w:type="dxa"/>
            <w:vAlign w:val="center"/>
          </w:tcPr>
          <w:p>
            <w:pPr>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TDS</w:t>
            </w:r>
          </w:p>
        </w:tc>
        <w:tc>
          <w:tcPr>
            <w:tcW w:w="641"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类比法</w:t>
            </w:r>
          </w:p>
        </w:tc>
        <w:tc>
          <w:tcPr>
            <w:tcW w:w="923"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43.1</w:t>
            </w:r>
          </w:p>
        </w:tc>
        <w:tc>
          <w:tcPr>
            <w:tcW w:w="708"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2500</w:t>
            </w:r>
          </w:p>
        </w:tc>
        <w:tc>
          <w:tcPr>
            <w:tcW w:w="627"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19.718</w:t>
            </w:r>
          </w:p>
        </w:tc>
        <w:tc>
          <w:tcPr>
            <w:tcW w:w="346" w:type="dxa"/>
            <w:vMerge w:val="continue"/>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p>
        </w:tc>
        <w:tc>
          <w:tcPr>
            <w:tcW w:w="614" w:type="dxa"/>
            <w:vAlign w:val="center"/>
          </w:tcPr>
          <w:p>
            <w:pPr>
              <w:pStyle w:val="1412"/>
              <w:adjustRightInd/>
              <w:snapToGrid/>
              <w:spacing w:line="240" w:lineRule="auto"/>
              <w:ind w:firstLine="0" w:firstLineChars="0"/>
              <w:contextualSpacing/>
              <w:jc w:val="center"/>
              <w:rPr>
                <w:rFonts w:eastAsiaTheme="minorEastAsia"/>
                <w:bCs/>
                <w:color w:val="000000" w:themeColor="text1"/>
                <w:sz w:val="21"/>
                <w:szCs w:val="21"/>
                <w14:textFill>
                  <w14:solidFill>
                    <w14:schemeClr w14:val="tx1"/>
                  </w14:solidFill>
                </w14:textFill>
              </w:rPr>
            </w:pPr>
            <w:r>
              <w:rPr>
                <w:rFonts w:hint="eastAsia" w:eastAsiaTheme="minorEastAsia"/>
                <w:bCs/>
                <w:color w:val="000000" w:themeColor="text1"/>
                <w:sz w:val="21"/>
                <w:szCs w:val="21"/>
                <w14:textFill>
                  <w14:solidFill>
                    <w14:schemeClr w14:val="tx1"/>
                  </w14:solidFill>
                </w14:textFill>
              </w:rPr>
              <w:t>70%</w:t>
            </w:r>
          </w:p>
        </w:tc>
        <w:tc>
          <w:tcPr>
            <w:tcW w:w="538" w:type="dxa"/>
            <w:tcBorders>
              <w:top w:val="single" w:color="auto" w:sz="2" w:space="0"/>
              <w:bottom w:val="single" w:color="auto" w:sz="2" w:space="0"/>
            </w:tcBorders>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类比法</w:t>
            </w:r>
          </w:p>
        </w:tc>
        <w:tc>
          <w:tcPr>
            <w:tcW w:w="691"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750</w:t>
            </w:r>
          </w:p>
        </w:tc>
        <w:tc>
          <w:tcPr>
            <w:tcW w:w="742"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0</w:t>
            </w:r>
          </w:p>
        </w:tc>
        <w:tc>
          <w:tcPr>
            <w:tcW w:w="460"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4392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2" w:type="dxa"/>
            <w:vMerge w:val="restart"/>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软化水系统排污水</w:t>
            </w:r>
          </w:p>
        </w:tc>
        <w:tc>
          <w:tcPr>
            <w:tcW w:w="374" w:type="dxa"/>
            <w:vMerge w:val="restart"/>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软化水系统</w:t>
            </w:r>
          </w:p>
        </w:tc>
        <w:tc>
          <w:tcPr>
            <w:tcW w:w="464" w:type="dxa"/>
            <w:vMerge w:val="restart"/>
            <w:vAlign w:val="center"/>
          </w:tcPr>
          <w:p>
            <w:pPr>
              <w:widowControl/>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浓水</w:t>
            </w:r>
          </w:p>
        </w:tc>
        <w:tc>
          <w:tcPr>
            <w:tcW w:w="395" w:type="dxa"/>
            <w:vAlign w:val="center"/>
          </w:tcPr>
          <w:p>
            <w:pPr>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COD</w:t>
            </w:r>
          </w:p>
        </w:tc>
        <w:tc>
          <w:tcPr>
            <w:tcW w:w="641"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类比法</w:t>
            </w:r>
          </w:p>
        </w:tc>
        <w:tc>
          <w:tcPr>
            <w:tcW w:w="923"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9.84</w:t>
            </w:r>
          </w:p>
        </w:tc>
        <w:tc>
          <w:tcPr>
            <w:tcW w:w="708"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210</w:t>
            </w:r>
          </w:p>
        </w:tc>
        <w:tc>
          <w:tcPr>
            <w:tcW w:w="627"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0.378</w:t>
            </w:r>
          </w:p>
        </w:tc>
        <w:tc>
          <w:tcPr>
            <w:tcW w:w="346" w:type="dxa"/>
            <w:vMerge w:val="restart"/>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中和沉淀+絮凝</w:t>
            </w:r>
          </w:p>
        </w:tc>
        <w:tc>
          <w:tcPr>
            <w:tcW w:w="614" w:type="dxa"/>
            <w:vAlign w:val="center"/>
          </w:tcPr>
          <w:p>
            <w:pPr>
              <w:pStyle w:val="1412"/>
              <w:adjustRightInd/>
              <w:snapToGrid/>
              <w:spacing w:line="240" w:lineRule="auto"/>
              <w:ind w:firstLine="0" w:firstLineChars="0"/>
              <w:contextualSpacing/>
              <w:jc w:val="center"/>
              <w:rPr>
                <w:rFonts w:eastAsiaTheme="minorEastAsia"/>
                <w:bCs/>
                <w:color w:val="000000" w:themeColor="text1"/>
                <w:sz w:val="21"/>
                <w:szCs w:val="21"/>
                <w14:textFill>
                  <w14:solidFill>
                    <w14:schemeClr w14:val="tx1"/>
                  </w14:solidFill>
                </w14:textFill>
              </w:rPr>
            </w:pPr>
            <w:r>
              <w:rPr>
                <w:rFonts w:hint="eastAsia" w:eastAsiaTheme="minorEastAsia"/>
                <w:bCs/>
                <w:color w:val="000000" w:themeColor="text1"/>
                <w:sz w:val="21"/>
                <w:szCs w:val="21"/>
                <w14:textFill>
                  <w14:solidFill>
                    <w14:schemeClr w14:val="tx1"/>
                  </w14:solidFill>
                </w14:textFill>
              </w:rPr>
              <w:t>20%</w:t>
            </w:r>
          </w:p>
        </w:tc>
        <w:tc>
          <w:tcPr>
            <w:tcW w:w="538" w:type="dxa"/>
            <w:tcBorders>
              <w:top w:val="single" w:color="auto" w:sz="2" w:space="0"/>
              <w:bottom w:val="single" w:color="auto" w:sz="2" w:space="0"/>
            </w:tcBorders>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类比法</w:t>
            </w:r>
          </w:p>
        </w:tc>
        <w:tc>
          <w:tcPr>
            <w:tcW w:w="691"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168</w:t>
            </w:r>
          </w:p>
        </w:tc>
        <w:tc>
          <w:tcPr>
            <w:tcW w:w="742"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0</w:t>
            </w:r>
          </w:p>
        </w:tc>
        <w:tc>
          <w:tcPr>
            <w:tcW w:w="460"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4392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52" w:type="dxa"/>
            <w:vMerge w:val="continue"/>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p>
        </w:tc>
        <w:tc>
          <w:tcPr>
            <w:tcW w:w="374" w:type="dxa"/>
            <w:vMerge w:val="continue"/>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p>
        </w:tc>
        <w:tc>
          <w:tcPr>
            <w:tcW w:w="464" w:type="dxa"/>
            <w:vMerge w:val="continue"/>
            <w:vAlign w:val="center"/>
          </w:tcPr>
          <w:p>
            <w:pPr>
              <w:widowControl/>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p>
        </w:tc>
        <w:tc>
          <w:tcPr>
            <w:tcW w:w="395" w:type="dxa"/>
            <w:vAlign w:val="center"/>
          </w:tcPr>
          <w:p>
            <w:pPr>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TDS</w:t>
            </w:r>
          </w:p>
        </w:tc>
        <w:tc>
          <w:tcPr>
            <w:tcW w:w="641"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类比法</w:t>
            </w:r>
          </w:p>
        </w:tc>
        <w:tc>
          <w:tcPr>
            <w:tcW w:w="923"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9.84</w:t>
            </w:r>
          </w:p>
        </w:tc>
        <w:tc>
          <w:tcPr>
            <w:tcW w:w="708"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2800</w:t>
            </w:r>
          </w:p>
        </w:tc>
        <w:tc>
          <w:tcPr>
            <w:tcW w:w="627"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5.042</w:t>
            </w:r>
          </w:p>
        </w:tc>
        <w:tc>
          <w:tcPr>
            <w:tcW w:w="346" w:type="dxa"/>
            <w:vMerge w:val="continue"/>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p>
        </w:tc>
        <w:tc>
          <w:tcPr>
            <w:tcW w:w="614" w:type="dxa"/>
            <w:vAlign w:val="center"/>
          </w:tcPr>
          <w:p>
            <w:pPr>
              <w:pStyle w:val="1412"/>
              <w:adjustRightInd/>
              <w:snapToGrid/>
              <w:spacing w:line="240" w:lineRule="auto"/>
              <w:ind w:firstLine="0" w:firstLineChars="0"/>
              <w:contextualSpacing/>
              <w:jc w:val="center"/>
              <w:rPr>
                <w:rFonts w:eastAsiaTheme="minorEastAsia"/>
                <w:bCs/>
                <w:color w:val="000000" w:themeColor="text1"/>
                <w:sz w:val="21"/>
                <w:szCs w:val="21"/>
                <w14:textFill>
                  <w14:solidFill>
                    <w14:schemeClr w14:val="tx1"/>
                  </w14:solidFill>
                </w14:textFill>
              </w:rPr>
            </w:pPr>
            <w:r>
              <w:rPr>
                <w:rFonts w:hint="eastAsia" w:eastAsiaTheme="minorEastAsia"/>
                <w:bCs/>
                <w:color w:val="000000" w:themeColor="text1"/>
                <w:sz w:val="21"/>
                <w:szCs w:val="21"/>
                <w14:textFill>
                  <w14:solidFill>
                    <w14:schemeClr w14:val="tx1"/>
                  </w14:solidFill>
                </w14:textFill>
              </w:rPr>
              <w:t>70%</w:t>
            </w:r>
          </w:p>
        </w:tc>
        <w:tc>
          <w:tcPr>
            <w:tcW w:w="538" w:type="dxa"/>
            <w:tcBorders>
              <w:top w:val="single" w:color="auto" w:sz="2" w:space="0"/>
            </w:tcBorders>
            <w:vAlign w:val="center"/>
          </w:tcPr>
          <w:p>
            <w:pPr>
              <w:spacing w:line="240" w:lineRule="auto"/>
              <w:ind w:firstLine="0" w:firstLineChars="0"/>
              <w:rPr>
                <w:rFonts w:ascii="Times New Roman" w:hAnsi="Times New Roman" w:cs="Times New Roman" w:eastAsiaTheme="minorEastAsia"/>
                <w:color w:val="000000" w:themeColor="text1"/>
                <w:sz w:val="21"/>
                <w:szCs w:val="21"/>
                <w14:textFill>
                  <w14:solidFill>
                    <w14:schemeClr w14:val="tx1"/>
                  </w14:solidFill>
                </w14:textFill>
              </w:rPr>
            </w:pPr>
            <w:r>
              <w:rPr>
                <w:rFonts w:ascii="Times New Roman" w:hAnsi="Times New Roman" w:cs="Times New Roman" w:eastAsiaTheme="minorEastAsia"/>
                <w:color w:val="000000" w:themeColor="text1"/>
                <w:sz w:val="21"/>
                <w:szCs w:val="21"/>
                <w14:textFill>
                  <w14:solidFill>
                    <w14:schemeClr w14:val="tx1"/>
                  </w14:solidFill>
                </w14:textFill>
              </w:rPr>
              <w:t>类比法</w:t>
            </w:r>
          </w:p>
        </w:tc>
        <w:tc>
          <w:tcPr>
            <w:tcW w:w="691"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840</w:t>
            </w:r>
          </w:p>
        </w:tc>
        <w:tc>
          <w:tcPr>
            <w:tcW w:w="742"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0</w:t>
            </w:r>
          </w:p>
        </w:tc>
        <w:tc>
          <w:tcPr>
            <w:tcW w:w="460" w:type="dxa"/>
            <w:vAlign w:val="center"/>
          </w:tcPr>
          <w:p>
            <w:pPr>
              <w:autoSpaceDE w:val="0"/>
              <w:autoSpaceDN w:val="0"/>
              <w:spacing w:line="240" w:lineRule="auto"/>
              <w:ind w:firstLine="0" w:firstLineChars="0"/>
              <w:contextualSpacing/>
              <w:rPr>
                <w:rFonts w:ascii="Times New Roman" w:hAnsi="Times New Roman" w:cs="Times New Roman" w:eastAsiaTheme="minorEastAsia"/>
                <w:color w:val="000000" w:themeColor="text1"/>
                <w:sz w:val="21"/>
                <w:szCs w:val="21"/>
                <w14:textFill>
                  <w14:solidFill>
                    <w14:schemeClr w14:val="tx1"/>
                  </w14:solidFill>
                </w14:textFill>
              </w:rPr>
            </w:pPr>
            <w:r>
              <w:rPr>
                <w:rFonts w:hint="eastAsia" w:ascii="Times New Roman" w:hAnsi="Times New Roman" w:cs="Times New Roman" w:eastAsiaTheme="minorEastAsia"/>
                <w:color w:val="000000" w:themeColor="text1"/>
                <w:sz w:val="21"/>
                <w:szCs w:val="21"/>
                <w14:textFill>
                  <w14:solidFill>
                    <w14:schemeClr w14:val="tx1"/>
                  </w14:solidFill>
                </w14:textFill>
              </w:rPr>
              <w:t>4392</w:t>
            </w:r>
          </w:p>
        </w:tc>
      </w:tr>
    </w:tbl>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3.4.4.3 噪声染源源强</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本项目新增噪声源较少且均位于建筑物内，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无位于室外噪声源，</w:t>
      </w:r>
      <w:r>
        <w:rPr>
          <w:rFonts w:ascii="Times New Roman" w:hAnsi="Times New Roman" w:cs="Times New Roman" w:eastAsiaTheme="minorEastAsia"/>
          <w:color w:val="000000" w:themeColor="text1"/>
          <w:sz w:val="24"/>
          <w:szCs w:val="24"/>
          <w:lang w:val="en-US"/>
          <w14:textFill>
            <w14:solidFill>
              <w14:schemeClr w14:val="tx1"/>
            </w14:solidFill>
          </w14:textFill>
        </w:rPr>
        <w:t>新增噪声源主要有：鼓风机、引风机以及循环水泵等，首先选用低噪声的设备，并将设备均布置在室内，锅炉房主体进行封闭，墙体采用隔音材料，对设备安装时设计加减振垫、消声器等。根据设备调查资料，各噪声源声级值及声源特征情况见表3-4-</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续</w:t>
      </w:r>
      <w:r>
        <w:rPr>
          <w:rFonts w:ascii="Times New Roman" w:hAnsiTheme="minorEastAsia" w:eastAsiaTheme="minorEastAsia"/>
          <w:b/>
          <w:bCs/>
          <w:color w:val="000000" w:themeColor="text1"/>
          <w:szCs w:val="24"/>
          <w14:textFill>
            <w14:solidFill>
              <w14:schemeClr w14:val="tx1"/>
            </w14:solidFill>
          </w14:textFill>
        </w:rPr>
        <w:t>表3-4-</w:t>
      </w:r>
      <w:r>
        <w:rPr>
          <w:rFonts w:hint="eastAsia" w:ascii="Times New Roman" w:hAnsiTheme="minorEastAsia" w:eastAsiaTheme="minorEastAsia"/>
          <w:b/>
          <w:bCs/>
          <w:color w:val="000000" w:themeColor="text1"/>
          <w:szCs w:val="24"/>
          <w14:textFill>
            <w14:solidFill>
              <w14:schemeClr w14:val="tx1"/>
            </w14:solidFill>
          </w14:textFill>
        </w:rPr>
        <w:t xml:space="preserve">3 </w:t>
      </w:r>
      <w:r>
        <w:rPr>
          <w:rFonts w:ascii="Times New Roman" w:hAnsiTheme="minorEastAsia" w:eastAsiaTheme="minorEastAsia"/>
          <w:b/>
          <w:bCs/>
          <w:color w:val="000000" w:themeColor="text1"/>
          <w:szCs w:val="24"/>
          <w14:textFill>
            <w14:solidFill>
              <w14:schemeClr w14:val="tx1"/>
            </w14:solidFill>
          </w14:textFill>
        </w:rPr>
        <w:t>本项目主要设备噪声单位：dB（A）</w:t>
      </w:r>
    </w:p>
    <w:tbl>
      <w:tblPr>
        <w:tblStyle w:val="1408"/>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243"/>
        <w:gridCol w:w="502"/>
        <w:gridCol w:w="606"/>
        <w:gridCol w:w="329"/>
        <w:gridCol w:w="718"/>
        <w:gridCol w:w="1483"/>
        <w:gridCol w:w="311"/>
        <w:gridCol w:w="400"/>
        <w:gridCol w:w="307"/>
        <w:gridCol w:w="507"/>
        <w:gridCol w:w="772"/>
        <w:gridCol w:w="435"/>
        <w:gridCol w:w="638"/>
        <w:gridCol w:w="611"/>
        <w:gridCol w:w="444"/>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37" w:hRule="exact"/>
        </w:trPr>
        <w:tc>
          <w:tcPr>
            <w:tcW w:w="14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 号</w:t>
            </w:r>
          </w:p>
        </w:tc>
        <w:tc>
          <w:tcPr>
            <w:tcW w:w="30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建筑物名称</w:t>
            </w:r>
          </w:p>
        </w:tc>
        <w:tc>
          <w:tcPr>
            <w:tcW w:w="365"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声源名称</w:t>
            </w:r>
          </w:p>
        </w:tc>
        <w:tc>
          <w:tcPr>
            <w:tcW w:w="19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型号</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声源源强</w:t>
            </w:r>
          </w:p>
        </w:tc>
        <w:tc>
          <w:tcPr>
            <w:tcW w:w="893"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声源控制措施</w:t>
            </w:r>
          </w:p>
        </w:tc>
        <w:tc>
          <w:tcPr>
            <w:tcW w:w="613" w:type="pct"/>
            <w:gridSpan w:val="3"/>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空间相对位置/m</w:t>
            </w:r>
          </w:p>
        </w:tc>
        <w:tc>
          <w:tcPr>
            <w:tcW w:w="305"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距室内边界距离/m</w:t>
            </w:r>
          </w:p>
        </w:tc>
        <w:tc>
          <w:tcPr>
            <w:tcW w:w="465"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室内边界声级/dB(A)</w:t>
            </w:r>
          </w:p>
        </w:tc>
        <w:tc>
          <w:tcPr>
            <w:tcW w:w="26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运行时段</w:t>
            </w:r>
          </w:p>
        </w:tc>
        <w:tc>
          <w:tcPr>
            <w:tcW w:w="384"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建筑物插入损失/</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dB(A)</w:t>
            </w:r>
          </w:p>
        </w:tc>
        <w:tc>
          <w:tcPr>
            <w:tcW w:w="635" w:type="pct"/>
            <w:gridSpan w:val="2"/>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建筑物外噪声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396" w:hRule="exact"/>
        </w:trPr>
        <w:tc>
          <w:tcPr>
            <w:tcW w:w="14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5"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声功率级/dB(A)</w:t>
            </w:r>
          </w:p>
        </w:tc>
        <w:tc>
          <w:tcPr>
            <w:tcW w:w="893"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X</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Y</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Z</w:t>
            </w:r>
          </w:p>
        </w:tc>
        <w:tc>
          <w:tcPr>
            <w:tcW w:w="305"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5"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声压级</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/dB(A)</w:t>
            </w: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建筑物 外距离</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83" w:hRule="exact"/>
        </w:trPr>
        <w:tc>
          <w:tcPr>
            <w:tcW w:w="14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30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锅炉房</w:t>
            </w: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一、二次风机</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消声器、管道外壳阻尼</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38</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0.8</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运行900h</w:t>
            </w:r>
          </w:p>
        </w:tc>
        <w:tc>
          <w:tcPr>
            <w:tcW w:w="384"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w:t>
            </w:r>
          </w:p>
        </w:tc>
        <w:tc>
          <w:tcPr>
            <w:tcW w:w="36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49</w:t>
            </w: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639" w:hRule="exact"/>
        </w:trPr>
        <w:tc>
          <w:tcPr>
            <w:tcW w:w="14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水泵</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隔音罩、厂房隔声</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0.8</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049" w:hRule="exact"/>
        </w:trPr>
        <w:tc>
          <w:tcPr>
            <w:tcW w:w="14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脱硝浆液泵</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厂房隔声、隔声罩壳</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42</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0.9</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709" w:hRule="exact"/>
        </w:trPr>
        <w:tc>
          <w:tcPr>
            <w:tcW w:w="14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30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除尘间</w:t>
            </w: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引风机</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隔声罩壳、管道外壳阻尼</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w:t>
            </w:r>
          </w:p>
        </w:tc>
        <w:tc>
          <w:tcPr>
            <w:tcW w:w="36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49</w:t>
            </w: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861" w:hRule="exact"/>
        </w:trPr>
        <w:tc>
          <w:tcPr>
            <w:tcW w:w="14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空压机</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厂房隔声</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进风口消声器</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271" w:hRule="exact"/>
        </w:trPr>
        <w:tc>
          <w:tcPr>
            <w:tcW w:w="14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30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脱硫间</w:t>
            </w: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脱硫浆液循环泵</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隔声罩壳、管道外壳阻尼</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w:t>
            </w:r>
          </w:p>
        </w:tc>
        <w:tc>
          <w:tcPr>
            <w:tcW w:w="36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49</w:t>
            </w: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693" w:hRule="exact"/>
        </w:trPr>
        <w:tc>
          <w:tcPr>
            <w:tcW w:w="14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氧化风机</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进风口消声器</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703" w:hRule="exact"/>
        </w:trPr>
        <w:tc>
          <w:tcPr>
            <w:tcW w:w="14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增压风机</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进风口消声器</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bl>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3.4.4.4 固体废物</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w:t>
      </w:r>
      <w:r>
        <w:rPr>
          <w:rFonts w:ascii="Times New Roman" w:hAnsi="Times New Roman" w:cs="Times New Roman" w:eastAsiaTheme="minorEastAsia"/>
          <w:color w:val="000000" w:themeColor="text1"/>
          <w:sz w:val="24"/>
          <w:szCs w:val="24"/>
          <w:lang w:val="en-US"/>
          <w14:textFill>
            <w14:solidFill>
              <w14:schemeClr w14:val="tx1"/>
            </w14:solidFill>
          </w14:textFill>
        </w:rPr>
        <w:t>建锅炉运行后，固体废物主要是锅炉灰渣、脱硫渣、</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废催化剂、</w:t>
      </w:r>
      <w:r>
        <w:rPr>
          <w:rFonts w:ascii="Times New Roman" w:hAnsi="Times New Roman" w:cs="Times New Roman" w:eastAsiaTheme="minorEastAsia"/>
          <w:color w:val="000000" w:themeColor="text1"/>
          <w:sz w:val="24"/>
          <w:szCs w:val="24"/>
          <w:lang w:val="en-US"/>
          <w14:textFill>
            <w14:solidFill>
              <w14:schemeClr w14:val="tx1"/>
            </w14:solidFill>
          </w14:textFill>
        </w:rPr>
        <w:t>废树脂</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、废布袋</w:t>
      </w:r>
      <w:r>
        <w:rPr>
          <w:rFonts w:ascii="Times New Roman" w:hAnsi="Times New Roman" w:cs="Times New Roman" w:eastAsiaTheme="minorEastAsia"/>
          <w:color w:val="000000" w:themeColor="text1"/>
          <w:sz w:val="24"/>
          <w:szCs w:val="24"/>
          <w:lang w:val="en-US"/>
          <w14:textFill>
            <w14:solidFill>
              <w14:schemeClr w14:val="tx1"/>
            </w14:solidFill>
          </w14:textFill>
        </w:rPr>
        <w:t>等。厂内锅炉灰渣全部外售综合利用。厂外灰渣的运输车辆采用密闭式，可防止运输过程中灰渣飞扬污染环境。本次环评采用《污染源源强核算技术指南锅炉》（HJ991-2018）对工业固体废物进行核算。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灰</w:t>
      </w:r>
      <w:r>
        <w:rPr>
          <w:rFonts w:ascii="Times New Roman" w:hAnsi="Times New Roman" w:cs="Times New Roman" w:eastAsiaTheme="minorEastAsia"/>
          <w:color w:val="000000" w:themeColor="text1"/>
          <w:sz w:val="24"/>
          <w:szCs w:val="24"/>
          <w:lang w:val="en-US"/>
          <w14:textFill>
            <w14:solidFill>
              <w14:schemeClr w14:val="tx1"/>
            </w14:solidFill>
          </w14:textFill>
        </w:rPr>
        <w:t>渣</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object>
          <v:shape id="_x0000_i1027" o:spt="75" type="#_x0000_t75" style="height:39.8pt;width:167.5pt;" o:ole="t" filled="f" o:preferrelative="t" stroked="f" coordsize="21600,21600">
            <v:path/>
            <v:fill on="f" focussize="0,0"/>
            <v:stroke on="f" joinstyle="miter"/>
            <v:imagedata r:id="rId50" o:title=""/>
            <o:lock v:ext="edit" aspectratio="t"/>
            <w10:wrap type="none"/>
            <w10:anchorlock/>
          </v:shape>
          <o:OLEObject Type="Embed" ProgID="Equation.DSMT4" ShapeID="_x0000_i1027" DrawAspect="Content" ObjectID="_1468075727" r:id="rId49">
            <o:LockedField>false</o:LockedField>
          </o:OLEObject>
        </w:objec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式中：Ehz ——核算时段内灰渣产生量，t，根据飞灰份额dfh可分别核算飞灰、炉渣产生量；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R ——核算时段内锅炉燃料耗量，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42017</w:t>
      </w:r>
      <w:r>
        <w:rPr>
          <w:rFonts w:ascii="Times New Roman" w:hAnsi="Times New Roman" w:cs="Times New Roman" w:eastAsiaTheme="minorEastAsia"/>
          <w:color w:val="000000" w:themeColor="text1"/>
          <w:sz w:val="24"/>
          <w:szCs w:val="24"/>
          <w:lang w:val="en-US"/>
          <w14:textFill>
            <w14:solidFill>
              <w14:schemeClr w14:val="tx1"/>
            </w14:solidFill>
          </w14:textFill>
        </w:rPr>
        <w:t>t/a；</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Aar ——收到基灰分的质量分数，2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0.81</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q4 ——锅炉机械不完全燃烧热损失，</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Qnet,ar——收到基低位发热量，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18080</w:t>
      </w:r>
      <w:r>
        <w:rPr>
          <w:rFonts w:ascii="Times New Roman" w:hAnsi="Times New Roman" w:cs="Times New Roman" w:eastAsiaTheme="minorEastAsia"/>
          <w:color w:val="000000" w:themeColor="text1"/>
          <w:sz w:val="24"/>
          <w:szCs w:val="24"/>
          <w:lang w:val="en-US"/>
          <w14:textFill>
            <w14:solidFill>
              <w14:schemeClr w14:val="tx1"/>
            </w14:solidFill>
          </w14:textFill>
        </w:rPr>
        <w:t>kJ/kg。</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经计算得出年锅炉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灰</w:t>
      </w:r>
      <w:r>
        <w:rPr>
          <w:rFonts w:ascii="Times New Roman" w:hAnsi="Times New Roman" w:cs="Times New Roman" w:eastAsiaTheme="minorEastAsia"/>
          <w:color w:val="000000" w:themeColor="text1"/>
          <w:sz w:val="24"/>
          <w:szCs w:val="24"/>
          <w:lang w:val="en-US"/>
          <w14:textFill>
            <w14:solidFill>
              <w14:schemeClr w14:val="tx1"/>
            </w14:solidFill>
          </w14:textFill>
        </w:rPr>
        <w:t>渣量Ehz=</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8748.665</w:t>
      </w:r>
      <w:r>
        <w:rPr>
          <w:rFonts w:ascii="Times New Roman" w:hAnsi="Times New Roman" w:cs="Times New Roman" w:eastAsiaTheme="minorEastAsia"/>
          <w:color w:val="000000" w:themeColor="text1"/>
          <w:sz w:val="24"/>
          <w:szCs w:val="24"/>
          <w:lang w:val="en-US"/>
          <w14:textFill>
            <w14:solidFill>
              <w14:schemeClr w14:val="tx1"/>
            </w14:solidFill>
          </w14:textFill>
        </w:rPr>
        <w:t>t/a</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锅炉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灰渣、</w:t>
      </w:r>
      <w:r>
        <w:rPr>
          <w:rFonts w:ascii="Times New Roman" w:hAnsi="Times New Roman" w:cs="Times New Roman" w:eastAsiaTheme="minorEastAsia"/>
          <w:color w:val="000000" w:themeColor="text1"/>
          <w:sz w:val="24"/>
          <w:szCs w:val="24"/>
          <w:lang w:val="en-US"/>
          <w14:textFill>
            <w14:solidFill>
              <w14:schemeClr w14:val="tx1"/>
            </w14:solidFill>
          </w14:textFill>
        </w:rPr>
        <w:t>除尘灰暂存于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灰渣场</w:t>
      </w:r>
      <w:r>
        <w:rPr>
          <w:rFonts w:ascii="Times New Roman" w:hAnsi="Times New Roman" w:cs="Times New Roman" w:eastAsiaTheme="minorEastAsia"/>
          <w:color w:val="000000" w:themeColor="text1"/>
          <w:sz w:val="24"/>
          <w:szCs w:val="24"/>
          <w:lang w:val="en-US"/>
          <w14:textFill>
            <w14:solidFill>
              <w14:schemeClr w14:val="tx1"/>
            </w14:solidFill>
          </w14:textFill>
        </w:rPr>
        <w:t>，全部外售综合利用。</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、生活垃圾：本项目无新增劳动定员，无新增生活垃圾。</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3、脱硫渣：</w:t>
      </w:r>
      <w:r>
        <w:rPr>
          <w:rFonts w:ascii="Times New Roman" w:hAnsi="Times New Roman" w:cs="Times New Roman" w:eastAsiaTheme="minorEastAsia"/>
          <w:color w:val="000000" w:themeColor="text1"/>
          <w:sz w:val="24"/>
          <w:szCs w:val="24"/>
          <w:lang w:val="en-US"/>
          <w14:textFill>
            <w14:solidFill>
              <w14:schemeClr w14:val="tx1"/>
            </w14:solidFill>
          </w14:textFill>
        </w:rPr>
        <w:t>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脱硫渣年产量为500t/a，集中收集后与锅炉灰渣一并外售综合利用。</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、废</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离子交换</w:t>
      </w:r>
      <w:r>
        <w:rPr>
          <w:rFonts w:ascii="Times New Roman" w:hAnsi="Times New Roman" w:cs="Times New Roman" w:eastAsiaTheme="minorEastAsia"/>
          <w:color w:val="000000" w:themeColor="text1"/>
          <w:sz w:val="24"/>
          <w:szCs w:val="24"/>
          <w:lang w:val="en-US"/>
          <w14:textFill>
            <w14:solidFill>
              <w14:schemeClr w14:val="tx1"/>
            </w14:solidFill>
          </w14:textFill>
        </w:rPr>
        <w:t>树脂</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本项目产生的废树脂主要在软水装置产生，主要成分为本项目原料水中的钙镁离子和树脂，软水装置树脂离子交换塔一年换料1次，年产生量1吨，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废树脂作为一般固体废物，集中收集后交由离子交换树脂生产企业回收处置</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5、危险废物（废机油）</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设备定期检修、更换设备会产生废机油，产生量</w:t>
      </w:r>
      <w:r>
        <w:rPr>
          <w:rFonts w:ascii="Times New Roman" w:hAnsi="Times New Roman" w:cs="Times New Roman" w:eastAsiaTheme="minorEastAsia"/>
          <w:color w:val="000000" w:themeColor="text1"/>
          <w:sz w:val="24"/>
          <w:szCs w:val="24"/>
          <w:lang w:val="en-US"/>
          <w14:textFill>
            <w14:solidFill>
              <w14:schemeClr w14:val="tx1"/>
            </w14:solidFill>
          </w14:textFill>
        </w:rPr>
        <w:t>0.1t/a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，属于危险废物，</w:t>
      </w:r>
      <w:r>
        <w:rPr>
          <w:rFonts w:ascii="Times New Roman" w:hAnsi="Times New Roman" w:cs="Times New Roman" w:eastAsiaTheme="minorEastAsia"/>
          <w:color w:val="000000" w:themeColor="text1"/>
          <w:sz w:val="24"/>
          <w:szCs w:val="24"/>
          <w:lang w:val="en-US"/>
          <w14:textFill>
            <w14:solidFill>
              <w14:schemeClr w14:val="tx1"/>
            </w14:solidFill>
          </w14:textFill>
        </w:rPr>
        <w:t>HW08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，代码为</w:t>
      </w:r>
      <w:r>
        <w:rPr>
          <w:rFonts w:ascii="Times New Roman" w:hAnsi="Times New Roman" w:cs="Times New Roman" w:eastAsiaTheme="minorEastAsia"/>
          <w:color w:val="000000" w:themeColor="text1"/>
          <w:sz w:val="24"/>
          <w:szCs w:val="24"/>
          <w:lang w:val="en-US"/>
          <w14:textFill>
            <w14:solidFill>
              <w14:schemeClr w14:val="tx1"/>
            </w14:solidFill>
          </w14:textFill>
        </w:rPr>
        <w:t>“HW08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900-214-08”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，即</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车辆、轮船及其它机械维修过程中产生的废发动机油、制动器油、自动变速器油、齿轮油等废润滑油</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；废机油暂存在危废贮存库，定期委托有资质单位处理。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6、废催化剂</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脱硝工艺采取SNCR-SCR联合脱硝技术，其中催化剂主要成分为V2O5等。本项目选用蜂窝式催化剂，反应器中一次性装备量为5t（寿命3年）。根据《国家危险废物名录（2021年版）》，本项目脱硝过程中产生的废催化剂属于危险废物，暂存在危废贮存库，定期委托有资质单位处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7、废布袋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根据锅炉厂家提供的资料可知，布袋除尘器滤袋2 年更换一次，废滤袋产生量为974条/2a。由厂家回收。</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项目生产过程固体废物主要产生部位、种类及排放情况详见表3-4-</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89"/>
        <w:ind w:firstLine="180"/>
        <w:rPr>
          <w:color w:val="000000" w:themeColor="text1"/>
          <w:lang w:val="en-US"/>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表3-4-</w:t>
      </w:r>
      <w:r>
        <w:rPr>
          <w:rFonts w:hint="eastAsia" w:ascii="Times New Roman" w:hAnsiTheme="minorEastAsia" w:eastAsiaTheme="minorEastAsia"/>
          <w:b/>
          <w:bCs/>
          <w:color w:val="000000" w:themeColor="text1"/>
          <w:szCs w:val="24"/>
          <w14:textFill>
            <w14:solidFill>
              <w14:schemeClr w14:val="tx1"/>
            </w14:solidFill>
          </w14:textFill>
        </w:rPr>
        <w:t>4</w:t>
      </w:r>
      <w:r>
        <w:rPr>
          <w:rFonts w:ascii="Times New Roman" w:hAnsiTheme="minorEastAsia" w:eastAsiaTheme="minorEastAsia"/>
          <w:b/>
          <w:bCs/>
          <w:color w:val="000000" w:themeColor="text1"/>
          <w:szCs w:val="24"/>
          <w14:textFill>
            <w14:solidFill>
              <w14:schemeClr w14:val="tx1"/>
            </w14:solidFill>
          </w14:textFill>
        </w:rPr>
        <w:t>本项目固废物处理/处置措施</w:t>
      </w:r>
    </w:p>
    <w:tbl>
      <w:tblPr>
        <w:tblStyle w:val="7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8"/>
        <w:gridCol w:w="949"/>
        <w:gridCol w:w="1298"/>
        <w:gridCol w:w="1072"/>
        <w:gridCol w:w="949"/>
        <w:gridCol w:w="37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类别代码</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产生量（t/a）</w:t>
            </w:r>
          </w:p>
        </w:tc>
        <w:tc>
          <w:tcPr>
            <w:tcW w:w="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类别</w:t>
            </w:r>
          </w:p>
        </w:tc>
        <w:tc>
          <w:tcPr>
            <w:tcW w:w="219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处理方式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灰渣</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900</w:t>
            </w:r>
            <w:r>
              <w:rPr>
                <w:rFonts w:ascii="Times New Roman" w:eastAsiaTheme="minorEastAsia"/>
                <w:color w:val="000000" w:themeColor="text1"/>
                <w:sz w:val="21"/>
                <w:szCs w:val="21"/>
                <w14:textFill>
                  <w14:solidFill>
                    <w14:schemeClr w14:val="tx1"/>
                  </w14:solidFill>
                </w14:textFill>
              </w:rPr>
              <w:t>-001-</w:t>
            </w:r>
            <w:r>
              <w:rPr>
                <w:rFonts w:hint="eastAsia" w:ascii="Times New Roman" w:eastAsiaTheme="minorEastAsia"/>
                <w:color w:val="000000" w:themeColor="text1"/>
                <w:sz w:val="21"/>
                <w:szCs w:val="21"/>
                <w14:textFill>
                  <w14:solidFill>
                    <w14:schemeClr w14:val="tx1"/>
                  </w14:solidFill>
                </w14:textFill>
              </w:rPr>
              <w:t>S02</w:t>
            </w:r>
            <w:r>
              <w:rPr>
                <w:rFonts w:hint="eastAsia" w:ascii="Times New Roman" w:eastAsiaTheme="minorEastAsia"/>
                <w:color w:val="000000" w:themeColor="text1"/>
                <w:sz w:val="21"/>
                <w:szCs w:val="21"/>
                <w14:textFill>
                  <w14:solidFill>
                    <w14:schemeClr w14:val="tx1"/>
                  </w14:solidFill>
                </w14:textFill>
              </w:rPr>
              <w:br w:type="textWrapping"/>
            </w:r>
            <w:r>
              <w:rPr>
                <w:rFonts w:hint="eastAsia" w:ascii="Times New Roman" w:eastAsiaTheme="minorEastAsia"/>
                <w:color w:val="000000" w:themeColor="text1"/>
                <w:sz w:val="21"/>
                <w:szCs w:val="21"/>
                <w14:textFill>
                  <w14:solidFill>
                    <w14:schemeClr w14:val="tx1"/>
                  </w14:solidFill>
                </w14:textFill>
              </w:rPr>
              <w:t>900</w:t>
            </w:r>
            <w:r>
              <w:rPr>
                <w:rFonts w:ascii="Times New Roman" w:eastAsiaTheme="minorEastAsia"/>
                <w:color w:val="000000" w:themeColor="text1"/>
                <w:sz w:val="21"/>
                <w:szCs w:val="21"/>
                <w14:textFill>
                  <w14:solidFill>
                    <w14:schemeClr w14:val="tx1"/>
                  </w14:solidFill>
                </w14:textFill>
              </w:rPr>
              <w:t>-001-</w:t>
            </w:r>
            <w:r>
              <w:rPr>
                <w:rFonts w:hint="eastAsia" w:ascii="Times New Roman" w:eastAsiaTheme="minorEastAsia"/>
                <w:color w:val="000000" w:themeColor="text1"/>
                <w:sz w:val="21"/>
                <w:szCs w:val="21"/>
                <w14:textFill>
                  <w14:solidFill>
                    <w14:schemeClr w14:val="tx1"/>
                  </w14:solidFill>
                </w14:textFill>
              </w:rPr>
              <w:t>S03</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8748.665</w:t>
            </w:r>
          </w:p>
        </w:tc>
        <w:tc>
          <w:tcPr>
            <w:tcW w:w="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一般固废</w:t>
            </w:r>
          </w:p>
        </w:tc>
        <w:tc>
          <w:tcPr>
            <w:tcW w:w="219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锅炉灰渣、脱硫废渣全部外售综合利用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脱硫废渣</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900</w:t>
            </w:r>
            <w:r>
              <w:rPr>
                <w:rFonts w:ascii="Times New Roman" w:eastAsiaTheme="minorEastAsia"/>
                <w:color w:val="000000" w:themeColor="text1"/>
                <w:sz w:val="21"/>
                <w:szCs w:val="21"/>
                <w14:textFill>
                  <w14:solidFill>
                    <w14:schemeClr w14:val="tx1"/>
                  </w14:solidFill>
                </w14:textFill>
              </w:rPr>
              <w:t>-0</w:t>
            </w:r>
            <w:r>
              <w:rPr>
                <w:rFonts w:hint="eastAsia" w:ascii="Times New Roman" w:eastAsiaTheme="minorEastAsia"/>
                <w:color w:val="000000" w:themeColor="text1"/>
                <w:sz w:val="21"/>
                <w:szCs w:val="21"/>
                <w14:textFill>
                  <w14:solidFill>
                    <w14:schemeClr w14:val="tx1"/>
                  </w14:solidFill>
                </w14:textFill>
              </w:rPr>
              <w:t>99</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S06</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500</w:t>
            </w:r>
          </w:p>
        </w:tc>
        <w:tc>
          <w:tcPr>
            <w:tcW w:w="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一般固废</w:t>
            </w:r>
          </w:p>
        </w:tc>
        <w:tc>
          <w:tcPr>
            <w:tcW w:w="219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p>
        </w:tc>
        <w:tc>
          <w:tcPr>
            <w:tcW w:w="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废树脂</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900</w:t>
            </w:r>
            <w:r>
              <w:rPr>
                <w:rFonts w:ascii="Times New Roman" w:eastAsiaTheme="minorEastAsia"/>
                <w:color w:val="000000" w:themeColor="text1"/>
                <w:sz w:val="21"/>
                <w:szCs w:val="21"/>
                <w14:textFill>
                  <w14:solidFill>
                    <w14:schemeClr w14:val="tx1"/>
                  </w14:solidFill>
                </w14:textFill>
              </w:rPr>
              <w:t>-00</w:t>
            </w:r>
            <w:r>
              <w:rPr>
                <w:rFonts w:hint="eastAsia" w:ascii="Times New Roman" w:eastAsiaTheme="minorEastAsia"/>
                <w:color w:val="000000" w:themeColor="text1"/>
                <w:sz w:val="21"/>
                <w:szCs w:val="21"/>
                <w14:textFill>
                  <w14:solidFill>
                    <w14:schemeClr w14:val="tx1"/>
                  </w14:solidFill>
                </w14:textFill>
              </w:rPr>
              <w:t>8</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S5</w:t>
            </w:r>
            <w:r>
              <w:rPr>
                <w:rFonts w:ascii="Times New Roman" w:eastAsiaTheme="minorEastAsia"/>
                <w:color w:val="000000" w:themeColor="text1"/>
                <w:sz w:val="21"/>
                <w:szCs w:val="21"/>
                <w14:textFill>
                  <w14:solidFill>
                    <w14:schemeClr w14:val="tx1"/>
                  </w14:solidFill>
                </w14:textFill>
              </w:rPr>
              <w:t>9</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一般固废</w:t>
            </w:r>
          </w:p>
        </w:tc>
        <w:tc>
          <w:tcPr>
            <w:tcW w:w="219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一般固体废物，集中收集后交由离子交换树脂生产企业回收处置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废布袋</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900</w:t>
            </w:r>
            <w:r>
              <w:rPr>
                <w:rFonts w:ascii="Times New Roman" w:eastAsiaTheme="minorEastAsia"/>
                <w:color w:val="000000" w:themeColor="text1"/>
                <w:sz w:val="21"/>
                <w:szCs w:val="21"/>
                <w14:textFill>
                  <w14:solidFill>
                    <w14:schemeClr w14:val="tx1"/>
                  </w14:solidFill>
                </w14:textFill>
              </w:rPr>
              <w:t>-0</w:t>
            </w:r>
            <w:r>
              <w:rPr>
                <w:rFonts w:hint="eastAsia" w:ascii="Times New Roman" w:eastAsiaTheme="minorEastAsia"/>
                <w:color w:val="000000" w:themeColor="text1"/>
                <w:sz w:val="21"/>
                <w:szCs w:val="21"/>
                <w14:textFill>
                  <w14:solidFill>
                    <w14:schemeClr w14:val="tx1"/>
                  </w14:solidFill>
                </w14:textFill>
              </w:rPr>
              <w:t>99</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S17</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974条/2a</w:t>
            </w:r>
          </w:p>
        </w:tc>
        <w:tc>
          <w:tcPr>
            <w:tcW w:w="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一般固废</w:t>
            </w:r>
          </w:p>
        </w:tc>
        <w:tc>
          <w:tcPr>
            <w:tcW w:w="219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由厂家回收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w:t>
            </w:r>
          </w:p>
        </w:tc>
        <w:tc>
          <w:tcPr>
            <w:tcW w:w="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废机油</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900-214-08</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危险废物</w:t>
            </w:r>
          </w:p>
        </w:tc>
        <w:tc>
          <w:tcPr>
            <w:tcW w:w="219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暂存在危废贮存库，定期委托有资质单位处理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w:t>
            </w:r>
          </w:p>
        </w:tc>
        <w:tc>
          <w:tcPr>
            <w:tcW w:w="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废催化剂</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772-007-50</w:t>
            </w:r>
          </w:p>
        </w:tc>
        <w:tc>
          <w:tcPr>
            <w:tcW w:w="65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5t/3a</w:t>
            </w:r>
          </w:p>
        </w:tc>
        <w:tc>
          <w:tcPr>
            <w:tcW w:w="5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危险废物</w:t>
            </w:r>
          </w:p>
        </w:tc>
        <w:tc>
          <w:tcPr>
            <w:tcW w:w="219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暂存在危废贮存库，定期委托有资质单位处理</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bookmarkStart w:id="114" w:name="_Toc6487"/>
      <w:r>
        <w:rPr>
          <w:rFonts w:hint="eastAsia" w:ascii="Times New Roman" w:hAnsiTheme="minorEastAsia" w:eastAsiaTheme="minorEastAsia"/>
          <w:b/>
          <w:bCs/>
          <w:color w:val="000000" w:themeColor="text1"/>
          <w:szCs w:val="24"/>
          <w14:textFill>
            <w14:solidFill>
              <w14:schemeClr w14:val="tx1"/>
            </w14:solidFill>
          </w14:textFill>
        </w:rPr>
        <w:t>表</w:t>
      </w:r>
      <w:r>
        <w:rPr>
          <w:rFonts w:ascii="Times New Roman" w:hAnsiTheme="minorEastAsia" w:eastAsiaTheme="minorEastAsia"/>
          <w:b/>
          <w:bCs/>
          <w:color w:val="000000" w:themeColor="text1"/>
          <w:szCs w:val="24"/>
          <w14:textFill>
            <w14:solidFill>
              <w14:schemeClr w14:val="tx1"/>
            </w14:solidFill>
          </w14:textFill>
        </w:rPr>
        <w:t>3-</w:t>
      </w:r>
      <w:r>
        <w:rPr>
          <w:rFonts w:hint="eastAsia" w:ascii="Times New Roman" w:hAnsiTheme="minorEastAsia" w:eastAsiaTheme="minorEastAsia"/>
          <w:b/>
          <w:bCs/>
          <w:color w:val="000000" w:themeColor="text1"/>
          <w:szCs w:val="24"/>
          <w14:textFill>
            <w14:solidFill>
              <w14:schemeClr w14:val="tx1"/>
            </w14:solidFill>
          </w14:textFill>
        </w:rPr>
        <w:t>4-5 危险废物汇总表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8"/>
        <w:gridCol w:w="1248"/>
        <w:gridCol w:w="1256"/>
        <w:gridCol w:w="941"/>
        <w:gridCol w:w="628"/>
        <w:gridCol w:w="424"/>
        <w:gridCol w:w="724"/>
        <w:gridCol w:w="490"/>
        <w:gridCol w:w="527"/>
        <w:gridCol w:w="499"/>
        <w:gridCol w:w="11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607" w:hRule="atLeast"/>
          <w:jc w:val="center"/>
        </w:trPr>
        <w:tc>
          <w:tcPr>
            <w:tcW w:w="36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危险废物名称</w:t>
            </w:r>
          </w:p>
        </w:tc>
        <w:tc>
          <w:tcPr>
            <w:tcW w:w="7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危险废物类别</w:t>
            </w:r>
          </w:p>
        </w:tc>
        <w:tc>
          <w:tcPr>
            <w:tcW w:w="7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危险废物代码</w:t>
            </w:r>
          </w:p>
        </w:tc>
        <w:tc>
          <w:tcPr>
            <w:tcW w:w="55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产生量（t/a）</w:t>
            </w:r>
          </w:p>
        </w:tc>
        <w:tc>
          <w:tcPr>
            <w:tcW w:w="37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产生工序及装置</w:t>
            </w:r>
          </w:p>
        </w:tc>
        <w:tc>
          <w:tcPr>
            <w:tcW w:w="25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形态</w:t>
            </w:r>
          </w:p>
        </w:tc>
        <w:tc>
          <w:tcPr>
            <w:tcW w:w="38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主要成分</w:t>
            </w:r>
          </w:p>
        </w:tc>
        <w:tc>
          <w:tcPr>
            <w:tcW w:w="29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有害成分</w:t>
            </w:r>
          </w:p>
        </w:tc>
        <w:tc>
          <w:tcPr>
            <w:tcW w:w="31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产废周期</w:t>
            </w:r>
          </w:p>
        </w:tc>
        <w:tc>
          <w:tcPr>
            <w:tcW w:w="29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危险</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特性</w:t>
            </w:r>
          </w:p>
        </w:tc>
        <w:tc>
          <w:tcPr>
            <w:tcW w:w="69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废机油</w:t>
            </w:r>
          </w:p>
        </w:tc>
        <w:tc>
          <w:tcPr>
            <w:tcW w:w="7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废矿物油与含矿物油废物 HW08</w:t>
            </w:r>
          </w:p>
        </w:tc>
        <w:tc>
          <w:tcPr>
            <w:tcW w:w="7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900-214-08</w:t>
            </w:r>
          </w:p>
        </w:tc>
        <w:tc>
          <w:tcPr>
            <w:tcW w:w="55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w:t>
            </w:r>
          </w:p>
        </w:tc>
        <w:tc>
          <w:tcPr>
            <w:tcW w:w="37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机械检修</w:t>
            </w:r>
          </w:p>
        </w:tc>
        <w:tc>
          <w:tcPr>
            <w:tcW w:w="25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液态</w:t>
            </w:r>
          </w:p>
        </w:tc>
        <w:tc>
          <w:tcPr>
            <w:tcW w:w="38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矿物油</w:t>
            </w:r>
          </w:p>
        </w:tc>
        <w:tc>
          <w:tcPr>
            <w:tcW w:w="29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矿物油</w:t>
            </w:r>
          </w:p>
        </w:tc>
        <w:tc>
          <w:tcPr>
            <w:tcW w:w="31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30d</w:t>
            </w:r>
          </w:p>
        </w:tc>
        <w:tc>
          <w:tcPr>
            <w:tcW w:w="29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T/I</w:t>
            </w:r>
          </w:p>
        </w:tc>
        <w:tc>
          <w:tcPr>
            <w:tcW w:w="69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暂存在危废贮存库，定期委托有资质单位处理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6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废催化剂</w:t>
            </w:r>
          </w:p>
        </w:tc>
        <w:tc>
          <w:tcPr>
            <w:tcW w:w="73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废催化剂</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HW50</w:t>
            </w:r>
          </w:p>
        </w:tc>
        <w:tc>
          <w:tcPr>
            <w:tcW w:w="74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772-007-50</w:t>
            </w:r>
          </w:p>
        </w:tc>
        <w:tc>
          <w:tcPr>
            <w:tcW w:w="55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5t/3a</w:t>
            </w:r>
          </w:p>
        </w:tc>
        <w:tc>
          <w:tcPr>
            <w:tcW w:w="37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脱硝系统</w:t>
            </w:r>
          </w:p>
        </w:tc>
        <w:tc>
          <w:tcPr>
            <w:tcW w:w="25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固态</w:t>
            </w:r>
          </w:p>
        </w:tc>
        <w:tc>
          <w:tcPr>
            <w:tcW w:w="38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V2O5等</w:t>
            </w:r>
          </w:p>
        </w:tc>
        <w:tc>
          <w:tcPr>
            <w:tcW w:w="29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废钒钛系催化剂</w:t>
            </w:r>
          </w:p>
        </w:tc>
        <w:tc>
          <w:tcPr>
            <w:tcW w:w="31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3a</w:t>
            </w:r>
          </w:p>
        </w:tc>
        <w:tc>
          <w:tcPr>
            <w:tcW w:w="29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T</w:t>
            </w:r>
          </w:p>
        </w:tc>
        <w:tc>
          <w:tcPr>
            <w:tcW w:w="69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暂存在危废贮存库，定期委托有资质单位处理</w:t>
            </w:r>
          </w:p>
        </w:tc>
      </w:tr>
    </w:tbl>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115" w:name="_Toc162605171"/>
      <w:r>
        <w:rPr>
          <w:rFonts w:ascii="Times New Roman" w:hAnsi="Times New Roman" w:cs="Times New Roman" w:eastAsiaTheme="minorEastAsia"/>
          <w:color w:val="000000" w:themeColor="text1"/>
          <w:szCs w:val="24"/>
          <w:lang w:val="en-US" w:bidi="ar-SA"/>
          <w14:textFill>
            <w14:solidFill>
              <w14:schemeClr w14:val="tx1"/>
            </w14:solidFill>
          </w14:textFill>
        </w:rPr>
        <w:t>3.5污染物排放汇总</w:t>
      </w:r>
      <w:bookmarkEnd w:id="114"/>
      <w:bookmarkEnd w:id="115"/>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r>
        <w:rPr>
          <w:rFonts w:ascii="Times New Roman" w:hAnsi="Times New Roman" w:cs="Times New Roman" w:eastAsiaTheme="minorEastAsia"/>
          <w:color w:val="000000" w:themeColor="text1"/>
          <w:sz w:val="24"/>
          <w:szCs w:val="24"/>
          <w:lang w:val="en-US"/>
          <w14:textFill>
            <w14:solidFill>
              <w14:schemeClr w14:val="tx1"/>
            </w14:solidFill>
          </w14:textFill>
        </w:rPr>
        <w:t>根据以上分析，项目排放污染物汇总情况见表3-5-1。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表3-5-1</w:t>
      </w:r>
      <w:r>
        <w:rPr>
          <w:rFonts w:hint="eastAsia" w:ascii="Times New Roman" w:hAnsiTheme="minorEastAsia" w:eastAsiaTheme="minorEastAsia"/>
          <w:b/>
          <w:bCs/>
          <w:color w:val="000000" w:themeColor="text1"/>
          <w:szCs w:val="24"/>
          <w14:textFill>
            <w14:solidFill>
              <w14:schemeClr w14:val="tx1"/>
            </w14:solidFill>
          </w14:textFill>
        </w:rPr>
        <w:t xml:space="preserve">  本项目</w:t>
      </w:r>
      <w:r>
        <w:rPr>
          <w:rFonts w:ascii="Times New Roman" w:hAnsiTheme="minorEastAsia" w:eastAsiaTheme="minorEastAsia"/>
          <w:b/>
          <w:bCs/>
          <w:color w:val="000000" w:themeColor="text1"/>
          <w:szCs w:val="24"/>
          <w14:textFill>
            <w14:solidFill>
              <w14:schemeClr w14:val="tx1"/>
            </w14:solidFill>
          </w14:textFill>
        </w:rPr>
        <w:t>排放污染物汇总情况</w:t>
      </w:r>
    </w:p>
    <w:tbl>
      <w:tblPr>
        <w:tblStyle w:val="70"/>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333"/>
        <w:gridCol w:w="727"/>
        <w:gridCol w:w="913"/>
        <w:gridCol w:w="559"/>
        <w:gridCol w:w="955"/>
        <w:gridCol w:w="993"/>
        <w:gridCol w:w="780"/>
        <w:gridCol w:w="933"/>
        <w:gridCol w:w="989"/>
        <w:gridCol w:w="764"/>
        <w:gridCol w:w="709"/>
        <w:gridCol w:w="791"/>
        <w:gridCol w:w="600"/>
        <w:gridCol w:w="670"/>
        <w:gridCol w:w="945"/>
        <w:gridCol w:w="960"/>
        <w:gridCol w:w="98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类别</w:t>
            </w:r>
          </w:p>
        </w:tc>
        <w:tc>
          <w:tcPr>
            <w:tcW w:w="727"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w:t>
            </w:r>
          </w:p>
        </w:tc>
        <w:tc>
          <w:tcPr>
            <w:tcW w:w="91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污染物名称</w:t>
            </w:r>
          </w:p>
        </w:tc>
        <w:tc>
          <w:tcPr>
            <w:tcW w:w="55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性质</w:t>
            </w:r>
          </w:p>
        </w:tc>
        <w:tc>
          <w:tcPr>
            <w:tcW w:w="2728" w:type="dxa"/>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污染物产生情况</w:t>
            </w:r>
          </w:p>
        </w:tc>
        <w:tc>
          <w:tcPr>
            <w:tcW w:w="2686" w:type="dxa"/>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污染物排放情况</w:t>
            </w:r>
          </w:p>
        </w:tc>
        <w:tc>
          <w:tcPr>
            <w:tcW w:w="70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年工作时间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（h/a）</w:t>
            </w:r>
          </w:p>
        </w:tc>
        <w:tc>
          <w:tcPr>
            <w:tcW w:w="791"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烟气量</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（m3/h）</w:t>
            </w:r>
          </w:p>
        </w:tc>
        <w:tc>
          <w:tcPr>
            <w:tcW w:w="3175" w:type="dxa"/>
            <w:gridSpan w:val="4"/>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烟囱</w:t>
            </w:r>
          </w:p>
        </w:tc>
        <w:tc>
          <w:tcPr>
            <w:tcW w:w="985"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5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55"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1773"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w:t>
            </w:r>
          </w:p>
        </w:tc>
        <w:tc>
          <w:tcPr>
            <w:tcW w:w="93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1753"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排放量</w:t>
            </w: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9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175" w:type="dxa"/>
            <w:gridSpan w:val="4"/>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8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5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5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小时产生</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78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年产生</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9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8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小时排放</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76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年排放</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9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高度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w:t>
            </w:r>
          </w:p>
        </w:tc>
        <w:tc>
          <w:tcPr>
            <w:tcW w:w="67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数量</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（个）</w:t>
            </w:r>
          </w:p>
        </w:tc>
        <w:tc>
          <w:tcPr>
            <w:tcW w:w="94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烟气温度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9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出口内径</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w:t>
            </w:r>
          </w:p>
        </w:tc>
        <w:tc>
          <w:tcPr>
            <w:tcW w:w="98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大气污染源</w:t>
            </w:r>
          </w:p>
        </w:tc>
        <w:tc>
          <w:tcPr>
            <w:tcW w:w="727" w:type="dxa"/>
            <w:vMerge w:val="restart"/>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锅炉房</w:t>
            </w:r>
            <w:r>
              <w:rPr>
                <w:rFonts w:hint="eastAsia" w:ascii="Times New Roman" w:eastAsiaTheme="minorEastAsia"/>
                <w:color w:val="000000" w:themeColor="text1"/>
                <w:sz w:val="21"/>
                <w:szCs w:val="21"/>
                <w14:textFill>
                  <w14:solidFill>
                    <w14:schemeClr w14:val="tx1"/>
                  </w14:solidFill>
                </w14:textFill>
              </w:rPr>
              <w:t>（新建70MW锅炉）</w:t>
            </w: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PM</w:t>
            </w:r>
            <w:r>
              <w:rPr>
                <w:rFonts w:hint="eastAsia" w:ascii="Times New Roman" w:eastAsiaTheme="minorEastAsia"/>
                <w:color w:val="000000" w:themeColor="text1"/>
                <w:sz w:val="21"/>
                <w:szCs w:val="21"/>
                <w:vertAlign w:val="subscript"/>
                <w14:textFill>
                  <w14:solidFill>
                    <w14:schemeClr w14:val="tx1"/>
                  </w14:solidFill>
                </w14:textFill>
              </w:rPr>
              <w:t>10</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点源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7272.825</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588.786</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1723.68</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3.636</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0.294</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0.862</w:t>
            </w:r>
          </w:p>
        </w:tc>
        <w:tc>
          <w:tcPr>
            <w:tcW w:w="70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2928</w:t>
            </w:r>
          </w:p>
        </w:tc>
        <w:tc>
          <w:tcPr>
            <w:tcW w:w="791"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80934</w:t>
            </w:r>
          </w:p>
        </w:tc>
        <w:tc>
          <w:tcPr>
            <w:tcW w:w="600"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100</w:t>
            </w:r>
          </w:p>
        </w:tc>
        <w:tc>
          <w:tcPr>
            <w:tcW w:w="670"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945"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c>
          <w:tcPr>
            <w:tcW w:w="960"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w:t>
            </w: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PM</w:t>
            </w:r>
            <w:r>
              <w:rPr>
                <w:rFonts w:hint="eastAsia" w:ascii="Times New Roman" w:eastAsiaTheme="minorEastAsia"/>
                <w:color w:val="000000" w:themeColor="text1"/>
                <w:sz w:val="21"/>
                <w:szCs w:val="21"/>
                <w:vertAlign w:val="subscript"/>
                <w14:textFill>
                  <w14:solidFill>
                    <w14:schemeClr w14:val="tx1"/>
                  </w14:solidFill>
                </w14:textFill>
              </w:rPr>
              <w:t>2.5</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点源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4727.336</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382.602</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1120.283</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2.363</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0.191</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0.560</w:t>
            </w: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9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7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4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6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点源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434.023</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35.127</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102.861</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21.697</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1.756</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5.143</w:t>
            </w: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9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7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4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6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X</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点源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200</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16.187</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47.395</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3.237</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9.479</w:t>
            </w: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9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7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4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6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NH</w:t>
            </w:r>
            <w:r>
              <w:rPr>
                <w:rFonts w:hint="eastAsia" w:ascii="Times New Roman" w:eastAsiaTheme="minorEastAsia"/>
                <w:color w:val="000000" w:themeColor="text1"/>
                <w:sz w:val="21"/>
                <w:szCs w:val="21"/>
                <w:vertAlign w:val="subscript"/>
                <w14:textFill>
                  <w14:solidFill>
                    <w14:schemeClr w14:val="tx1"/>
                  </w14:solidFill>
                </w14:textFill>
              </w:rPr>
              <w:t>3</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点源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0.202</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0.591</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0.202</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0.591</w:t>
            </w: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9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7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4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6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汞及其化合物</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点源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0.051</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0.004</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0.011</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0.015</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0.001</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0.004</w:t>
            </w: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9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7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4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6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碎煤机室</w:t>
            </w: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粉尘</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面源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2.153</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6.304</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0.022</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0.064</w:t>
            </w:r>
          </w:p>
        </w:tc>
        <w:tc>
          <w:tcPr>
            <w:tcW w:w="70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2928</w:t>
            </w:r>
          </w:p>
        </w:tc>
        <w:tc>
          <w:tcPr>
            <w:tcW w:w="79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60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67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4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储煤场</w:t>
            </w: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粉尘</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面源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0.0001</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0.00002</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0.0001</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0.00002</w:t>
            </w:r>
          </w:p>
        </w:tc>
        <w:tc>
          <w:tcPr>
            <w:tcW w:w="70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4392</w:t>
            </w:r>
          </w:p>
        </w:tc>
        <w:tc>
          <w:tcPr>
            <w:tcW w:w="79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60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67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4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废水</w:t>
            </w:r>
          </w:p>
        </w:tc>
        <w:tc>
          <w:tcPr>
            <w:tcW w:w="727" w:type="dxa"/>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w:t>
            </w:r>
          </w:p>
        </w:tc>
        <w:tc>
          <w:tcPr>
            <w:tcW w:w="1472" w:type="dxa"/>
            <w:gridSpan w:val="2"/>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污染物名称</w:t>
            </w:r>
          </w:p>
        </w:tc>
        <w:tc>
          <w:tcPr>
            <w:tcW w:w="2728" w:type="dxa"/>
            <w:gridSpan w:val="3"/>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w:t>
            </w:r>
          </w:p>
        </w:tc>
        <w:tc>
          <w:tcPr>
            <w:tcW w:w="2686" w:type="dxa"/>
            <w:gridSpan w:val="3"/>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排放量</w:t>
            </w:r>
          </w:p>
        </w:tc>
        <w:tc>
          <w:tcPr>
            <w:tcW w:w="5660" w:type="dxa"/>
            <w:gridSpan w:val="7"/>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排放去向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restart"/>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生产废水</w:t>
            </w:r>
          </w:p>
        </w:tc>
        <w:tc>
          <w:tcPr>
            <w:tcW w:w="1472" w:type="dxa"/>
            <w:gridSpan w:val="2"/>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锅炉排污水</w:t>
            </w:r>
          </w:p>
        </w:tc>
        <w:tc>
          <w:tcPr>
            <w:tcW w:w="2728" w:type="dxa"/>
            <w:gridSpan w:val="3"/>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43.1m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/d</w:t>
            </w:r>
          </w:p>
        </w:tc>
        <w:tc>
          <w:tcPr>
            <w:tcW w:w="2686" w:type="dxa"/>
            <w:gridSpan w:val="3"/>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/d</w:t>
            </w:r>
          </w:p>
        </w:tc>
        <w:tc>
          <w:tcPr>
            <w:tcW w:w="5660" w:type="dxa"/>
            <w:gridSpan w:val="7"/>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回用于输煤降尘、除灰渣、脱硫、地面冲洗用水，不外排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72" w:type="dxa"/>
            <w:gridSpan w:val="2"/>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软化水系统</w:t>
            </w:r>
          </w:p>
        </w:tc>
        <w:tc>
          <w:tcPr>
            <w:tcW w:w="2728" w:type="dxa"/>
            <w:gridSpan w:val="3"/>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9.84</w:t>
            </w:r>
            <w:r>
              <w:rPr>
                <w:rFonts w:ascii="Times New Roman" w:eastAsiaTheme="minorEastAsia"/>
                <w:color w:val="000000" w:themeColor="text1"/>
                <w:sz w:val="21"/>
                <w:szCs w:val="21"/>
                <w14:textFill>
                  <w14:solidFill>
                    <w14:schemeClr w14:val="tx1"/>
                  </w14:solidFill>
                </w14:textFill>
              </w:rPr>
              <w:t xml:space="preserve"> 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/d</w:t>
            </w:r>
          </w:p>
        </w:tc>
        <w:tc>
          <w:tcPr>
            <w:tcW w:w="2686" w:type="dxa"/>
            <w:gridSpan w:val="3"/>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/d</w:t>
            </w:r>
          </w:p>
        </w:tc>
        <w:tc>
          <w:tcPr>
            <w:tcW w:w="5660" w:type="dxa"/>
            <w:gridSpan w:val="7"/>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727" w:type="dxa"/>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机械设备</w:t>
            </w:r>
          </w:p>
        </w:tc>
        <w:tc>
          <w:tcPr>
            <w:tcW w:w="1472" w:type="dxa"/>
            <w:gridSpan w:val="2"/>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机械设备噪声</w:t>
            </w:r>
          </w:p>
        </w:tc>
        <w:tc>
          <w:tcPr>
            <w:tcW w:w="2728" w:type="dxa"/>
            <w:gridSpan w:val="3"/>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80-95dB（A）</w:t>
            </w:r>
          </w:p>
        </w:tc>
        <w:tc>
          <w:tcPr>
            <w:tcW w:w="2686" w:type="dxa"/>
            <w:gridSpan w:val="3"/>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70-85dB（A）</w:t>
            </w:r>
          </w:p>
        </w:tc>
        <w:tc>
          <w:tcPr>
            <w:tcW w:w="5660" w:type="dxa"/>
            <w:gridSpan w:val="7"/>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墙体采用隔音材料，对设备安装时设计加减振垫、消声器等</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固体废物</w:t>
            </w:r>
          </w:p>
        </w:tc>
        <w:tc>
          <w:tcPr>
            <w:tcW w:w="72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w:t>
            </w:r>
          </w:p>
        </w:tc>
        <w:tc>
          <w:tcPr>
            <w:tcW w:w="91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废物名称</w:t>
            </w:r>
          </w:p>
        </w:tc>
        <w:tc>
          <w:tcPr>
            <w:tcW w:w="55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性质</w:t>
            </w:r>
          </w:p>
        </w:tc>
        <w:tc>
          <w:tcPr>
            <w:tcW w:w="1948"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 t/a</w:t>
            </w:r>
          </w:p>
        </w:tc>
        <w:tc>
          <w:tcPr>
            <w:tcW w:w="3466" w:type="dxa"/>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处置措施</w:t>
            </w:r>
          </w:p>
        </w:tc>
        <w:tc>
          <w:tcPr>
            <w:tcW w:w="5660" w:type="dxa"/>
            <w:gridSpan w:val="7"/>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是否符合环保要求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锅炉房</w:t>
            </w:r>
          </w:p>
        </w:tc>
        <w:tc>
          <w:tcPr>
            <w:tcW w:w="91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灰渣</w:t>
            </w:r>
          </w:p>
        </w:tc>
        <w:tc>
          <w:tcPr>
            <w:tcW w:w="55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一般固废</w:t>
            </w:r>
          </w:p>
        </w:tc>
        <w:tc>
          <w:tcPr>
            <w:tcW w:w="1948"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8748.665</w:t>
            </w:r>
          </w:p>
        </w:tc>
        <w:tc>
          <w:tcPr>
            <w:tcW w:w="3466" w:type="dxa"/>
            <w:gridSpan w:val="4"/>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除尘灰</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炉渣和脱硫废渣暂存于</w:t>
            </w:r>
            <w:r>
              <w:rPr>
                <w:rFonts w:hint="eastAsia" w:ascii="Times New Roman" w:eastAsiaTheme="minorEastAsia"/>
                <w:color w:val="000000" w:themeColor="text1"/>
                <w:sz w:val="21"/>
                <w:szCs w:val="21"/>
                <w14:textFill>
                  <w14:solidFill>
                    <w14:schemeClr w14:val="tx1"/>
                  </w14:solidFill>
                </w14:textFill>
              </w:rPr>
              <w:t>灰渣场</w:t>
            </w:r>
            <w:r>
              <w:rPr>
                <w:rFonts w:ascii="Times New Roman" w:eastAsiaTheme="minorEastAsia"/>
                <w:color w:val="000000" w:themeColor="text1"/>
                <w:sz w:val="21"/>
                <w:szCs w:val="21"/>
                <w14:textFill>
                  <w14:solidFill>
                    <w14:schemeClr w14:val="tx1"/>
                  </w14:solidFill>
                </w14:textFill>
              </w:rPr>
              <w:t>，全部外售综合利用</w:t>
            </w:r>
          </w:p>
        </w:tc>
        <w:tc>
          <w:tcPr>
            <w:tcW w:w="5660" w:type="dxa"/>
            <w:gridSpan w:val="7"/>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符合《一般工业固体废物贮存和填埋污染控制标准》（GB 18599-2020）要求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脱硫废渣</w:t>
            </w:r>
          </w:p>
        </w:tc>
        <w:tc>
          <w:tcPr>
            <w:tcW w:w="55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48"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500</w:t>
            </w:r>
          </w:p>
        </w:tc>
        <w:tc>
          <w:tcPr>
            <w:tcW w:w="3466" w:type="dxa"/>
            <w:gridSpan w:val="4"/>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660" w:type="dxa"/>
            <w:gridSpan w:val="7"/>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软化水系统</w:t>
            </w:r>
          </w:p>
        </w:tc>
        <w:tc>
          <w:tcPr>
            <w:tcW w:w="91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废树脂</w:t>
            </w:r>
          </w:p>
        </w:tc>
        <w:tc>
          <w:tcPr>
            <w:tcW w:w="55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48"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3466" w:type="dxa"/>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集中收集后在厂区</w:t>
            </w:r>
            <w:r>
              <w:rPr>
                <w:rFonts w:ascii="Times New Roman" w:eastAsiaTheme="minorEastAsia"/>
                <w:color w:val="000000" w:themeColor="text1"/>
                <w:sz w:val="21"/>
                <w:szCs w:val="21"/>
                <w14:textFill>
                  <w14:solidFill>
                    <w14:schemeClr w14:val="tx1"/>
                  </w14:solidFill>
                </w14:textFill>
              </w:rPr>
              <w:t>暂存，交由</w:t>
            </w:r>
            <w:r>
              <w:rPr>
                <w:rFonts w:hint="eastAsia" w:ascii="Times New Roman" w:eastAsiaTheme="minorEastAsia"/>
                <w:color w:val="000000" w:themeColor="text1"/>
                <w:sz w:val="21"/>
                <w:szCs w:val="21"/>
                <w14:textFill>
                  <w14:solidFill>
                    <w14:schemeClr w14:val="tx1"/>
                  </w14:solidFill>
                </w14:textFill>
              </w:rPr>
              <w:t>离子交换树脂生产企业回收</w:t>
            </w:r>
            <w:r>
              <w:rPr>
                <w:rFonts w:ascii="Times New Roman" w:eastAsiaTheme="minorEastAsia"/>
                <w:color w:val="000000" w:themeColor="text1"/>
                <w:sz w:val="21"/>
                <w:szCs w:val="21"/>
                <w14:textFill>
                  <w14:solidFill>
                    <w14:schemeClr w14:val="tx1"/>
                  </w14:solidFill>
                </w14:textFill>
              </w:rPr>
              <w:t>处理</w:t>
            </w:r>
          </w:p>
        </w:tc>
        <w:tc>
          <w:tcPr>
            <w:tcW w:w="5660" w:type="dxa"/>
            <w:gridSpan w:val="7"/>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除尘系统</w:t>
            </w:r>
          </w:p>
        </w:tc>
        <w:tc>
          <w:tcPr>
            <w:tcW w:w="91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废布袋</w:t>
            </w:r>
          </w:p>
        </w:tc>
        <w:tc>
          <w:tcPr>
            <w:tcW w:w="55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48"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974条/2a</w:t>
            </w:r>
          </w:p>
        </w:tc>
        <w:tc>
          <w:tcPr>
            <w:tcW w:w="3466" w:type="dxa"/>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由厂家回收</w:t>
            </w:r>
          </w:p>
        </w:tc>
        <w:tc>
          <w:tcPr>
            <w:tcW w:w="5660" w:type="dxa"/>
            <w:gridSpan w:val="7"/>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废机油</w:t>
            </w:r>
          </w:p>
        </w:tc>
        <w:tc>
          <w:tcPr>
            <w:tcW w:w="91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废机油</w:t>
            </w:r>
          </w:p>
        </w:tc>
        <w:tc>
          <w:tcPr>
            <w:tcW w:w="55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危废</w:t>
            </w:r>
          </w:p>
        </w:tc>
        <w:tc>
          <w:tcPr>
            <w:tcW w:w="1948"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3466" w:type="dxa"/>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危废贮存库暂存，委托资质单位处置</w:t>
            </w:r>
          </w:p>
        </w:tc>
        <w:tc>
          <w:tcPr>
            <w:tcW w:w="5660" w:type="dxa"/>
            <w:gridSpan w:val="7"/>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《危险废物贮存污染控制标准》（</w:t>
            </w:r>
            <w:r>
              <w:rPr>
                <w:rFonts w:ascii="Times New Roman" w:eastAsiaTheme="minorEastAsia"/>
                <w:color w:val="000000" w:themeColor="text1"/>
                <w:sz w:val="21"/>
                <w:szCs w:val="21"/>
                <w14:textFill>
                  <w14:solidFill>
                    <w14:schemeClr w14:val="tx1"/>
                  </w14:solidFill>
                </w14:textFill>
              </w:rPr>
              <w:t>GB18597-20</w:t>
            </w:r>
            <w:r>
              <w:rPr>
                <w:rFonts w:hint="eastAsia" w:ascii="Times New Roman" w:eastAsiaTheme="minorEastAsia"/>
                <w:color w:val="000000" w:themeColor="text1"/>
                <w:sz w:val="21"/>
                <w:szCs w:val="21"/>
                <w14:textFill>
                  <w14:solidFill>
                    <w14:schemeClr w14:val="tx1"/>
                  </w14:solidFill>
                </w14:textFill>
              </w:rPr>
              <w:t>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脱硝系统</w:t>
            </w:r>
          </w:p>
        </w:tc>
        <w:tc>
          <w:tcPr>
            <w:tcW w:w="91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废催化剂</w:t>
            </w:r>
          </w:p>
        </w:tc>
        <w:tc>
          <w:tcPr>
            <w:tcW w:w="55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危废</w:t>
            </w:r>
          </w:p>
        </w:tc>
        <w:tc>
          <w:tcPr>
            <w:tcW w:w="1948"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5t/3a</w:t>
            </w:r>
          </w:p>
        </w:tc>
        <w:tc>
          <w:tcPr>
            <w:tcW w:w="3466" w:type="dxa"/>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危废贮存库暂存，委托资质单位处置</w:t>
            </w:r>
          </w:p>
        </w:tc>
        <w:tc>
          <w:tcPr>
            <w:tcW w:w="5660" w:type="dxa"/>
            <w:gridSpan w:val="7"/>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《危险废物贮存污染控制标准》（</w:t>
            </w:r>
            <w:r>
              <w:rPr>
                <w:rFonts w:ascii="Times New Roman" w:eastAsiaTheme="minorEastAsia"/>
                <w:color w:val="000000" w:themeColor="text1"/>
                <w:sz w:val="21"/>
                <w:szCs w:val="21"/>
                <w14:textFill>
                  <w14:solidFill>
                    <w14:schemeClr w14:val="tx1"/>
                  </w14:solidFill>
                </w14:textFill>
              </w:rPr>
              <w:t>GB18597-20</w:t>
            </w:r>
            <w:r>
              <w:rPr>
                <w:rFonts w:hint="eastAsia" w:ascii="Times New Roman" w:eastAsiaTheme="minorEastAsia"/>
                <w:color w:val="000000" w:themeColor="text1"/>
                <w:sz w:val="21"/>
                <w:szCs w:val="21"/>
                <w14:textFill>
                  <w14:solidFill>
                    <w14:schemeClr w14:val="tx1"/>
                  </w14:solidFill>
                </w14:textFill>
              </w:rPr>
              <w:t>23）</w:t>
            </w:r>
          </w:p>
        </w:tc>
      </w:tr>
    </w:tbl>
    <w:p>
      <w:pPr>
        <w:ind w:firstLine="180"/>
        <w:rPr>
          <w:color w:val="000000" w:themeColor="text1"/>
          <w14:textFill>
            <w14:solidFill>
              <w14:schemeClr w14:val="tx1"/>
            </w14:solidFill>
          </w14:textFill>
        </w:rPr>
        <w:sectPr>
          <w:headerReference r:id="rId12"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116" w:name="_Toc27161"/>
      <w:bookmarkStart w:id="117" w:name="_Toc162605172"/>
      <w:r>
        <w:rPr>
          <w:rFonts w:ascii="Times New Roman" w:hAnsi="Times New Roman" w:cs="Times New Roman" w:eastAsiaTheme="minorEastAsia"/>
          <w:color w:val="000000" w:themeColor="text1"/>
          <w:szCs w:val="24"/>
          <w:lang w:val="en-US" w:bidi="ar-SA"/>
          <w14:textFill>
            <w14:solidFill>
              <w14:schemeClr w14:val="tx1"/>
            </w14:solidFill>
          </w14:textFill>
        </w:rPr>
        <w:t>3.6非正常工况排污分析</w:t>
      </w:r>
      <w:bookmarkEnd w:id="116"/>
      <w:bookmarkEnd w:id="117"/>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本项目非正常排放从三个方面分析：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（1）除尘器发生破袋故障，除尘效率降低至</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w:t>
      </w:r>
      <w:r>
        <w:rPr>
          <w:rFonts w:ascii="Times New Roman" w:hAnsi="Times New Roman" w:cs="Times New Roman" w:eastAsiaTheme="minorEastAsia"/>
          <w:color w:val="000000" w:themeColor="text1"/>
          <w:sz w:val="24"/>
          <w:szCs w:val="24"/>
          <w:lang w:val="en-US"/>
          <w14:textFill>
            <w14:solidFill>
              <w14:schemeClr w14:val="tx1"/>
            </w14:solidFill>
          </w14:textFill>
        </w:rPr>
        <w:t>0%时的烟气排放情况；</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（2）脱硫剂供应不足或脱硫塔故障，致使脱硫效率降低至50%时的烟气排放情况；</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（3）SNCR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-SCR</w:t>
      </w:r>
      <w:r>
        <w:rPr>
          <w:rFonts w:ascii="Times New Roman" w:hAnsi="Times New Roman" w:cs="Times New Roman" w:eastAsiaTheme="minorEastAsia"/>
          <w:color w:val="000000" w:themeColor="text1"/>
          <w:sz w:val="24"/>
          <w:szCs w:val="24"/>
          <w:lang w:val="en-US"/>
          <w14:textFill>
            <w14:solidFill>
              <w14:schemeClr w14:val="tx1"/>
            </w14:solidFill>
          </w14:textFill>
        </w:rPr>
        <w:t>脱硝系统故障，致使脱硝系统失灵，脱硝效率降低至</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时的烟气排放情况。</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本项目发生事故排放时颗粒物、SO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、NOx排放见表3-6-1~表3-6-3。</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表3-6-1 本项目事故排放时PM</w:t>
      </w:r>
      <w:r>
        <w:rPr>
          <w:rFonts w:ascii="Times New Roman" w:hAnsiTheme="minorEastAsia" w:eastAsiaTheme="minorEastAsia"/>
          <w:b/>
          <w:bCs/>
          <w:color w:val="000000" w:themeColor="text1"/>
          <w:szCs w:val="24"/>
          <w:vertAlign w:val="subscript"/>
          <w14:textFill>
            <w14:solidFill>
              <w14:schemeClr w14:val="tx1"/>
            </w14:solidFill>
          </w14:textFill>
        </w:rPr>
        <w:t>10</w:t>
      </w:r>
      <w:r>
        <w:rPr>
          <w:rFonts w:ascii="Times New Roman" w:hAnsiTheme="minorEastAsia" w:eastAsiaTheme="minorEastAsia"/>
          <w:b/>
          <w:bCs/>
          <w:color w:val="000000" w:themeColor="text1"/>
          <w:szCs w:val="24"/>
          <w14:textFill>
            <w14:solidFill>
              <w14:schemeClr w14:val="tx1"/>
            </w14:solidFill>
          </w14:textFill>
        </w:rPr>
        <w:t>排放量及排放浓度</w:t>
      </w:r>
    </w:p>
    <w:tbl>
      <w:tblPr>
        <w:tblStyle w:val="70"/>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76"/>
        <w:gridCol w:w="1614"/>
        <w:gridCol w:w="2328"/>
        <w:gridCol w:w="270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15" w:hRule="exact"/>
          <w:jc w:val="center"/>
        </w:trPr>
        <w:tc>
          <w:tcPr>
            <w:tcW w:w="187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除尘器发生故障</w:t>
            </w:r>
          </w:p>
        </w:tc>
        <w:tc>
          <w:tcPr>
            <w:tcW w:w="161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除尘效率（%）</w:t>
            </w:r>
          </w:p>
        </w:tc>
        <w:tc>
          <w:tcPr>
            <w:tcW w:w="23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颗粒物排放量（kg/h）</w:t>
            </w:r>
          </w:p>
        </w:tc>
        <w:tc>
          <w:tcPr>
            <w:tcW w:w="270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颗粒物排放浓度（mg/m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exact"/>
          <w:jc w:val="center"/>
        </w:trPr>
        <w:tc>
          <w:tcPr>
            <w:tcW w:w="187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数值</w:t>
            </w:r>
          </w:p>
        </w:tc>
        <w:tc>
          <w:tcPr>
            <w:tcW w:w="161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w:t>
            </w:r>
            <w:r>
              <w:rPr>
                <w:rFonts w:ascii="Times New Roman" w:eastAsiaTheme="minorEastAsia"/>
                <w:color w:val="000000" w:themeColor="text1"/>
                <w:sz w:val="21"/>
                <w:szCs w:val="21"/>
                <w14:textFill>
                  <w14:solidFill>
                    <w14:schemeClr w14:val="tx1"/>
                  </w14:solidFill>
                </w14:textFill>
              </w:rPr>
              <w:t>0</w:t>
            </w:r>
          </w:p>
        </w:tc>
        <w:tc>
          <w:tcPr>
            <w:tcW w:w="232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117.724</w:t>
            </w:r>
          </w:p>
        </w:tc>
        <w:tc>
          <w:tcPr>
            <w:tcW w:w="270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1454.565</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表3-6-2 本项目非正常排放时SO</w:t>
      </w:r>
      <w:r>
        <w:rPr>
          <w:rFonts w:ascii="Times New Roman" w:hAnsiTheme="minorEastAsia" w:eastAsiaTheme="minorEastAsia"/>
          <w:b/>
          <w:bCs/>
          <w:color w:val="000000" w:themeColor="text1"/>
          <w:szCs w:val="24"/>
          <w:vertAlign w:val="subscript"/>
          <w14:textFill>
            <w14:solidFill>
              <w14:schemeClr w14:val="tx1"/>
            </w14:solidFill>
          </w14:textFill>
        </w:rPr>
        <w:t>2</w:t>
      </w:r>
      <w:r>
        <w:rPr>
          <w:rFonts w:ascii="Times New Roman" w:hAnsiTheme="minorEastAsia" w:eastAsiaTheme="minorEastAsia"/>
          <w:b/>
          <w:bCs/>
          <w:color w:val="000000" w:themeColor="text1"/>
          <w:szCs w:val="24"/>
          <w14:textFill>
            <w14:solidFill>
              <w14:schemeClr w14:val="tx1"/>
            </w14:solidFill>
          </w14:textFill>
        </w:rPr>
        <w:t>排放量及排放浓度</w:t>
      </w:r>
    </w:p>
    <w:tbl>
      <w:tblPr>
        <w:tblStyle w:val="70"/>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74"/>
        <w:gridCol w:w="1725"/>
        <w:gridCol w:w="2295"/>
        <w:gridCol w:w="289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exact"/>
          <w:jc w:val="center"/>
        </w:trPr>
        <w:tc>
          <w:tcPr>
            <w:tcW w:w="187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脱硫系统失灵</w:t>
            </w:r>
          </w:p>
        </w:tc>
        <w:tc>
          <w:tcPr>
            <w:tcW w:w="17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脱硫效率（%）</w:t>
            </w:r>
          </w:p>
        </w:tc>
        <w:tc>
          <w:tcPr>
            <w:tcW w:w="229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排放量（kg/h）</w:t>
            </w:r>
          </w:p>
        </w:tc>
        <w:tc>
          <w:tcPr>
            <w:tcW w:w="28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排放浓度（mg/m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exact"/>
          <w:jc w:val="center"/>
        </w:trPr>
        <w:tc>
          <w:tcPr>
            <w:tcW w:w="187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数值</w:t>
            </w:r>
          </w:p>
        </w:tc>
        <w:tc>
          <w:tcPr>
            <w:tcW w:w="17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w:t>
            </w:r>
          </w:p>
        </w:tc>
        <w:tc>
          <w:tcPr>
            <w:tcW w:w="229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17.564</w:t>
            </w:r>
          </w:p>
        </w:tc>
        <w:tc>
          <w:tcPr>
            <w:tcW w:w="28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217.012</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表3-6-3 本项目非正常排放时NO</w:t>
      </w:r>
      <w:r>
        <w:rPr>
          <w:rFonts w:ascii="Times New Roman" w:hAnsiTheme="minorEastAsia" w:eastAsiaTheme="minorEastAsia"/>
          <w:b/>
          <w:bCs/>
          <w:color w:val="000000" w:themeColor="text1"/>
          <w:szCs w:val="24"/>
          <w:vertAlign w:val="subscript"/>
          <w14:textFill>
            <w14:solidFill>
              <w14:schemeClr w14:val="tx1"/>
            </w14:solidFill>
          </w14:textFill>
        </w:rPr>
        <w:t>X</w:t>
      </w:r>
      <w:r>
        <w:rPr>
          <w:rFonts w:ascii="Times New Roman" w:hAnsiTheme="minorEastAsia" w:eastAsiaTheme="minorEastAsia"/>
          <w:b/>
          <w:bCs/>
          <w:color w:val="000000" w:themeColor="text1"/>
          <w:szCs w:val="24"/>
          <w14:textFill>
            <w14:solidFill>
              <w14:schemeClr w14:val="tx1"/>
            </w14:solidFill>
          </w14:textFill>
        </w:rPr>
        <w:t>排放量及排放浓度</w:t>
      </w:r>
    </w:p>
    <w:tbl>
      <w:tblPr>
        <w:tblStyle w:val="70"/>
        <w:tblW w:w="8787"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74"/>
        <w:gridCol w:w="1725"/>
        <w:gridCol w:w="2295"/>
        <w:gridCol w:w="289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exact"/>
          <w:jc w:val="center"/>
        </w:trPr>
        <w:tc>
          <w:tcPr>
            <w:tcW w:w="187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脱硝系统失灵</w:t>
            </w:r>
          </w:p>
        </w:tc>
        <w:tc>
          <w:tcPr>
            <w:tcW w:w="17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脱硝效率（%）</w:t>
            </w:r>
          </w:p>
        </w:tc>
        <w:tc>
          <w:tcPr>
            <w:tcW w:w="229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X</w:t>
            </w:r>
            <w:r>
              <w:rPr>
                <w:rFonts w:ascii="Times New Roman" w:eastAsiaTheme="minorEastAsia"/>
                <w:color w:val="000000" w:themeColor="text1"/>
                <w:sz w:val="21"/>
                <w:szCs w:val="21"/>
                <w14:textFill>
                  <w14:solidFill>
                    <w14:schemeClr w14:val="tx1"/>
                  </w14:solidFill>
                </w14:textFill>
              </w:rPr>
              <w:t>排放量（kg/h）</w:t>
            </w:r>
          </w:p>
        </w:tc>
        <w:tc>
          <w:tcPr>
            <w:tcW w:w="28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X</w:t>
            </w:r>
            <w:r>
              <w:rPr>
                <w:rFonts w:ascii="Times New Roman" w:eastAsiaTheme="minorEastAsia"/>
                <w:color w:val="000000" w:themeColor="text1"/>
                <w:sz w:val="21"/>
                <w:szCs w:val="21"/>
                <w14:textFill>
                  <w14:solidFill>
                    <w14:schemeClr w14:val="tx1"/>
                  </w14:solidFill>
                </w14:textFill>
              </w:rPr>
              <w:t>排放浓度（mg/m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exact"/>
          <w:jc w:val="center"/>
        </w:trPr>
        <w:tc>
          <w:tcPr>
            <w:tcW w:w="187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数值</w:t>
            </w:r>
          </w:p>
        </w:tc>
        <w:tc>
          <w:tcPr>
            <w:tcW w:w="17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0</w:t>
            </w:r>
          </w:p>
        </w:tc>
        <w:tc>
          <w:tcPr>
            <w:tcW w:w="229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11.331</w:t>
            </w:r>
          </w:p>
        </w:tc>
        <w:tc>
          <w:tcPr>
            <w:tcW w:w="28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140</w:t>
            </w:r>
          </w:p>
        </w:tc>
      </w:tr>
    </w:tbl>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118" w:name="_Toc162605173"/>
      <w:bookmarkStart w:id="119" w:name="_Toc1148"/>
      <w:r>
        <w:rPr>
          <w:rFonts w:ascii="Times New Roman" w:hAnsi="Times New Roman" w:cs="Times New Roman" w:eastAsiaTheme="minorEastAsia"/>
          <w:color w:val="000000" w:themeColor="text1"/>
          <w:szCs w:val="24"/>
          <w:lang w:val="en-US" w:bidi="ar-SA"/>
          <w14:textFill>
            <w14:solidFill>
              <w14:schemeClr w14:val="tx1"/>
            </w14:solidFill>
          </w14:textFill>
        </w:rPr>
        <w:t>3.</w:t>
      </w:r>
      <w:r>
        <w:rPr>
          <w:rFonts w:hint="eastAsia" w:ascii="Times New Roman" w:hAnsi="Times New Roman" w:cs="Times New Roman" w:eastAsiaTheme="minorEastAsia"/>
          <w:color w:val="000000" w:themeColor="text1"/>
          <w:szCs w:val="24"/>
          <w:lang w:val="en-US" w:bidi="ar-SA"/>
          <w14:textFill>
            <w14:solidFill>
              <w14:schemeClr w14:val="tx1"/>
            </w14:solidFill>
          </w14:textFill>
        </w:rPr>
        <w:t>7</w:t>
      </w:r>
      <w:r>
        <w:rPr>
          <w:rFonts w:ascii="Times New Roman" w:hAnsi="Times New Roman" w:cs="Times New Roman" w:eastAsiaTheme="minorEastAsia"/>
          <w:color w:val="000000" w:themeColor="text1"/>
          <w:szCs w:val="24"/>
          <w:lang w:val="en-US" w:bidi="ar-SA"/>
          <w14:textFill>
            <w14:solidFill>
              <w14:schemeClr w14:val="tx1"/>
            </w14:solidFill>
          </w14:textFill>
        </w:rPr>
        <w:t>项目“三本帐”分析</w:t>
      </w:r>
      <w:bookmarkEnd w:id="118"/>
      <w:bookmarkEnd w:id="119"/>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根据黑龙江农泉兴隆热力有限公司2023年度排污许可执行报告，</w:t>
      </w:r>
      <w:r>
        <w:rPr>
          <w:rFonts w:ascii="Times New Roman" w:hAnsi="Times New Roman" w:cs="Times New Roman" w:eastAsiaTheme="minorEastAsia"/>
          <w:color w:val="000000" w:themeColor="text1"/>
          <w:sz w:val="24"/>
          <w:szCs w:val="24"/>
          <w:lang w:val="en-US"/>
          <w14:textFill>
            <w14:solidFill>
              <w14:schemeClr w14:val="tx1"/>
            </w14:solidFill>
          </w14:textFill>
        </w:rPr>
        <w:t>本项目建设后全厂主要污染物排放量变化情况见表3-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w:t>
      </w:r>
      <w:r>
        <w:rPr>
          <w:rFonts w:ascii="Times New Roman" w:hAnsi="Times New Roman" w:cs="Times New Roman" w:eastAsiaTheme="minorEastAsia"/>
          <w:color w:val="000000" w:themeColor="text1"/>
          <w:sz w:val="24"/>
          <w:szCs w:val="24"/>
          <w:lang w:val="en-US"/>
          <w14:textFill>
            <w14:solidFill>
              <w14:schemeClr w14:val="tx1"/>
            </w14:solidFill>
          </w14:textFill>
        </w:rPr>
        <w:t>-1。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w:t>
      </w:r>
      <w:r>
        <w:rPr>
          <w:rFonts w:hint="eastAsia" w:ascii="Times New Roman" w:hAnsiTheme="minorEastAsia" w:eastAsiaTheme="minorEastAsia"/>
          <w:b/>
          <w:bCs/>
          <w:color w:val="000000" w:themeColor="text1"/>
          <w:szCs w:val="24"/>
          <w14:textFill>
            <w14:solidFill>
              <w14:schemeClr w14:val="tx1"/>
            </w14:solidFill>
          </w14:textFill>
        </w:rPr>
        <w:t>7</w:t>
      </w:r>
      <w:r>
        <w:rPr>
          <w:rFonts w:ascii="Times New Roman" w:hAnsiTheme="minorEastAsia" w:eastAsiaTheme="minorEastAsia"/>
          <w:b/>
          <w:bCs/>
          <w:color w:val="000000" w:themeColor="text1"/>
          <w:szCs w:val="24"/>
          <w14:textFill>
            <w14:solidFill>
              <w14:schemeClr w14:val="tx1"/>
            </w14:solidFill>
          </w14:textFill>
        </w:rPr>
        <w:t>-1 本项目“三本帐”一览表单位：t/a</w:t>
      </w:r>
    </w:p>
    <w:tbl>
      <w:tblPr>
        <w:tblStyle w:val="70"/>
        <w:tblW w:w="878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986"/>
        <w:gridCol w:w="1104"/>
        <w:gridCol w:w="1090"/>
        <w:gridCol w:w="1075"/>
        <w:gridCol w:w="930"/>
        <w:gridCol w:w="1381"/>
        <w:gridCol w:w="1083"/>
        <w:gridCol w:w="113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737" w:hRule="atLeast"/>
          <w:jc w:val="center"/>
        </w:trPr>
        <w:tc>
          <w:tcPr>
            <w:tcW w:w="3180" w:type="dxa"/>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10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原有工程</w:t>
            </w:r>
            <w:r>
              <w:rPr>
                <w:rFonts w:hint="eastAsia" w:ascii="Times New Roman" w:eastAsiaTheme="minorEastAsia"/>
                <w:color w:val="000000" w:themeColor="text1"/>
                <w:sz w:val="21"/>
                <w:szCs w:val="21"/>
                <w14:textFill>
                  <w14:solidFill>
                    <w14:schemeClr w14:val="tx1"/>
                  </w14:solidFill>
                </w14:textFill>
              </w:rPr>
              <w:t>（原有2台70MW锅炉）</w:t>
            </w:r>
          </w:p>
        </w:tc>
        <w:tc>
          <w:tcPr>
            <w:tcW w:w="93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w:t>
            </w:r>
            <w:r>
              <w:rPr>
                <w:rFonts w:hint="eastAsia" w:ascii="Times New Roman" w:eastAsiaTheme="minorEastAsia"/>
                <w:color w:val="000000" w:themeColor="text1"/>
                <w:sz w:val="21"/>
                <w:szCs w:val="21"/>
                <w14:textFill>
                  <w14:solidFill>
                    <w14:schemeClr w14:val="tx1"/>
                  </w14:solidFill>
                </w14:textFill>
              </w:rPr>
              <w:t>（新增70MW锅炉）</w:t>
            </w:r>
          </w:p>
        </w:tc>
        <w:tc>
          <w:tcPr>
            <w:tcW w:w="138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“以新带老”削减量</w:t>
            </w:r>
            <w:r>
              <w:rPr>
                <w:rFonts w:hint="eastAsia" w:ascii="Times New Roman" w:eastAsiaTheme="minorEastAsia"/>
                <w:color w:val="000000" w:themeColor="text1"/>
                <w:sz w:val="21"/>
                <w:szCs w:val="21"/>
                <w14:textFill>
                  <w14:solidFill>
                    <w14:schemeClr w14:val="tx1"/>
                  </w14:solidFill>
                </w14:textFill>
              </w:rPr>
              <w:t>（拆除原有2台70MW锅炉）</w:t>
            </w:r>
          </w:p>
        </w:tc>
        <w:tc>
          <w:tcPr>
            <w:tcW w:w="10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排放总量</w:t>
            </w:r>
            <w:r>
              <w:rPr>
                <w:rFonts w:hint="eastAsia" w:ascii="Times New Roman" w:eastAsiaTheme="minorEastAsia"/>
                <w:color w:val="000000" w:themeColor="text1"/>
                <w:sz w:val="21"/>
                <w:szCs w:val="21"/>
                <w14:textFill>
                  <w14:solidFill>
                    <w14:schemeClr w14:val="tx1"/>
                  </w14:solidFill>
                </w14:textFill>
              </w:rPr>
              <w:t>（新增70MW锅炉）</w:t>
            </w:r>
          </w:p>
        </w:tc>
        <w:tc>
          <w:tcPr>
            <w:tcW w:w="113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排放增减量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54" w:hRule="exact"/>
          <w:jc w:val="center"/>
        </w:trPr>
        <w:tc>
          <w:tcPr>
            <w:tcW w:w="986"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生活污水</w:t>
            </w:r>
          </w:p>
        </w:tc>
        <w:tc>
          <w:tcPr>
            <w:tcW w:w="2194"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废水量</w:t>
            </w:r>
          </w:p>
        </w:tc>
        <w:tc>
          <w:tcPr>
            <w:tcW w:w="10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292</w:t>
            </w:r>
          </w:p>
        </w:tc>
        <w:tc>
          <w:tcPr>
            <w:tcW w:w="93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w:t>
            </w:r>
          </w:p>
        </w:tc>
        <w:tc>
          <w:tcPr>
            <w:tcW w:w="138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w:t>
            </w:r>
          </w:p>
        </w:tc>
        <w:tc>
          <w:tcPr>
            <w:tcW w:w="10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292</w:t>
            </w:r>
          </w:p>
        </w:tc>
        <w:tc>
          <w:tcPr>
            <w:tcW w:w="113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54" w:hRule="exact"/>
          <w:jc w:val="center"/>
        </w:trPr>
        <w:tc>
          <w:tcPr>
            <w:tcW w:w="986"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194"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COD</w:t>
            </w:r>
          </w:p>
        </w:tc>
        <w:tc>
          <w:tcPr>
            <w:tcW w:w="10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0.088</w:t>
            </w:r>
          </w:p>
        </w:tc>
        <w:tc>
          <w:tcPr>
            <w:tcW w:w="93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w:t>
            </w:r>
          </w:p>
        </w:tc>
        <w:tc>
          <w:tcPr>
            <w:tcW w:w="138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w:t>
            </w:r>
          </w:p>
        </w:tc>
        <w:tc>
          <w:tcPr>
            <w:tcW w:w="10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0.088</w:t>
            </w:r>
          </w:p>
        </w:tc>
        <w:tc>
          <w:tcPr>
            <w:tcW w:w="113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54" w:hRule="exact"/>
          <w:jc w:val="center"/>
        </w:trPr>
        <w:tc>
          <w:tcPr>
            <w:tcW w:w="986"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194"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氨氮</w:t>
            </w:r>
          </w:p>
        </w:tc>
        <w:tc>
          <w:tcPr>
            <w:tcW w:w="10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0.009</w:t>
            </w:r>
          </w:p>
        </w:tc>
        <w:tc>
          <w:tcPr>
            <w:tcW w:w="93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w:t>
            </w:r>
          </w:p>
        </w:tc>
        <w:tc>
          <w:tcPr>
            <w:tcW w:w="138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w:t>
            </w:r>
          </w:p>
        </w:tc>
        <w:tc>
          <w:tcPr>
            <w:tcW w:w="10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0.009</w:t>
            </w:r>
          </w:p>
        </w:tc>
        <w:tc>
          <w:tcPr>
            <w:tcW w:w="113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54" w:hRule="exact"/>
          <w:jc w:val="center"/>
        </w:trPr>
        <w:tc>
          <w:tcPr>
            <w:tcW w:w="986"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废气</w:t>
            </w:r>
          </w:p>
        </w:tc>
        <w:tc>
          <w:tcPr>
            <w:tcW w:w="110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锅炉房</w:t>
            </w:r>
          </w:p>
        </w:tc>
        <w:tc>
          <w:tcPr>
            <w:tcW w:w="10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p>
        </w:tc>
        <w:tc>
          <w:tcPr>
            <w:tcW w:w="10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23.138</w:t>
            </w:r>
          </w:p>
        </w:tc>
        <w:tc>
          <w:tcPr>
            <w:tcW w:w="93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0.862</w:t>
            </w:r>
          </w:p>
        </w:tc>
        <w:tc>
          <w:tcPr>
            <w:tcW w:w="138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23.138</w:t>
            </w:r>
          </w:p>
        </w:tc>
        <w:tc>
          <w:tcPr>
            <w:tcW w:w="10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0.862</w:t>
            </w:r>
          </w:p>
        </w:tc>
        <w:tc>
          <w:tcPr>
            <w:tcW w:w="113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-22.276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54" w:hRule="exact"/>
          <w:jc w:val="center"/>
        </w:trPr>
        <w:tc>
          <w:tcPr>
            <w:tcW w:w="986"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10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p>
        </w:tc>
        <w:tc>
          <w:tcPr>
            <w:tcW w:w="10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117.543</w:t>
            </w:r>
          </w:p>
        </w:tc>
        <w:tc>
          <w:tcPr>
            <w:tcW w:w="93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5.143</w:t>
            </w:r>
          </w:p>
        </w:tc>
        <w:tc>
          <w:tcPr>
            <w:tcW w:w="138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117.543</w:t>
            </w:r>
          </w:p>
        </w:tc>
        <w:tc>
          <w:tcPr>
            <w:tcW w:w="10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5.143</w:t>
            </w:r>
          </w:p>
        </w:tc>
        <w:tc>
          <w:tcPr>
            <w:tcW w:w="113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-112.4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54" w:hRule="exact"/>
          <w:jc w:val="center"/>
        </w:trPr>
        <w:tc>
          <w:tcPr>
            <w:tcW w:w="986"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10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X</w:t>
            </w:r>
          </w:p>
        </w:tc>
        <w:tc>
          <w:tcPr>
            <w:tcW w:w="10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142.190</w:t>
            </w:r>
          </w:p>
        </w:tc>
        <w:tc>
          <w:tcPr>
            <w:tcW w:w="93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9.479</w:t>
            </w:r>
          </w:p>
        </w:tc>
        <w:tc>
          <w:tcPr>
            <w:tcW w:w="138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142.190</w:t>
            </w:r>
          </w:p>
        </w:tc>
        <w:tc>
          <w:tcPr>
            <w:tcW w:w="10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9.479</w:t>
            </w:r>
          </w:p>
        </w:tc>
        <w:tc>
          <w:tcPr>
            <w:tcW w:w="113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-132.711</w:t>
            </w:r>
          </w:p>
        </w:tc>
      </w:tr>
    </w:tbl>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120" w:name="_Toc17791557"/>
      <w:bookmarkStart w:id="121" w:name="_Toc50441400"/>
      <w:bookmarkStart w:id="122" w:name="_Toc162605174"/>
      <w:r>
        <w:rPr>
          <w:rFonts w:ascii="Times New Roman" w:hAnsi="Times New Roman" w:cs="Times New Roman" w:eastAsiaTheme="minorEastAsia"/>
          <w:color w:val="000000" w:themeColor="text1"/>
          <w:szCs w:val="24"/>
          <w:lang w:val="en-US" w:bidi="ar-SA"/>
          <w14:textFill>
            <w14:solidFill>
              <w14:schemeClr w14:val="tx1"/>
            </w14:solidFill>
          </w14:textFill>
        </w:rPr>
        <w:t>3.</w:t>
      </w:r>
      <w:r>
        <w:rPr>
          <w:rFonts w:hint="eastAsia" w:ascii="Times New Roman" w:hAnsi="Times New Roman" w:cs="Times New Roman" w:eastAsiaTheme="minorEastAsia"/>
          <w:color w:val="000000" w:themeColor="text1"/>
          <w:szCs w:val="24"/>
          <w:lang w:val="en-US" w:bidi="ar-SA"/>
          <w14:textFill>
            <w14:solidFill>
              <w14:schemeClr w14:val="tx1"/>
            </w14:solidFill>
          </w14:textFill>
        </w:rPr>
        <w:t>8</w:t>
      </w:r>
      <w:r>
        <w:rPr>
          <w:rFonts w:ascii="Times New Roman" w:hAnsi="Times New Roman" w:cs="Times New Roman" w:eastAsiaTheme="minorEastAsia"/>
          <w:color w:val="000000" w:themeColor="text1"/>
          <w:szCs w:val="24"/>
          <w:lang w:val="en-US" w:bidi="ar-SA"/>
          <w14:textFill>
            <w14:solidFill>
              <w14:schemeClr w14:val="tx1"/>
            </w14:solidFill>
          </w14:textFill>
        </w:rPr>
        <w:t>清洁生产水平分析</w:t>
      </w:r>
      <w:bookmarkEnd w:id="120"/>
      <w:bookmarkEnd w:id="121"/>
      <w:bookmarkEnd w:id="122"/>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3.</w:t>
      </w:r>
      <w:r>
        <w:rPr>
          <w:rFonts w:hint="eastAsia" w:ascii="Times New Roman" w:hAnsi="Times New Roman" w:eastAsia="新宋体" w:cstheme="minorBidi"/>
          <w:color w:val="000000" w:themeColor="text1"/>
          <w:szCs w:val="24"/>
          <w:lang w:val="en-US" w:bidi="ar-SA"/>
          <w14:textFill>
            <w14:solidFill>
              <w14:schemeClr w14:val="tx1"/>
            </w14:solidFill>
          </w14:textFill>
        </w:rPr>
        <w:t>8</w:t>
      </w:r>
      <w:r>
        <w:rPr>
          <w:rFonts w:ascii="Times New Roman" w:hAnsi="Times New Roman" w:eastAsia="新宋体" w:cstheme="minorBidi"/>
          <w:color w:val="000000" w:themeColor="text1"/>
          <w:szCs w:val="24"/>
          <w:lang w:val="en-US" w:bidi="ar-SA"/>
          <w14:textFill>
            <w14:solidFill>
              <w14:schemeClr w14:val="tx1"/>
            </w14:solidFill>
          </w14:textFill>
        </w:rPr>
        <w:t>.1国家相关产业政策分析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本项目属于《产业结构和调整指导目录（20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24</w:t>
      </w:r>
      <w:r>
        <w:rPr>
          <w:rFonts w:ascii="Times New Roman" w:hAnsi="Times New Roman" w:cs="Times New Roman" w:eastAsiaTheme="minorEastAsia"/>
          <w:color w:val="000000" w:themeColor="text1"/>
          <w:sz w:val="24"/>
          <w:szCs w:val="24"/>
          <w:lang w:val="en-US"/>
          <w14:textFill>
            <w14:solidFill>
              <w14:schemeClr w14:val="tx1"/>
            </w14:solidFill>
          </w14:textFill>
        </w:rPr>
        <w:t>年本）》中鼓励类“第二十二类、</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城镇</w:t>
      </w:r>
      <w:r>
        <w:rPr>
          <w:rFonts w:ascii="Times New Roman" w:hAnsi="Times New Roman" w:cs="Times New Roman" w:eastAsiaTheme="minorEastAsia"/>
          <w:color w:val="000000" w:themeColor="text1"/>
          <w:sz w:val="24"/>
          <w:szCs w:val="24"/>
          <w:lang w:val="en-US"/>
          <w14:textFill>
            <w14:solidFill>
              <w14:schemeClr w14:val="tx1"/>
            </w14:solidFill>
          </w14:textFill>
        </w:rPr>
        <w:t>基础设施：</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市政基础设施：城镇供排水工程及相关设备生产，地级及以上城市地下综合管廊建设，地下管网地理信息系统，城市燃气工程，城镇集中供热建设和改造工程(包括长距离集中供热管网应用工程)，城市节水技术开发与应用，城市燃气塑料管道应用工程，海绵城市、排水防涝工程技术产品开发生产</w:t>
      </w:r>
      <w:r>
        <w:rPr>
          <w:rFonts w:ascii="Times New Roman" w:hAnsi="Times New Roman" w:cs="Times New Roman" w:eastAsiaTheme="minorEastAsia"/>
          <w:color w:val="000000" w:themeColor="text1"/>
          <w:sz w:val="24"/>
          <w:szCs w:val="24"/>
          <w:lang w:val="en-US"/>
          <w14:textFill>
            <w14:solidFill>
              <w14:schemeClr w14:val="tx1"/>
            </w14:solidFill>
          </w14:textFill>
        </w:rPr>
        <w:t>”，因此，本项目属于鼓励类建设项目。</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国务院同意建设部、国家计委《关于加强城市集中供热管理工作的报告》中指出，“城市集中供热设施是现代化城市的基础设施之一。在城市经济体制改革中，各地要加强对这项工作的组织领导和管理，不断地摸索和总结经验，推动城市集中供热工作的开展”。</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为加强对供热体制改革试点工作的领导，建设部、国家发展和改革委员会、财政部、人事部、民政部、劳动和社会保障部、国家税务总局、原国家环保总局制定了《关于城镇供热体制改革试点工作的指导意见》，《指导意见》中指出，“改革单位统包的用热制度，停止福利供热，实行用热商品化、货币化；加大新型墙体材料、建筑节能技术的推广应用和供热采暖设施的技术改造力度，提高热能利用效率，改善城镇大气环境质量；继续发展和完善以集中供热为主导、多种方式相结合的经济、安全、清洁、高效的城镇供热采暖系统；加快供热企业改革，引入竞争机制，培育和规范城镇供热市场”。</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《中华人民共和国节约能源法》第39条明确提出：国家鼓励发展推广集中供热，提高热能综合利用率。</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由此可见，本项目的建设符合国家产业政策的要求。</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3.</w:t>
      </w:r>
      <w:r>
        <w:rPr>
          <w:rFonts w:hint="eastAsia" w:ascii="Times New Roman" w:hAnsi="Times New Roman" w:eastAsia="新宋体" w:cstheme="minorBidi"/>
          <w:color w:val="000000" w:themeColor="text1"/>
          <w:szCs w:val="24"/>
          <w:lang w:val="en-US" w:bidi="ar-SA"/>
          <w14:textFill>
            <w14:solidFill>
              <w14:schemeClr w14:val="tx1"/>
            </w14:solidFill>
          </w14:textFill>
        </w:rPr>
        <w:t>8</w:t>
      </w:r>
      <w:r>
        <w:rPr>
          <w:rFonts w:ascii="Times New Roman" w:hAnsi="Times New Roman" w:eastAsia="新宋体" w:cstheme="minorBidi"/>
          <w:color w:val="000000" w:themeColor="text1"/>
          <w:szCs w:val="24"/>
          <w:lang w:val="en-US" w:bidi="ar-SA"/>
          <w14:textFill>
            <w14:solidFill>
              <w14:schemeClr w14:val="tx1"/>
            </w14:solidFill>
          </w14:textFill>
        </w:rPr>
        <w:t>.2生产工艺先进性分析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本工程是以煤为基本原料的集中供热工程，其生产过程包括运煤、输煤、燃烧、软化水处理、除炉渣等几部分，现就清洁生产状况进行评述。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（1）节能</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本工程主要产品为热水。与分散小锅炉相比，集中供热具有提高供热质量的优点——供应热水连续均匀。</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分散小锅炉由于设备条件的限制，不易保证热质量，压力和温度的波动会影响生产工艺，影响产品质量。而集中供热为连续运行，供热介质参数稳定，产品质量也有很大提高。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通过本工程的建设，避免了本工程区域内自建小型锅炉房采暖，有利于保护该区域的环境空气质量，并且有利于污染物的集中控制与管理。</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表3-</w:t>
      </w:r>
      <w:r>
        <w:rPr>
          <w:rFonts w:hint="eastAsia" w:ascii="Times New Roman" w:hAnsiTheme="minorEastAsia" w:eastAsiaTheme="minorEastAsia"/>
          <w:b/>
          <w:bCs/>
          <w:color w:val="000000" w:themeColor="text1"/>
          <w:szCs w:val="24"/>
          <w14:textFill>
            <w14:solidFill>
              <w14:schemeClr w14:val="tx1"/>
            </w14:solidFill>
          </w14:textFill>
        </w:rPr>
        <w:t>8</w:t>
      </w:r>
      <w:r>
        <w:rPr>
          <w:rFonts w:ascii="Times New Roman" w:hAnsiTheme="minorEastAsia" w:eastAsiaTheme="minorEastAsia"/>
          <w:b/>
          <w:bCs/>
          <w:color w:val="000000" w:themeColor="text1"/>
          <w:szCs w:val="24"/>
          <w14:textFill>
            <w14:solidFill>
              <w14:schemeClr w14:val="tx1"/>
            </w14:solidFill>
          </w14:textFill>
        </w:rPr>
        <w:t>-1 分散供热与集中供热的比较</w:t>
      </w:r>
    </w:p>
    <w:tbl>
      <w:tblPr>
        <w:tblStyle w:val="70"/>
        <w:tblW w:w="85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45"/>
        <w:gridCol w:w="3582"/>
        <w:gridCol w:w="36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参数</w:t>
            </w:r>
          </w:p>
        </w:tc>
        <w:tc>
          <w:tcPr>
            <w:tcW w:w="358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替代分散供热</w:t>
            </w:r>
          </w:p>
        </w:tc>
        <w:tc>
          <w:tcPr>
            <w:tcW w:w="367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集中供热(本工程数据)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锅炉容量</w:t>
            </w:r>
          </w:p>
        </w:tc>
        <w:tc>
          <w:tcPr>
            <w:tcW w:w="358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小</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据1995年统计，全国工业锅炉平均容量为2.4t/h</w:t>
            </w:r>
          </w:p>
        </w:tc>
        <w:tc>
          <w:tcPr>
            <w:tcW w:w="367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70</w:t>
            </w:r>
            <w:r>
              <w:rPr>
                <w:rFonts w:ascii="Times New Roman" w:eastAsiaTheme="minorEastAsia"/>
                <w:color w:val="000000" w:themeColor="text1"/>
                <w:sz w:val="21"/>
                <w:szCs w:val="21"/>
                <w14:textFill>
                  <w14:solidFill>
                    <w14:schemeClr w14:val="tx1"/>
                  </w14:solidFill>
                </w14:textFill>
              </w:rPr>
              <w:t>MW热水锅炉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烟囱高度</w:t>
            </w:r>
          </w:p>
        </w:tc>
        <w:tc>
          <w:tcPr>
            <w:tcW w:w="358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低，一般在40m以下</w:t>
            </w:r>
          </w:p>
        </w:tc>
        <w:tc>
          <w:tcPr>
            <w:tcW w:w="367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高，</w:t>
            </w:r>
            <w:r>
              <w:rPr>
                <w:rFonts w:hint="eastAsia" w:ascii="Times New Roman" w:eastAsiaTheme="minorEastAsia"/>
                <w:color w:val="000000" w:themeColor="text1"/>
                <w:sz w:val="21"/>
                <w:szCs w:val="21"/>
                <w14:textFill>
                  <w14:solidFill>
                    <w14:schemeClr w14:val="tx1"/>
                  </w14:solidFill>
                </w14:textFill>
              </w:rPr>
              <w:t>100</w:t>
            </w:r>
            <w:r>
              <w:rPr>
                <w:rFonts w:ascii="Times New Roman" w:eastAsiaTheme="minorEastAsia"/>
                <w:color w:val="000000" w:themeColor="text1"/>
                <w:sz w:val="21"/>
                <w:szCs w:val="21"/>
                <w14:textFill>
                  <w14:solidFill>
                    <w14:schemeClr w14:val="tx1"/>
                  </w14:solidFill>
                </w14:textFill>
              </w:rPr>
              <w:t>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热效率</w:t>
            </w:r>
          </w:p>
        </w:tc>
        <w:tc>
          <w:tcPr>
            <w:tcW w:w="358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低，一般为65%</w:t>
            </w:r>
          </w:p>
        </w:tc>
        <w:tc>
          <w:tcPr>
            <w:tcW w:w="367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高，80%以上</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脱硫除尘脱硝效率</w:t>
            </w:r>
          </w:p>
        </w:tc>
        <w:tc>
          <w:tcPr>
            <w:tcW w:w="3582"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低，很多小锅炉房无正规除尘设备</w:t>
            </w:r>
          </w:p>
        </w:tc>
        <w:tc>
          <w:tcPr>
            <w:tcW w:w="367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高</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除尘效率99.</w:t>
            </w:r>
            <w:r>
              <w:rPr>
                <w:rFonts w:hint="eastAsia" w:ascii="Times New Roman" w:eastAsiaTheme="minorEastAsia"/>
                <w:color w:val="000000" w:themeColor="text1"/>
                <w:sz w:val="21"/>
                <w:szCs w:val="21"/>
                <w14:textFill>
                  <w14:solidFill>
                    <w14:schemeClr w14:val="tx1"/>
                  </w14:solidFill>
                </w14:textFill>
              </w:rPr>
              <w:t>9</w:t>
            </w:r>
            <w:r>
              <w:rPr>
                <w:rFonts w:ascii="Times New Roman" w:eastAsiaTheme="minorEastAsia"/>
                <w:color w:val="000000" w:themeColor="text1"/>
                <w:sz w:val="21"/>
                <w:szCs w:val="21"/>
                <w14:textFill>
                  <w14:solidFill>
                    <w14:schemeClr w14:val="tx1"/>
                  </w14:solidFill>
                </w14:textFill>
              </w:rPr>
              <w:t>5%</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脱硫效率</w:t>
            </w:r>
            <w:r>
              <w:rPr>
                <w:rFonts w:hint="eastAsia" w:ascii="Times New Roman" w:eastAsiaTheme="minorEastAsia"/>
                <w:color w:val="000000" w:themeColor="text1"/>
                <w:sz w:val="21"/>
                <w:szCs w:val="21"/>
                <w14:textFill>
                  <w14:solidFill>
                    <w14:schemeClr w14:val="tx1"/>
                  </w14:solidFill>
                </w14:textFill>
              </w:rPr>
              <w:t>95</w:t>
            </w:r>
            <w:r>
              <w:rPr>
                <w:rFonts w:ascii="Times New Roman" w:eastAsiaTheme="minorEastAsia"/>
                <w:color w:val="000000" w:themeColor="text1"/>
                <w:sz w:val="21"/>
                <w:szCs w:val="21"/>
                <w14:textFill>
                  <w14:solidFill>
                    <w14:schemeClr w14:val="tx1"/>
                  </w14:solidFill>
                </w14:textFill>
              </w:rPr>
              <w:t>%</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脱硝效率</w:t>
            </w:r>
            <w:r>
              <w:rPr>
                <w:rFonts w:hint="eastAsia" w:ascii="Times New Roman" w:eastAsiaTheme="minorEastAsia"/>
                <w:color w:val="000000" w:themeColor="text1"/>
                <w:sz w:val="21"/>
                <w:szCs w:val="21"/>
                <w14:textFill>
                  <w14:solidFill>
                    <w14:schemeClr w14:val="tx1"/>
                  </w14:solidFill>
                </w14:textFill>
              </w:rPr>
              <w:t>80</w:t>
            </w:r>
            <w:r>
              <w:rPr>
                <w:rFonts w:ascii="Times New Roman" w:eastAsiaTheme="minorEastAsia"/>
                <w:color w:val="000000" w:themeColor="text1"/>
                <w:sz w:val="21"/>
                <w:szCs w:val="21"/>
                <w14:textFill>
                  <w14:solidFill>
                    <w14:schemeClr w14:val="tx1"/>
                  </w14:solidFill>
                </w14:textFill>
              </w:rPr>
              <w:t>%</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通过本工程的建设，避免了区域各小型锅炉房供热，有利于保护该区域的环境空气质量，并且有利于污染物的集中控制与管理。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为了贯彻国家能源政策，以达到合理利用能源、节约能源的目的，本项设计中将采取下列节能措施：</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1）为了充分合理的利用能源，随着室外气温的变化不断调节供热介质的温度，使其达到合理的供热参数，在满足用户需求的情况下，尽可能降低成本，合理的利用能源，达到节能的目的。</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2）热网采用计算机自动控制，可以精确地调节控制供热系统的运行参数，大大提高对热网系统的监控能力，节约能源。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在设备选择方面，优先选用低耗高效率节能设备，补水泵、鼓风机、引风机、循环泵采用变频调速装置，降低能耗。变频调速装置是目前普遍采用的一种节能措施，它可以通过变频器调节水泵的转速，达到压力控制稳定，流量连续变化，这样即可以节约电耗，又可以减少频繁启动对设备的损耗，延长设备的使用寿命。</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4）加强供热管道和热设备的保温,减少热损失，以便提高系统的热能利用率，保证供热管网热损失在5%以下。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5）在锅炉房总图布置上力求紧凑，按工艺流程布置，减少输送距离，避免原材料在倒运中的能源消耗。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6）建筑物的设计符合节能要求，采用节能墙体，减少建筑的热能损失。</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7）加强计量，锅炉供水和补水均设置计量仪表，进煤设地中衡，锅炉上煤加装电子皮带称，强化管理，节约能源。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（2）节水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与小锅炉供热相比，本工程节水效果更好。</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（3）炉渣综合利用分析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本工程炉渣全部综合利用，除渣系统采用机械除渣。燃烬的炉渣由锅炉底部的出渣口</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输送至半封闭灰渣场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在灰渣场四周设置防风抑尘网（长度400m，高度10m）并才用苫布遮盖，定期洒水增湿降尘</w:t>
      </w:r>
      <w:r>
        <w:rPr>
          <w:rFonts w:ascii="Times New Roman" w:hAnsi="Times New Roman" w:cs="Times New Roman" w:eastAsiaTheme="minorEastAsia"/>
          <w:color w:val="000000" w:themeColor="text1"/>
          <w:sz w:val="24"/>
          <w:szCs w:val="24"/>
          <w:lang w:val="en-US"/>
          <w14:textFill>
            <w14:solidFill>
              <w14:schemeClr w14:val="tx1"/>
            </w14:solidFill>
          </w14:textFill>
        </w:rPr>
        <w:t>，可以有效减少扬尘的产生，对厂区周边环境影响可被接受。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炉渣利用率为100%，符合清洁生产的指导思想。</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3.</w:t>
      </w:r>
      <w:r>
        <w:rPr>
          <w:rFonts w:hint="eastAsia" w:ascii="Times New Roman" w:hAnsi="Times New Roman" w:eastAsia="新宋体" w:cstheme="minorBidi"/>
          <w:color w:val="000000" w:themeColor="text1"/>
          <w:szCs w:val="24"/>
          <w:lang w:val="en-US" w:bidi="ar-SA"/>
          <w14:textFill>
            <w14:solidFill>
              <w14:schemeClr w14:val="tx1"/>
            </w14:solidFill>
          </w14:textFill>
        </w:rPr>
        <w:t>8</w:t>
      </w:r>
      <w:r>
        <w:rPr>
          <w:rFonts w:ascii="Times New Roman" w:hAnsi="Times New Roman" w:eastAsia="新宋体" w:cstheme="minorBidi"/>
          <w:color w:val="000000" w:themeColor="text1"/>
          <w:szCs w:val="24"/>
          <w:lang w:val="en-US" w:bidi="ar-SA"/>
          <w14:textFill>
            <w14:solidFill>
              <w14:schemeClr w14:val="tx1"/>
            </w14:solidFill>
          </w14:textFill>
        </w:rPr>
        <w:t>.3强化污染物的末端治理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本工程虽然在工艺设计中采用了先进的生产工艺及节能措施，但仍然有部分污染物排放。因此污染物的末端治理是清洁生产的必要途径。</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（1）本工程主要污染源为锅炉排放的烟气，采用布袋除尘器对锅炉烟气进行净化处理，去除效率高于99.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5%；采用镁法脱硫工艺去除锅炉烟气中的SO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，脱硫效率高于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95</w:t>
      </w:r>
      <w:r>
        <w:rPr>
          <w:rFonts w:ascii="Times New Roman" w:hAnsi="Times New Roman" w:cs="Times New Roman" w:eastAsiaTheme="minorEastAsia"/>
          <w:color w:val="000000" w:themeColor="text1"/>
          <w:sz w:val="24"/>
          <w:szCs w:val="24"/>
          <w:lang w:val="en-US"/>
          <w14:textFill>
            <w14:solidFill>
              <w14:schemeClr w14:val="tx1"/>
            </w14:solidFill>
          </w14:textFill>
        </w:rPr>
        <w:t>%；采用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低氮燃烧和</w:t>
      </w:r>
      <w:r>
        <w:rPr>
          <w:rFonts w:ascii="Times New Roman" w:hAnsi="Times New Roman" w:cs="Times New Roman" w:eastAsiaTheme="minorEastAsia"/>
          <w:color w:val="000000" w:themeColor="text1"/>
          <w:sz w:val="24"/>
          <w:szCs w:val="24"/>
          <w:lang w:val="en-US"/>
          <w14:textFill>
            <w14:solidFill>
              <w14:schemeClr w14:val="tx1"/>
            </w14:solidFill>
          </w14:textFill>
        </w:rPr>
        <w:t>SNCR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-SCR联合</w:t>
      </w:r>
      <w:r>
        <w:rPr>
          <w:rFonts w:ascii="Times New Roman" w:hAnsi="Times New Roman" w:cs="Times New Roman" w:eastAsiaTheme="minorEastAsia"/>
          <w:color w:val="000000" w:themeColor="text1"/>
          <w:sz w:val="24"/>
          <w:szCs w:val="24"/>
          <w:lang w:val="en-US"/>
          <w14:textFill>
            <w14:solidFill>
              <w14:schemeClr w14:val="tx1"/>
            </w14:solidFill>
          </w14:textFill>
        </w:rPr>
        <w:t>脱硝工艺对锅炉烟气中的NOx进行有效控制，效率高于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80</w:t>
      </w:r>
      <w:r>
        <w:rPr>
          <w:rFonts w:ascii="Times New Roman" w:hAnsi="Times New Roman" w:cs="Times New Roman" w:eastAsiaTheme="minorEastAsia"/>
          <w:color w:val="000000" w:themeColor="text1"/>
          <w:sz w:val="24"/>
          <w:szCs w:val="24"/>
          <w:lang w:val="en-US"/>
          <w14:textFill>
            <w14:solidFill>
              <w14:schemeClr w14:val="tx1"/>
            </w14:solidFill>
          </w14:textFill>
        </w:rPr>
        <w:t>%。经处理后的烟气通过</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100</w:t>
      </w:r>
      <w:r>
        <w:rPr>
          <w:rFonts w:ascii="Times New Roman" w:hAnsi="Times New Roman" w:cs="Times New Roman" w:eastAsiaTheme="minorEastAsia"/>
          <w:color w:val="000000" w:themeColor="text1"/>
          <w:sz w:val="24"/>
          <w:szCs w:val="24"/>
          <w:lang w:val="en-US"/>
          <w14:textFill>
            <w14:solidFill>
              <w14:schemeClr w14:val="tx1"/>
            </w14:solidFill>
          </w14:textFill>
        </w:rPr>
        <w:t>m高烟囱排放，</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改扩建完成后，全厂锅炉执行</w:t>
      </w:r>
      <w:r>
        <w:rPr>
          <w:rFonts w:ascii="Times New Roman" w:hAnsi="Times New Roman" w:cs="Times New Roman" w:eastAsiaTheme="minorEastAsia"/>
          <w:color w:val="000000" w:themeColor="text1"/>
          <w:sz w:val="24"/>
          <w:szCs w:val="24"/>
          <w:lang w:val="en-US"/>
          <w14:textFill>
            <w14:solidFill>
              <w14:schemeClr w14:val="tx1"/>
            </w14:solidFill>
          </w14:textFill>
        </w:rPr>
        <w:t>《关于印发&lt;全面实施燃煤电厂超低排放和节能改造工作方案&gt;的通知》（环发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、35mg/m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）要求。</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本项目运行期噪声主要来自风机、水泵等设备发出的机械噪声。本工程在设备选型时选用同类产品中噪声值低的设备，并在工程建设时采取减振、降噪等措施，可以对运行期间噪声有效控制，厂界噪声符合《工业企业厂界环境噪声排放标准》（GB12348-2008）中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类标准。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（3）本工程生产固废主要为本项目运行期间产生的固体废物为职工生活垃圾、锅炉炉渣、脱硫渣、除尘器收集的灰尘。脱硫渣、炉渣</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、除尘灰输送至半封闭灰渣场</w:t>
      </w:r>
      <w:r>
        <w:rPr>
          <w:rFonts w:ascii="Times New Roman" w:hAnsi="Times New Roman" w:cs="Times New Roman" w:eastAsiaTheme="minorEastAsia"/>
          <w:color w:val="000000" w:themeColor="text1"/>
          <w:sz w:val="24"/>
          <w:szCs w:val="24"/>
          <w:lang w:val="en-US"/>
          <w14:textFill>
            <w14:solidFill>
              <w14:schemeClr w14:val="tx1"/>
            </w14:solidFill>
          </w14:textFill>
        </w:rPr>
        <w:t>，全部外售综合利用。软化水系统产生的废树脂为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一般固体废物</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集中收集后交由树脂生产企业回收处置。生活垃圾</w:t>
      </w:r>
      <w:r>
        <w:rPr>
          <w:rFonts w:ascii="Times New Roman" w:hAnsi="Times New Roman" w:cs="Times New Roman" w:eastAsiaTheme="minorEastAsia"/>
          <w:color w:val="000000" w:themeColor="text1"/>
          <w:sz w:val="24"/>
          <w:szCs w:val="24"/>
          <w:lang w:val="en-US"/>
          <w14:textFill>
            <w14:solidFill>
              <w14:schemeClr w14:val="tx1"/>
            </w14:solidFill>
          </w14:textFill>
        </w:rPr>
        <w:t>暂存于项目区生活垃圾箱，由市政环卫部门统一处理</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。危险废物集中收集后在危废贮存库内暂存，后委托具有资质单位进行处置。</w:t>
      </w:r>
      <w:r>
        <w:rPr>
          <w:rFonts w:ascii="Times New Roman" w:hAnsi="Times New Roman" w:cs="Times New Roman" w:eastAsiaTheme="minorEastAsia"/>
          <w:color w:val="000000" w:themeColor="text1"/>
          <w:sz w:val="24"/>
          <w:szCs w:val="24"/>
          <w:lang w:val="en-US"/>
          <w14:textFill>
            <w14:solidFill>
              <w14:schemeClr w14:val="tx1"/>
            </w14:solidFill>
          </w14:textFill>
        </w:rPr>
        <w:t>本项目运行期间产生的固体废物处置得当，综合利用率、处置率达100%。</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综上所述，通过对生产过程严格把关，加强污染物末端治理和环境管理，节约了能源消耗，不同程度地降低或避免了工程对环境产生的不利影响。</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3.</w:t>
      </w:r>
      <w:r>
        <w:rPr>
          <w:rFonts w:hint="eastAsia" w:ascii="Times New Roman" w:hAnsi="Times New Roman" w:eastAsia="新宋体" w:cstheme="minorBidi"/>
          <w:color w:val="000000" w:themeColor="text1"/>
          <w:szCs w:val="24"/>
          <w:lang w:val="en-US" w:bidi="ar-SA"/>
          <w14:textFill>
            <w14:solidFill>
              <w14:schemeClr w14:val="tx1"/>
            </w14:solidFill>
          </w14:textFill>
        </w:rPr>
        <w:t>8</w:t>
      </w:r>
      <w:r>
        <w:rPr>
          <w:rFonts w:ascii="Times New Roman" w:hAnsi="Times New Roman" w:eastAsia="新宋体" w:cstheme="minorBidi"/>
          <w:color w:val="000000" w:themeColor="text1"/>
          <w:szCs w:val="24"/>
          <w:lang w:val="en-US" w:bidi="ar-SA"/>
          <w14:textFill>
            <w14:solidFill>
              <w14:schemeClr w14:val="tx1"/>
            </w14:solidFill>
          </w14:textFill>
        </w:rPr>
        <w:t>.4结论</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从以上分析可知，本工程在设计中采取了一系列节能、节水措施，同时，本工程产生的炉渣也均采取了有效的综合利用措施，达到了国内先进生产水平，项目建设符合清洁生产的指导思想。</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pPr>
    </w:p>
    <w:p>
      <w:pPr>
        <w:pStyle w:val="91"/>
        <w:ind w:firstLine="360"/>
        <w:rPr>
          <w:snapToGrid w:val="0"/>
          <w:color w:val="000000" w:themeColor="text1"/>
          <w14:textFill>
            <w14:solidFill>
              <w14:schemeClr w14:val="tx1"/>
            </w14:solidFill>
          </w14:textFill>
        </w:rPr>
        <w:sectPr>
          <w:headerReference r:id="rId13" w:type="default"/>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3"/>
        <w:ind w:firstLine="878"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23" w:name="_Toc373152131"/>
      <w:bookmarkStart w:id="124" w:name="_Toc511500958"/>
      <w:bookmarkStart w:id="125" w:name="_Toc532974726"/>
      <w:bookmarkStart w:id="126" w:name="_Toc534545009"/>
      <w:bookmarkStart w:id="127" w:name="_Toc162605175"/>
      <w:bookmarkStart w:id="128" w:name="_Toc307491908"/>
      <w:bookmarkStart w:id="129" w:name="_Toc308096865"/>
      <w:bookmarkStart w:id="130" w:name="_Toc334085443"/>
      <w:r>
        <w:rPr>
          <w:rFonts w:ascii="Times New Roman" w:hAnsi="Times New Roman" w:eastAsia="新宋体" w:cstheme="minorBidi"/>
          <w:color w:val="000000" w:themeColor="text1"/>
          <w:szCs w:val="24"/>
          <w:lang w:val="en-US" w:bidi="ar-SA"/>
          <w14:textFill>
            <w14:solidFill>
              <w14:schemeClr w14:val="tx1"/>
            </w14:solidFill>
          </w14:textFill>
        </w:rPr>
        <w:t>4环境</w:t>
      </w:r>
      <w:bookmarkEnd w:id="123"/>
      <w:r>
        <w:rPr>
          <w:rFonts w:ascii="Times New Roman" w:hAnsi="Times New Roman" w:eastAsia="新宋体" w:cstheme="minorBidi"/>
          <w:color w:val="000000" w:themeColor="text1"/>
          <w:szCs w:val="24"/>
          <w:lang w:val="en-US" w:bidi="ar-SA"/>
          <w14:textFill>
            <w14:solidFill>
              <w14:schemeClr w14:val="tx1"/>
            </w14:solidFill>
          </w14:textFill>
        </w:rPr>
        <w:t>现状调查与评价</w:t>
      </w:r>
      <w:bookmarkEnd w:id="124"/>
      <w:bookmarkEnd w:id="125"/>
      <w:bookmarkEnd w:id="126"/>
      <w:bookmarkEnd w:id="127"/>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131" w:name="_Toc534545010"/>
      <w:bookmarkStart w:id="132" w:name="_Toc334085426"/>
      <w:bookmarkStart w:id="133" w:name="_Toc162605176"/>
      <w:bookmarkStart w:id="134" w:name="_Toc511500959"/>
      <w:bookmarkStart w:id="135" w:name="_Toc532974727"/>
      <w:bookmarkStart w:id="136" w:name="_Toc293908182"/>
      <w:r>
        <w:rPr>
          <w:rFonts w:ascii="Times New Roman" w:hAnsi="Times New Roman" w:cs="Times New Roman" w:eastAsiaTheme="minorEastAsia"/>
          <w:color w:val="000000" w:themeColor="text1"/>
          <w:szCs w:val="24"/>
          <w:lang w:val="en-US" w:bidi="ar-SA"/>
          <w14:textFill>
            <w14:solidFill>
              <w14:schemeClr w14:val="tx1"/>
            </w14:solidFill>
          </w14:textFill>
        </w:rPr>
        <w:t>4.1自然环境</w:t>
      </w:r>
      <w:bookmarkEnd w:id="131"/>
      <w:bookmarkEnd w:id="132"/>
      <w:bookmarkEnd w:id="133"/>
      <w:bookmarkEnd w:id="134"/>
      <w:bookmarkEnd w:id="135"/>
      <w:bookmarkEnd w:id="136"/>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37" w:name="_Toc532974728"/>
      <w:r>
        <w:rPr>
          <w:rFonts w:ascii="Times New Roman" w:hAnsi="Times New Roman" w:eastAsia="新宋体" w:cstheme="minorBidi"/>
          <w:color w:val="000000" w:themeColor="text1"/>
          <w:szCs w:val="24"/>
          <w:lang w:val="en-US" w:bidi="ar-SA"/>
          <w14:textFill>
            <w14:solidFill>
              <w14:schemeClr w14:val="tx1"/>
            </w14:solidFill>
          </w14:textFill>
        </w:rPr>
        <w:t>4.1.1地理位置</w:t>
      </w:r>
      <w:bookmarkEnd w:id="137"/>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138" w:name="_Toc241292977"/>
      <w:bookmarkStart w:id="139" w:name="_Toc532974729"/>
      <w:r>
        <w:rPr>
          <w:rFonts w:ascii="Times New Roman" w:hAnsi="Times New Roman" w:cs="Times New Roman" w:eastAsiaTheme="minorEastAsia"/>
          <w:color w:val="000000" w:themeColor="text1"/>
          <w:sz w:val="24"/>
          <w:szCs w:val="24"/>
          <w:lang w:val="en-US"/>
          <w14:textFill>
            <w14:solidFill>
              <w14:schemeClr w14:val="tx1"/>
            </w14:solidFill>
          </w14:textFill>
        </w:rPr>
        <w:t>红兴隆管理局地处于</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"https://baike.so.com/%22/doc/1278856-1352265.html/%22"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三江平原</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中南部，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"https://baike.so.com/%22/doc/6571985-6785748.html/%22"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地理坐标</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:东经129°55'~134°12'，北纬45°35'~47°17'。东西长330公里，南北宽170公里，海拔在40米--800米之间。区域东临</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"https://baike.so.com/%22/doc/252417-267202.html/%22"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乌苏里江</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，西至</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"https://baike.so.com/%22/doc/1000150-1057335.html/%22"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倭肯河</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畔，南靠</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"https://baike.so.com/%22/doc/6159734-30299376.html/%22"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完达山</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，北涉</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"https://baike.so.com/%22/doc/4622371-4834863.html/%22"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松花江</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"https://baike.so.com/%22/doc/2571886-2715957.html/%22"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挠力河</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。所属十二个农场土地与三市八县(</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"https://baike.so.com/%22/doc/1314063-1389277.html/%22"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佳木斯</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"https://baike.so.com/%22/doc/2741976-2893962.html/%22"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双鸭山</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"https://baike.so.com/%22/doc/5336756-5572195.html/%22"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七台河</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三市和桦川、桦南、集贤、友谊、宝清、饶河、富锦、勃利八县)的土地穿插交错。辖区控制面积9650平方公里，是黑龙江省耕地面积较大的垦区之一。</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本项目位于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红兴隆管理局在管理局局直南侧现有锅炉房</w:t>
      </w:r>
      <w:r>
        <w:rPr>
          <w:rFonts w:ascii="Times New Roman" w:hAnsi="Times New Roman" w:cs="Times New Roman" w:eastAsiaTheme="minorEastAsia"/>
          <w:color w:val="000000" w:themeColor="text1"/>
          <w:sz w:val="24"/>
          <w:szCs w:val="24"/>
          <w:lang w:val="en-US"/>
          <w14:textFill>
            <w14:solidFill>
              <w14:schemeClr w14:val="tx1"/>
            </w14:solidFill>
          </w14:textFill>
        </w:rPr>
        <w:t>院内，项目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w:t>
      </w:r>
      <w:r>
        <w:rPr>
          <w:rFonts w:ascii="Times New Roman" w:hAnsi="Times New Roman" w:cs="Times New Roman" w:eastAsiaTheme="minorEastAsia"/>
          <w:color w:val="000000" w:themeColor="text1"/>
          <w:sz w:val="24"/>
          <w:szCs w:val="24"/>
          <w:lang w:val="en-US"/>
          <w14:textFill>
            <w14:solidFill>
              <w14:schemeClr w14:val="tx1"/>
            </w14:solidFill>
          </w14:textFill>
        </w:rPr>
        <w:t>北侧</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为空地，厂区北侧230</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红兴隆管理局居民区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西北</w:t>
      </w:r>
      <w:r>
        <w:rPr>
          <w:rFonts w:ascii="Times New Roman" w:hAnsi="Times New Roman" w:cs="Times New Roman" w:eastAsiaTheme="minorEastAsia"/>
          <w:color w:val="000000" w:themeColor="text1"/>
          <w:sz w:val="24"/>
          <w:szCs w:val="24"/>
          <w:lang w:val="en-US"/>
          <w14:textFill>
            <w14:solidFill>
              <w14:schemeClr w14:val="tx1"/>
            </w14:solidFill>
          </w14:textFill>
        </w:rPr>
        <w:t>侧</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70m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红兴隆管理局住宅小区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厂区西侧</w:t>
      </w:r>
      <w:r>
        <w:rPr>
          <w:rFonts w:ascii="Times New Roman" w:hAnsi="Times New Roman" w:cs="Times New Roman" w:eastAsiaTheme="minorEastAsia"/>
          <w:color w:val="000000" w:themeColor="text1"/>
          <w:sz w:val="24"/>
          <w:szCs w:val="24"/>
          <w:lang w:val="en-US"/>
          <w14:textFill>
            <w14:solidFill>
              <w14:schemeClr w14:val="tx1"/>
            </w14:solidFill>
          </w14:textFill>
        </w:rPr>
        <w:t>方向</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46</w:t>
      </w:r>
      <w:r>
        <w:rPr>
          <w:rFonts w:ascii="Times New Roman" w:hAnsi="Times New Roman" w:cs="Times New Roman" w:eastAsiaTheme="minorEastAsia"/>
          <w:color w:val="000000" w:themeColor="text1"/>
          <w:sz w:val="24"/>
          <w:szCs w:val="24"/>
          <w:lang w:val="en-US"/>
          <w14:textFill>
            <w14:solidFill>
              <w14:schemeClr w14:val="tx1"/>
            </w14:solidFill>
          </w14:textFill>
        </w:rPr>
        <w:t>0m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爱林村居民区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厂区南侧为农田；厂区东侧为空地</w:t>
      </w:r>
      <w:r>
        <w:rPr>
          <w:rFonts w:ascii="Times New Roman" w:hAnsi="Times New Roman" w:cs="Times New Roman" w:eastAsiaTheme="minorEastAsia"/>
          <w:color w:val="000000" w:themeColor="text1"/>
          <w:sz w:val="24"/>
          <w:szCs w:val="24"/>
          <w:lang w:val="en-US"/>
          <w14:textFill>
            <w14:solidFill>
              <w14:schemeClr w14:val="tx1"/>
            </w14:solidFill>
          </w14:textFill>
        </w:rPr>
        <w:t>。地理位置图见图4-1-1。</w:t>
      </w:r>
    </w:p>
    <w:p>
      <w:pPr>
        <w:pStyle w:val="26"/>
        <w:ind w:firstLine="177"/>
        <w:rPr>
          <w:rFonts w:ascii="Times New Roman" w:hAnsi="Times New Roman" w:cs="Times New Roman" w:eastAsiaTheme="minorEastAsia"/>
          <w:color w:val="000000" w:themeColor="text1"/>
          <w14:textFill>
            <w14:solidFill>
              <w14:schemeClr w14:val="tx1"/>
            </w14:solidFill>
          </w14:textFill>
        </w:rPr>
      </w:pPr>
      <w:r>
        <w:rPr>
          <w:rFonts w:ascii="Times New Roman" w:hAnsi="Times New Roman" w:cs="Times New Roman" w:eastAsiaTheme="minorEastAsia"/>
          <w:color w:val="000000" w:themeColor="text1"/>
          <w:lang w:val="en-US" w:bidi="ar-SA"/>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1941830</wp:posOffset>
                </wp:positionH>
                <wp:positionV relativeFrom="paragraph">
                  <wp:posOffset>2753360</wp:posOffset>
                </wp:positionV>
                <wp:extent cx="923925" cy="295275"/>
                <wp:effectExtent l="0" t="971550" r="790575" b="28575"/>
                <wp:wrapNone/>
                <wp:docPr id="56" name="AutoShape 365"/>
                <wp:cNvGraphicFramePr/>
                <a:graphic xmlns:a="http://schemas.openxmlformats.org/drawingml/2006/main">
                  <a:graphicData uri="http://schemas.microsoft.com/office/word/2010/wordprocessingShape">
                    <wps:wsp>
                      <wps:cNvSpPr>
                        <a:spLocks noChangeArrowheads="1"/>
                      </wps:cNvSpPr>
                      <wps:spPr bwMode="auto">
                        <a:xfrm>
                          <a:off x="0" y="0"/>
                          <a:ext cx="923925" cy="295275"/>
                        </a:xfrm>
                        <a:prstGeom prst="wedgeRectCallout">
                          <a:avLst>
                            <a:gd name="adj1" fmla="val 127693"/>
                            <a:gd name="adj2" fmla="val -353633"/>
                          </a:avLst>
                        </a:prstGeom>
                        <a:solidFill>
                          <a:srgbClr val="FFFFFF"/>
                        </a:solidFill>
                        <a:ln w="9525">
                          <a:solidFill>
                            <a:srgbClr val="000000"/>
                          </a:solidFill>
                          <a:miter lim="800000"/>
                        </a:ln>
                        <a:effectLst/>
                      </wps:spPr>
                      <wps:txbx>
                        <w:txbxContent>
                          <w:p>
                            <w:pPr>
                              <w:ind w:firstLine="177"/>
                            </w:pPr>
                            <w:r>
                              <w:rPr>
                                <w:rFonts w:hint="eastAsia"/>
                              </w:rPr>
                              <w:t>本项目位置</w:t>
                            </w:r>
                          </w:p>
                        </w:txbxContent>
                      </wps:txbx>
                      <wps:bodyPr rot="0" vert="horz" wrap="square" lIns="91440" tIns="45720" rIns="91440" bIns="45720" anchor="t" anchorCtr="0" upright="1">
                        <a:noAutofit/>
                      </wps:bodyPr>
                    </wps:wsp>
                  </a:graphicData>
                </a:graphic>
              </wp:anchor>
            </w:drawing>
          </mc:Choice>
          <mc:Fallback>
            <w:pict>
              <v:shape id="AutoShape 365" o:spid="_x0000_s1026" o:spt="61" type="#_x0000_t61" style="position:absolute;left:0pt;margin-left:152.9pt;margin-top:216.8pt;height:23.25pt;width:72.75pt;z-index:251663360;mso-width-relative:page;mso-height-relative:page;" fillcolor="#FFFFFF" filled="t" stroked="t" coordsize="21600,21600" o:gfxdata="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bpMZhtoAAAALAQAADwAAAAAAAAABACAAAAAiAAAAZHJzL2Rvd25yZXYueG1sUEsBAhQAFAAAAAgA&#10;h07iQK32OHtcAgAA7QQAAA4AAAAAAAAAAQAgAAAAKQEAAGRycy9lMm9Eb2MueG1sUEsFBgAAAAAG&#10;AAYAWQEAAPcFAAAAAA==&#10;" adj="38382,-65585">
                <v:fill on="t" focussize="0,0"/>
                <v:stroke color="#000000" miterlimit="8" joinstyle="miter"/>
                <v:imagedata o:title=""/>
                <o:lock v:ext="edit" aspectratio="f"/>
                <v:textbox>
                  <w:txbxContent>
                    <w:p>
                      <w:pPr>
                        <w:ind w:firstLine="177"/>
                      </w:pPr>
                      <w:r>
                        <w:rPr>
                          <w:rFonts w:hint="eastAsia"/>
                        </w:rPr>
                        <w:t>本项目位置</w:t>
                      </w:r>
                    </w:p>
                  </w:txbxContent>
                </v:textbox>
              </v:shape>
            </w:pict>
          </mc:Fallback>
        </mc:AlternateContent>
      </w:r>
      <w:r>
        <w:rPr>
          <w:color w:val="000000" w:themeColor="text1"/>
          <w:lang w:val="en-US" w:bidi="ar-SA"/>
          <w14:textFill>
            <w14:solidFill>
              <w14:schemeClr w14:val="tx1"/>
            </w14:solidFill>
          </w14:textFill>
        </w:rPr>
        <w:drawing>
          <wp:anchor distT="0" distB="0" distL="114300" distR="114300" simplePos="0" relativeHeight="251694080" behindDoc="0" locked="0" layoutInCell="1" allowOverlap="1">
            <wp:simplePos x="0" y="0"/>
            <wp:positionH relativeFrom="column">
              <wp:posOffset>433705</wp:posOffset>
            </wp:positionH>
            <wp:positionV relativeFrom="paragraph">
              <wp:posOffset>167005</wp:posOffset>
            </wp:positionV>
            <wp:extent cx="934720" cy="876300"/>
            <wp:effectExtent l="0" t="0" r="0" b="0"/>
            <wp:wrapNone/>
            <wp:docPr id="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2"/>
                    <pic:cNvPicPr>
                      <a:picLocks noChangeAspect="1"/>
                    </pic:cNvPicPr>
                  </pic:nvPicPr>
                  <pic:blipFill>
                    <a:blip r:embed="rId26"/>
                    <a:stretch>
                      <a:fillRect/>
                    </a:stretch>
                  </pic:blipFill>
                  <pic:spPr>
                    <a:xfrm>
                      <a:off x="0" y="0"/>
                      <a:ext cx="934720" cy="876300"/>
                    </a:xfrm>
                    <a:prstGeom prst="rect">
                      <a:avLst/>
                    </a:prstGeom>
                    <a:noFill/>
                    <a:ln>
                      <a:noFill/>
                    </a:ln>
                  </pic:spPr>
                </pic:pic>
              </a:graphicData>
            </a:graphic>
          </wp:anchor>
        </w:drawing>
      </w:r>
      <w:r>
        <w:rPr>
          <w:color w:val="000000" w:themeColor="text1"/>
          <w:lang w:val="en-US" w:bidi="ar-SA"/>
          <w14:textFill>
            <w14:solidFill>
              <w14:schemeClr w14:val="tx1"/>
            </w14:solidFill>
          </w14:textFill>
        </w:rPr>
        <w:drawing>
          <wp:inline distT="0" distB="0" distL="0" distR="0">
            <wp:extent cx="5274310" cy="4001770"/>
            <wp:effectExtent l="0" t="0" r="254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1"/>
                    <a:stretch>
                      <a:fillRect/>
                    </a:stretch>
                  </pic:blipFill>
                  <pic:spPr>
                    <a:xfrm>
                      <a:off x="0" y="0"/>
                      <a:ext cx="5274310" cy="4002127"/>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图4-1-1</w:t>
      </w:r>
      <w:r>
        <w:rPr>
          <w:rFonts w:ascii="Times New Roman" w:hAnsiTheme="minorEastAsia" w:eastAsiaTheme="minorEastAsia"/>
          <w:b/>
          <w:bCs/>
          <w:color w:val="000000" w:themeColor="text1"/>
          <w:szCs w:val="24"/>
          <w14:textFill>
            <w14:solidFill>
              <w14:schemeClr w14:val="tx1"/>
            </w14:solidFill>
          </w14:textFill>
        </w:rPr>
        <w:tab/>
      </w:r>
      <w:r>
        <w:rPr>
          <w:rFonts w:ascii="Times New Roman" w:hAnsiTheme="minorEastAsia" w:eastAsiaTheme="minorEastAsia"/>
          <w:b/>
          <w:bCs/>
          <w:color w:val="000000" w:themeColor="text1"/>
          <w:szCs w:val="24"/>
          <w14:textFill>
            <w14:solidFill>
              <w14:schemeClr w14:val="tx1"/>
            </w14:solidFill>
          </w14:textFill>
        </w:rPr>
        <w:t>项目地理位置图</w:t>
      </w:r>
    </w:p>
    <w:bookmarkEnd w:id="138"/>
    <w:bookmarkEnd w:id="139"/>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40" w:name="_Toc532974730"/>
      <w:bookmarkStart w:id="141" w:name="_Toc241292978"/>
      <w:r>
        <w:rPr>
          <w:rFonts w:ascii="Times New Roman" w:hAnsi="Times New Roman" w:eastAsia="新宋体" w:cstheme="minorBidi"/>
          <w:color w:val="000000" w:themeColor="text1"/>
          <w:szCs w:val="24"/>
          <w:lang w:val="en-US" w:bidi="ar-SA"/>
          <w14:textFill>
            <w14:solidFill>
              <w14:schemeClr w14:val="tx1"/>
            </w14:solidFill>
          </w14:textFill>
        </w:rPr>
        <w:t>4.1.</w:t>
      </w:r>
      <w:bookmarkEnd w:id="140"/>
      <w:r>
        <w:rPr>
          <w:rFonts w:hint="eastAsia" w:ascii="Times New Roman" w:hAnsi="Times New Roman" w:eastAsia="新宋体" w:cstheme="minorBidi"/>
          <w:color w:val="000000" w:themeColor="text1"/>
          <w:szCs w:val="24"/>
          <w:lang w:val="en-US" w:bidi="ar-SA"/>
          <w14:textFill>
            <w14:solidFill>
              <w14:schemeClr w14:val="tx1"/>
            </w14:solidFill>
          </w14:textFill>
        </w:rPr>
        <w:t>2</w:t>
      </w:r>
      <w:r>
        <w:rPr>
          <w:rFonts w:ascii="Times New Roman" w:hAnsi="Times New Roman" w:eastAsia="新宋体" w:cstheme="minorBidi"/>
          <w:color w:val="000000" w:themeColor="text1"/>
          <w:szCs w:val="24"/>
          <w:lang w:val="en-US" w:bidi="ar-SA"/>
          <w14:textFill>
            <w14:solidFill>
              <w14:schemeClr w14:val="tx1"/>
            </w14:solidFill>
          </w14:textFill>
        </w:rPr>
        <w:t>地形地貌</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红兴隆管理局地貌概况为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低山丘陵、岗坡地、平原和低洼沼泽四种地貌类型。各场海拔为40--800米之间，总的地势由西南向东北倾斜。松花江、</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"https://baike.so.com/doc/1427644-1509060.html" \t "_blank"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七星河</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"https://baike.so.com/doc/2571886-2715957.html" \t "_blank"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挠力河</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、安邦河等顺应着地面的总倾向发育。河道在宽广的</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"https://baike.so.com/doc/4659021-4872375.html" \t "_blank"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滩地</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上蜿蜒曲折的向东北流去，中小河多数有头无尾，俗称</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"https://baike.so.com/doc/4976462-5199355.html" \t "_blank"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无尾河</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，形成典型的沼泽性河流和湿地。</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低山丘陵。处于海拔150--650米之间，面积300万亩，占总面积的21%，其中耕地32万亩。山区水量充沛，生长着茂盛的</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"https://baike.so.com/doc/6238124-6451491.html" \t "_blank"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天然林</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和草本灌木植被。</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岗坡地。处于海拔75--150米之间。面积230万亩，占总面积的16%，其中耕地55万亩，地面坡降在1/10--1/500，是垦区农业高产区。</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平地。处于海拔60--75米之间，面积230万亩，占总面积的24%，其中耕地240万亩。这类地区地下</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"https://baike.so.com/doc/3321066-3497905.html" \t "_blank"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潜水位</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距地面较近，壤中水不易排出。1990年以后，江川、二九一、</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"https://baike.so.com/doc/6640740-6854552.html" \t "_blank"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宝山农场</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水利工程初具规模，遇涝能排，是管理局粮豆主要产区。</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低洼沼泽地。海拔40--60米之间，主要分布在</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"https://baike.so.com/doc/2571886-2715957.html" \t "_blank"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挠力河</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"https://baike.so.com/doc/1427644-1509060.html" \t "_blank"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七星河</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中、下游和松花江南岸泛滥区。面积567万亩，占总面积39%，其中耕地237万亩。1990年前是管理局产粮拉腿田。1990年以后，提倡种水稻，这部分田地大多改造为水田，变成稳产高产田。</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沼泽。主要有河漫滩沼泽和阶地沼泽两大类。上世纪九十年代开垦比较严重。1995年以后，国家规定湿地自然保护区不准开发，辖区内的长林岛湿地、</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"https://baike.so.com/doc/475687-503737.html" \t "_blank"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雁窝岛</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湿地、千鸟湖湿地等隶属于国家级湿地自然保护区--挠力河湿地自然保护区。</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4.1.</w:t>
      </w:r>
      <w:r>
        <w:rPr>
          <w:rFonts w:hint="eastAsia" w:ascii="Times New Roman" w:hAnsi="Times New Roman" w:eastAsia="新宋体" w:cstheme="minorBidi"/>
          <w:color w:val="000000" w:themeColor="text1"/>
          <w:szCs w:val="24"/>
          <w:lang w:val="en-US" w:bidi="ar-SA"/>
          <w14:textFill>
            <w14:solidFill>
              <w14:schemeClr w14:val="tx1"/>
            </w14:solidFill>
          </w14:textFill>
        </w:rPr>
        <w:t>3</w:t>
      </w:r>
      <w:r>
        <w:rPr>
          <w:rFonts w:ascii="Times New Roman" w:hAnsi="Times New Roman" w:eastAsia="新宋体" w:cstheme="minorBidi"/>
          <w:color w:val="000000" w:themeColor="text1"/>
          <w:szCs w:val="24"/>
          <w:lang w:val="en-US" w:bidi="ar-SA"/>
          <w14:textFill>
            <w14:solidFill>
              <w14:schemeClr w14:val="tx1"/>
            </w14:solidFill>
          </w14:textFill>
        </w:rPr>
        <w:t>气候气象</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红兴隆管理局地处中纬度大陆性季风气候区。冬季严寒，夏季炎热，四季分明，雨热同季，常年以偏西风为主。全年平均气温3.6度，平均降水量525.3毫米。全年日照数为2276.9小时，年平均无霜期为133天，适合</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"https://baike.so.com/doc/6703856-6917820.html" \t "_blank" </w:instrText>
      </w:r>
      <w:r>
        <w:rPr>
          <w:color w:val="000000" w:themeColor="text1"/>
          <w14:textFill>
            <w14:solidFill>
              <w14:schemeClr w14:val="tx1"/>
            </w14:solidFill>
          </w14:textFill>
        </w:rPr>
        <w:fldChar w:fldCharType="separate"/>
      </w:r>
      <w:r>
        <w:rPr>
          <w:rFonts w:ascii="Times New Roman" w:hAnsi="Times New Roman" w:cs="Times New Roman" w:eastAsiaTheme="minorEastAsia"/>
          <w:color w:val="000000" w:themeColor="text1"/>
          <w:sz w:val="24"/>
          <w:szCs w:val="24"/>
          <w:lang w:val="en-US"/>
          <w14:textFill>
            <w14:solidFill>
              <w14:schemeClr w14:val="tx1"/>
            </w14:solidFill>
          </w14:textFill>
        </w:rPr>
        <w:t>大田作物</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生长。</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4.1.</w:t>
      </w:r>
      <w:r>
        <w:rPr>
          <w:rFonts w:hint="eastAsia" w:ascii="Times New Roman" w:hAnsi="Times New Roman" w:eastAsia="新宋体" w:cstheme="minorBidi"/>
          <w:color w:val="000000" w:themeColor="text1"/>
          <w:szCs w:val="24"/>
          <w:lang w:val="en-US" w:bidi="ar-SA"/>
          <w14:textFill>
            <w14:solidFill>
              <w14:schemeClr w14:val="tx1"/>
            </w14:solidFill>
          </w14:textFill>
        </w:rPr>
        <w:t>4自然资源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红兴隆管理局所辖农场土壤肥沃，南部山脉连绵，矿藏多样，贯穿境内大小河流30多条，自然资源丰富，植被茂盛，有高等植物千余种和野生动物50余种、鸟类192种。其中挠力河自然保护区内湿地辽阔，为国家级自然保护区。</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地形地貌:管理局地处三江内陆断陷区，距今3.5-4亿年前是一片汪洋大海，在1亿多年前的白垩纪形成地形地貌的基础轮廓。后经长期的地壳运动，形成现在的地貌类型。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矿藏资源:据探查辖区内有煤、铁、金、铬、铜、镍、大理石、蛇纹石、石英石、云母等10多种，其中，煤、铁、金等已开采。</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3、土壤资源:管理局地处松辽平原黑土带的北部，境内土壤属于冲积沼泽化土壤，共分为9个土类:黑土、草甸土、沼泽土、泛滥地土壤、苏打草甸土、暗棕土、白浆土、水稻土。</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4、水资源:辖区内天然水资源主要来自大气降水，年平均降水量为526毫米。地表水主要来自辖区内各类河流，农作物生育期年径流总量约10.29亿立方米。地下水埋藏总量约11.7亿立方米。</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5、动物资源:管理局境内自然环境复杂，森林茂盛，水草肥美，有利于各种动物的生存。据调查，辖区内有野兽6目22科50种;鸟类有16目4科192种。</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6、植物资源:管理局地处寒温带，有高等植物1000余种，其中有实用价值的700余种。辖区内有乔木30多个树种，灌木50多个树种，草本植物343种。</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142" w:name="_Toc162605177"/>
      <w:r>
        <w:rPr>
          <w:rFonts w:ascii="Times New Roman" w:hAnsi="Times New Roman" w:cs="Times New Roman" w:eastAsiaTheme="minorEastAsia"/>
          <w:color w:val="000000" w:themeColor="text1"/>
          <w:szCs w:val="24"/>
          <w:lang w:val="en-US" w:bidi="ar-SA"/>
          <w14:textFill>
            <w14:solidFill>
              <w14:schemeClr w14:val="tx1"/>
            </w14:solidFill>
          </w14:textFill>
        </w:rPr>
        <w:t>4.2环境质量现状评价</w:t>
      </w:r>
      <w:bookmarkEnd w:id="142"/>
    </w:p>
    <w:bookmarkEnd w:id="141"/>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43" w:name="_Toc532974735"/>
      <w:r>
        <w:rPr>
          <w:rFonts w:ascii="Times New Roman" w:hAnsi="Times New Roman" w:eastAsia="新宋体" w:cstheme="minorBidi"/>
          <w:color w:val="000000" w:themeColor="text1"/>
          <w:szCs w:val="24"/>
          <w:lang w:val="en-US" w:bidi="ar-SA"/>
          <w14:textFill>
            <w14:solidFill>
              <w14:schemeClr w14:val="tx1"/>
            </w14:solidFill>
          </w14:textFill>
        </w:rPr>
        <w:t>4.2.1环境空气质量现状评价</w:t>
      </w:r>
      <w:bookmarkEnd w:id="143"/>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144" w:name="_Toc373152133"/>
      <w:r>
        <w:rPr>
          <w:rFonts w:ascii="Times New Roman" w:hAnsi="Times New Roman" w:cs="Times New Roman" w:eastAsiaTheme="minorEastAsia"/>
          <w:color w:val="000000" w:themeColor="text1"/>
          <w:sz w:val="24"/>
          <w:szCs w:val="24"/>
          <w:lang w:val="en-US" w:bidi="ar-SA"/>
          <w14:textFill>
            <w14:solidFill>
              <w14:schemeClr w14:val="tx1"/>
            </w14:solidFill>
          </w14:textFill>
        </w:rPr>
        <w:t>4.2.1.1空气质量达标区判定</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145" w:name="_Toc465668715"/>
      <w:bookmarkStart w:id="146" w:name="_Toc337734428"/>
      <w:bookmarkStart w:id="147" w:name="_Toc287025538"/>
      <w:bookmarkStart w:id="148" w:name="_Toc374344673"/>
      <w:r>
        <w:rPr>
          <w:rFonts w:ascii="Times New Roman" w:hAnsi="Times New Roman" w:cs="Times New Roman" w:eastAsiaTheme="minorEastAsia"/>
          <w:color w:val="000000" w:themeColor="text1"/>
          <w:sz w:val="24"/>
          <w:szCs w:val="24"/>
          <w:lang w:val="en-US"/>
          <w14:textFill>
            <w14:solidFill>
              <w14:schemeClr w14:val="tx1"/>
            </w14:solidFill>
          </w14:textFill>
        </w:rPr>
        <w:t>按照HJ663中各评价项目的年评价指标和保证率日平均质量浓度评价指标对双鸭山市202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年空气质量监测数据进行判定。</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根据《202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年黑龙江省生态环境质量状况》，</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2022年，全省各项污染物平均浓度均达到二级标准。其中，双鸭山市空气质量级别达二级标准，达标天数为359天(98.4%)。PM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10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、CO-95per 和O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-8h-90per年均浓度分别为 24μg/m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、40μg/m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、7μg/m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、15μg/m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、0.9μg/m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和 105μg/m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。因此，双鸭山市2022年环境空气质量属于达标区。</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4.2.1.2</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基本污染物环境质量现状</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根据《环境影响评价技术导则 大气环境》(HJ2.2-2018）中要求“6.2.1.3评价范围内没有环境空气质量监测网数据或公开发布的环境空气质量现状数据的，可选择符合HJ 664规定，并且与评价范围地理位置邻近，地形、气候条件相近的环境空气质量城市点或区域点监测数据。”</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根据双鸭山市与项目评价范围地理位置邻近，地形、气候条件相近的环境空气质量与监测站点2022年例行监测数据进行环境质量现状评价。</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根据环境空气质量模型技术支持服务系统网站2022年例行监测数据情况，</w:t>
      </w:r>
      <w:r>
        <w:rPr>
          <w:rFonts w:ascii="Times New Roman" w:hAnsi="Times New Roman" w:cs="Times New Roman" w:eastAsiaTheme="minorEastAsia"/>
          <w:color w:val="000000" w:themeColor="text1"/>
          <w:sz w:val="24"/>
          <w:szCs w:val="24"/>
          <w:lang w:val="en-US"/>
          <w14:textFill>
            <w14:solidFill>
              <w14:schemeClr w14:val="tx1"/>
            </w14:solidFill>
          </w14:textFill>
        </w:rPr>
        <w:t>距本项目厂址最近的环境空气质量监测点——双合村的长期监测数据作为本项目的环境空气背景值。</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表4-2-1 双鸭山市例行监测站点信息表</w:t>
      </w:r>
    </w:p>
    <w:tbl>
      <w:tblPr>
        <w:tblStyle w:val="70"/>
        <w:tblW w:w="4996"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92"/>
        <w:gridCol w:w="1397"/>
        <w:gridCol w:w="1472"/>
        <w:gridCol w:w="1634"/>
        <w:gridCol w:w="1479"/>
        <w:gridCol w:w="174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87" w:hRule="atLeast"/>
        </w:trPr>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序号</w:t>
            </w:r>
          </w:p>
        </w:tc>
        <w:tc>
          <w:tcPr>
            <w:tcW w:w="82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站点名称</w:t>
            </w:r>
          </w:p>
        </w:tc>
        <w:tc>
          <w:tcPr>
            <w:tcW w:w="864"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站点类型</w:t>
            </w:r>
          </w:p>
        </w:tc>
        <w:tc>
          <w:tcPr>
            <w:tcW w:w="95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经度</w:t>
            </w:r>
          </w:p>
        </w:tc>
        <w:tc>
          <w:tcPr>
            <w:tcW w:w="8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纬度</w:t>
            </w:r>
          </w:p>
        </w:tc>
        <w:tc>
          <w:tcPr>
            <w:tcW w:w="102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距厂址距离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3" w:hRule="atLeast"/>
        </w:trPr>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82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双合村</w:t>
            </w:r>
          </w:p>
        </w:tc>
        <w:tc>
          <w:tcPr>
            <w:tcW w:w="864"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国控点</w:t>
            </w:r>
          </w:p>
        </w:tc>
        <w:tc>
          <w:tcPr>
            <w:tcW w:w="95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131.1638</w:t>
            </w:r>
            <w:r>
              <w:rPr>
                <w:rFonts w:ascii="Times New Roman" w:eastAsiaTheme="minorEastAsia"/>
                <w:color w:val="000000" w:themeColor="text1"/>
                <w:sz w:val="21"/>
                <w:szCs w:val="21"/>
                <w14:textFill>
                  <w14:solidFill>
                    <w14:schemeClr w14:val="tx1"/>
                  </w14:solidFill>
                </w14:textFill>
              </w:rPr>
              <w:t>°</w:t>
            </w:r>
          </w:p>
        </w:tc>
        <w:tc>
          <w:tcPr>
            <w:tcW w:w="8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46.6572°</w:t>
            </w:r>
          </w:p>
        </w:tc>
        <w:tc>
          <w:tcPr>
            <w:tcW w:w="102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34.1</w:t>
            </w:r>
            <w:r>
              <w:rPr>
                <w:rFonts w:ascii="Times New Roman" w:eastAsiaTheme="minorEastAsia"/>
                <w:color w:val="000000" w:themeColor="text1"/>
                <w:sz w:val="21"/>
                <w:szCs w:val="21"/>
                <w14:textFill>
                  <w14:solidFill>
                    <w14:schemeClr w14:val="tx1"/>
                  </w14:solidFill>
                </w14:textFill>
              </w:rPr>
              <w:t>km</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表4-2-2 区域空气基本污染物环境质量现状评价表</w:t>
      </w:r>
    </w:p>
    <w:tbl>
      <w:tblPr>
        <w:tblStyle w:val="70"/>
        <w:tblW w:w="512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737"/>
        <w:gridCol w:w="2438"/>
        <w:gridCol w:w="986"/>
        <w:gridCol w:w="942"/>
        <w:gridCol w:w="1477"/>
        <w:gridCol w:w="968"/>
        <w:gridCol w:w="9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3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bookmarkStart w:id="149" w:name="_Hlk83143960"/>
            <w:r>
              <w:rPr>
                <w:rFonts w:ascii="Times New Roman" w:eastAsiaTheme="minorEastAsia"/>
                <w:color w:val="000000" w:themeColor="text1"/>
                <w:sz w:val="21"/>
                <w:szCs w:val="21"/>
                <w14:textFill>
                  <w14:solidFill>
                    <w14:schemeClr w14:val="tx1"/>
                  </w14:solidFill>
                </w14:textFill>
              </w:rPr>
              <w:t>污染物</w:t>
            </w:r>
          </w:p>
        </w:tc>
        <w:tc>
          <w:tcPr>
            <w:tcW w:w="143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年评价指标</w:t>
            </w:r>
          </w:p>
        </w:tc>
        <w:tc>
          <w:tcPr>
            <w:tcW w:w="57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评价标准</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μg/m</w:t>
            </w:r>
            <w:r>
              <w:rPr>
                <w:rFonts w:ascii="Times New Roman" w:eastAsiaTheme="minorEastAsia"/>
                <w:color w:val="000000" w:themeColor="text1"/>
                <w:kern w:val="2"/>
                <w:szCs w:val="24"/>
                <w:vertAlign w:val="superscript"/>
                <w:lang w:bidi="zh-CN"/>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w:t>
            </w:r>
          </w:p>
        </w:tc>
        <w:tc>
          <w:tcPr>
            <w:tcW w:w="55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现状浓度</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μg/m</w:t>
            </w:r>
            <w:r>
              <w:rPr>
                <w:rFonts w:ascii="Times New Roman" w:eastAsiaTheme="minorEastAsia"/>
                <w:color w:val="000000" w:themeColor="text1"/>
                <w:kern w:val="2"/>
                <w:szCs w:val="24"/>
                <w:vertAlign w:val="superscript"/>
                <w:lang w:bidi="zh-CN"/>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w:t>
            </w:r>
          </w:p>
        </w:tc>
        <w:tc>
          <w:tcPr>
            <w:tcW w:w="8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最大浓度占标率</w:t>
            </w:r>
            <w:r>
              <w:rPr>
                <w:rFonts w:hint="eastAsia" w:ascii="Times New Roman" w:eastAsiaTheme="minorEastAsia"/>
                <w:color w:val="000000" w:themeColor="text1"/>
                <w:sz w:val="21"/>
                <w:szCs w:val="21"/>
                <w14:textFill>
                  <w14:solidFill>
                    <w14:schemeClr w14:val="tx1"/>
                  </w14:solidFill>
                </w14:textFill>
              </w:rPr>
              <w:t>（%）</w:t>
            </w:r>
          </w:p>
        </w:tc>
        <w:tc>
          <w:tcPr>
            <w:tcW w:w="5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超标频率（%）</w:t>
            </w:r>
          </w:p>
        </w:tc>
        <w:tc>
          <w:tcPr>
            <w:tcW w:w="56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33"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p>
        </w:tc>
        <w:tc>
          <w:tcPr>
            <w:tcW w:w="143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年平均质量浓度</w:t>
            </w:r>
          </w:p>
        </w:tc>
        <w:tc>
          <w:tcPr>
            <w:tcW w:w="57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60</w:t>
            </w:r>
          </w:p>
        </w:tc>
        <w:tc>
          <w:tcPr>
            <w:tcW w:w="55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13.07</w:t>
            </w:r>
          </w:p>
        </w:tc>
        <w:tc>
          <w:tcPr>
            <w:tcW w:w="8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21.78</w:t>
            </w:r>
          </w:p>
        </w:tc>
        <w:tc>
          <w:tcPr>
            <w:tcW w:w="5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w:t>
            </w:r>
          </w:p>
        </w:tc>
        <w:tc>
          <w:tcPr>
            <w:tcW w:w="56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33"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3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24小时平均第98百分位数</w:t>
            </w:r>
          </w:p>
        </w:tc>
        <w:tc>
          <w:tcPr>
            <w:tcW w:w="57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150</w:t>
            </w:r>
          </w:p>
        </w:tc>
        <w:tc>
          <w:tcPr>
            <w:tcW w:w="55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27.72</w:t>
            </w:r>
          </w:p>
        </w:tc>
        <w:tc>
          <w:tcPr>
            <w:tcW w:w="8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26.67</w:t>
            </w:r>
          </w:p>
        </w:tc>
        <w:tc>
          <w:tcPr>
            <w:tcW w:w="5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w:t>
            </w:r>
          </w:p>
        </w:tc>
        <w:tc>
          <w:tcPr>
            <w:tcW w:w="56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33"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2</w:t>
            </w:r>
          </w:p>
        </w:tc>
        <w:tc>
          <w:tcPr>
            <w:tcW w:w="143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年平均质量浓度</w:t>
            </w:r>
          </w:p>
        </w:tc>
        <w:tc>
          <w:tcPr>
            <w:tcW w:w="57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w:t>
            </w:r>
          </w:p>
        </w:tc>
        <w:tc>
          <w:tcPr>
            <w:tcW w:w="55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14.25</w:t>
            </w:r>
          </w:p>
        </w:tc>
        <w:tc>
          <w:tcPr>
            <w:tcW w:w="8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35.62</w:t>
            </w:r>
          </w:p>
        </w:tc>
        <w:tc>
          <w:tcPr>
            <w:tcW w:w="5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w:t>
            </w:r>
          </w:p>
        </w:tc>
        <w:tc>
          <w:tcPr>
            <w:tcW w:w="56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33"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3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24小时平均第98百分位数</w:t>
            </w:r>
          </w:p>
        </w:tc>
        <w:tc>
          <w:tcPr>
            <w:tcW w:w="57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w:t>
            </w:r>
          </w:p>
        </w:tc>
        <w:tc>
          <w:tcPr>
            <w:tcW w:w="55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37</w:t>
            </w:r>
          </w:p>
        </w:tc>
        <w:tc>
          <w:tcPr>
            <w:tcW w:w="8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56.25</w:t>
            </w:r>
          </w:p>
        </w:tc>
        <w:tc>
          <w:tcPr>
            <w:tcW w:w="5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w:t>
            </w:r>
          </w:p>
        </w:tc>
        <w:tc>
          <w:tcPr>
            <w:tcW w:w="56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33"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w:t>
            </w:r>
            <w:r>
              <w:rPr>
                <w:rFonts w:ascii="Times New Roman" w:eastAsiaTheme="minorEastAsia"/>
                <w:color w:val="000000" w:themeColor="text1"/>
                <w:sz w:val="21"/>
                <w:szCs w:val="21"/>
                <w:vertAlign w:val="subscript"/>
                <w14:textFill>
                  <w14:solidFill>
                    <w14:schemeClr w14:val="tx1"/>
                  </w14:solidFill>
                </w14:textFill>
              </w:rPr>
              <w:t>10</w:t>
            </w:r>
          </w:p>
        </w:tc>
        <w:tc>
          <w:tcPr>
            <w:tcW w:w="143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年平均质量浓度</w:t>
            </w:r>
          </w:p>
        </w:tc>
        <w:tc>
          <w:tcPr>
            <w:tcW w:w="57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70</w:t>
            </w:r>
          </w:p>
        </w:tc>
        <w:tc>
          <w:tcPr>
            <w:tcW w:w="55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46.16</w:t>
            </w:r>
          </w:p>
        </w:tc>
        <w:tc>
          <w:tcPr>
            <w:tcW w:w="8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65.94</w:t>
            </w:r>
          </w:p>
        </w:tc>
        <w:tc>
          <w:tcPr>
            <w:tcW w:w="5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w:t>
            </w:r>
          </w:p>
        </w:tc>
        <w:tc>
          <w:tcPr>
            <w:tcW w:w="56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33"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3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24小时平均第95百分位数</w:t>
            </w:r>
          </w:p>
        </w:tc>
        <w:tc>
          <w:tcPr>
            <w:tcW w:w="57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150</w:t>
            </w:r>
          </w:p>
        </w:tc>
        <w:tc>
          <w:tcPr>
            <w:tcW w:w="55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117.6</w:t>
            </w:r>
          </w:p>
        </w:tc>
        <w:tc>
          <w:tcPr>
            <w:tcW w:w="8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164.00</w:t>
            </w:r>
          </w:p>
        </w:tc>
        <w:tc>
          <w:tcPr>
            <w:tcW w:w="5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1.64</w:t>
            </w:r>
          </w:p>
        </w:tc>
        <w:tc>
          <w:tcPr>
            <w:tcW w:w="56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33"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w:t>
            </w:r>
            <w:r>
              <w:rPr>
                <w:rFonts w:ascii="Times New Roman" w:eastAsiaTheme="minorEastAsia"/>
                <w:color w:val="000000" w:themeColor="text1"/>
                <w:sz w:val="21"/>
                <w:szCs w:val="21"/>
                <w:vertAlign w:val="subscript"/>
                <w14:textFill>
                  <w14:solidFill>
                    <w14:schemeClr w14:val="tx1"/>
                  </w14:solidFill>
                </w14:textFill>
              </w:rPr>
              <w:t>2.5</w:t>
            </w:r>
          </w:p>
        </w:tc>
        <w:tc>
          <w:tcPr>
            <w:tcW w:w="143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年平均质量浓度</w:t>
            </w:r>
          </w:p>
        </w:tc>
        <w:tc>
          <w:tcPr>
            <w:tcW w:w="57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w:t>
            </w:r>
          </w:p>
        </w:tc>
        <w:tc>
          <w:tcPr>
            <w:tcW w:w="55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27.31</w:t>
            </w:r>
          </w:p>
        </w:tc>
        <w:tc>
          <w:tcPr>
            <w:tcW w:w="8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78.03</w:t>
            </w:r>
          </w:p>
        </w:tc>
        <w:tc>
          <w:tcPr>
            <w:tcW w:w="5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w:t>
            </w:r>
          </w:p>
        </w:tc>
        <w:tc>
          <w:tcPr>
            <w:tcW w:w="56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33"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3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24小时平均第95百分位数</w:t>
            </w:r>
          </w:p>
        </w:tc>
        <w:tc>
          <w:tcPr>
            <w:tcW w:w="57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75</w:t>
            </w:r>
          </w:p>
        </w:tc>
        <w:tc>
          <w:tcPr>
            <w:tcW w:w="55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72.8</w:t>
            </w:r>
          </w:p>
        </w:tc>
        <w:tc>
          <w:tcPr>
            <w:tcW w:w="8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2.64</w:t>
            </w:r>
          </w:p>
        </w:tc>
        <w:tc>
          <w:tcPr>
            <w:tcW w:w="5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5.20</w:t>
            </w:r>
          </w:p>
        </w:tc>
        <w:tc>
          <w:tcPr>
            <w:tcW w:w="56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3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CO</w:t>
            </w:r>
          </w:p>
        </w:tc>
        <w:tc>
          <w:tcPr>
            <w:tcW w:w="143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24小时平均第95百分位数</w:t>
            </w:r>
          </w:p>
        </w:tc>
        <w:tc>
          <w:tcPr>
            <w:tcW w:w="57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4mg/</w:t>
            </w:r>
            <w:r>
              <w:rPr>
                <w:rFonts w:hint="eastAsia" w:ascii="Times New Roman" w:eastAsiaTheme="minorEastAsia"/>
                <w:color w:val="000000" w:themeColor="text1"/>
                <w:kern w:val="2"/>
                <w:szCs w:val="24"/>
                <w:lang w:bidi="zh-CN"/>
                <w14:textFill>
                  <w14:solidFill>
                    <w14:schemeClr w14:val="tx1"/>
                  </w14:solidFill>
                </w14:textFill>
              </w:rPr>
              <w:t>m</w:t>
            </w:r>
            <w:r>
              <w:rPr>
                <w:rFonts w:hint="eastAsia" w:ascii="Times New Roman" w:eastAsiaTheme="minorEastAsia"/>
                <w:color w:val="000000" w:themeColor="text1"/>
                <w:kern w:val="2"/>
                <w:szCs w:val="24"/>
                <w:vertAlign w:val="superscript"/>
                <w:lang w:bidi="zh-CN"/>
                <w14:textFill>
                  <w14:solidFill>
                    <w14:schemeClr w14:val="tx1"/>
                  </w14:solidFill>
                </w14:textFill>
              </w:rPr>
              <w:t>3</w:t>
            </w:r>
          </w:p>
        </w:tc>
        <w:tc>
          <w:tcPr>
            <w:tcW w:w="55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1.6mg/m</w:t>
            </w:r>
            <w:r>
              <w:rPr>
                <w:rFonts w:hint="eastAsia" w:ascii="Times New Roman" w:eastAsiaTheme="minorEastAsia"/>
                <w:color w:val="000000" w:themeColor="text1"/>
                <w:sz w:val="21"/>
                <w:szCs w:val="21"/>
                <w:vertAlign w:val="superscript"/>
                <w14:textFill>
                  <w14:solidFill>
                    <w14:schemeClr w14:val="tx1"/>
                  </w14:solidFill>
                </w14:textFill>
              </w:rPr>
              <w:t>3</w:t>
            </w:r>
          </w:p>
        </w:tc>
        <w:tc>
          <w:tcPr>
            <w:tcW w:w="8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92.50</w:t>
            </w:r>
          </w:p>
        </w:tc>
        <w:tc>
          <w:tcPr>
            <w:tcW w:w="5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w:t>
            </w:r>
          </w:p>
        </w:tc>
        <w:tc>
          <w:tcPr>
            <w:tcW w:w="56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43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O</w:t>
            </w:r>
            <w:r>
              <w:rPr>
                <w:rFonts w:ascii="Times New Roman" w:eastAsiaTheme="minorEastAsia"/>
                <w:color w:val="000000" w:themeColor="text1"/>
                <w:sz w:val="21"/>
                <w:szCs w:val="21"/>
                <w:vertAlign w:val="subscript"/>
                <w14:textFill>
                  <w14:solidFill>
                    <w14:schemeClr w14:val="tx1"/>
                  </w14:solidFill>
                </w14:textFill>
              </w:rPr>
              <w:t>3</w:t>
            </w:r>
          </w:p>
        </w:tc>
        <w:tc>
          <w:tcPr>
            <w:tcW w:w="143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日最大8小时滑动平均值的第90百分位数</w:t>
            </w:r>
          </w:p>
        </w:tc>
        <w:tc>
          <w:tcPr>
            <w:tcW w:w="57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160</w:t>
            </w:r>
          </w:p>
        </w:tc>
        <w:tc>
          <w:tcPr>
            <w:tcW w:w="55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112.6</w:t>
            </w:r>
          </w:p>
        </w:tc>
        <w:tc>
          <w:tcPr>
            <w:tcW w:w="8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123.75</w:t>
            </w:r>
          </w:p>
        </w:tc>
        <w:tc>
          <w:tcPr>
            <w:tcW w:w="5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1.37</w:t>
            </w:r>
          </w:p>
        </w:tc>
        <w:tc>
          <w:tcPr>
            <w:tcW w:w="569"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bookmarkEnd w:id="149"/>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由表4-2-2可知，区域内SO</w:t>
      </w:r>
      <w:r>
        <w:rPr>
          <w:rFonts w:hint="eastAsia" w:ascii="Times New Roman" w:hAnsi="Times New Roman" w:cs="Times New Roman" w:eastAsiaTheme="minorEastAsia"/>
          <w:color w:val="000000" w:themeColor="text1"/>
          <w:kern w:val="0"/>
          <w:sz w:val="21"/>
          <w:szCs w:val="21"/>
          <w:vertAlign w:val="subscript"/>
          <w:lang w:val="en-US" w:bidi="ar-SA"/>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、NO</w:t>
      </w:r>
      <w:r>
        <w:rPr>
          <w:rFonts w:hint="eastAsia" w:ascii="Times New Roman" w:hAnsi="Times New Roman" w:cs="Times New Roman" w:eastAsiaTheme="minorEastAsia"/>
          <w:color w:val="000000" w:themeColor="text1"/>
          <w:kern w:val="0"/>
          <w:sz w:val="21"/>
          <w:szCs w:val="21"/>
          <w:vertAlign w:val="subscript"/>
          <w:lang w:val="en-US" w:bidi="ar-SA"/>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、PM</w:t>
      </w:r>
      <w:r>
        <w:rPr>
          <w:rFonts w:hint="eastAsia" w:ascii="Times New Roman" w:hAnsi="Times New Roman" w:cs="Times New Roman" w:eastAsiaTheme="minorEastAsia"/>
          <w:color w:val="000000" w:themeColor="text1"/>
          <w:kern w:val="0"/>
          <w:sz w:val="21"/>
          <w:szCs w:val="21"/>
          <w:vertAlign w:val="subscript"/>
          <w:lang w:val="en-US" w:bidi="ar-SA"/>
          <w14:textFill>
            <w14:solidFill>
              <w14:schemeClr w14:val="tx1"/>
            </w14:solidFill>
          </w14:textFill>
        </w:rPr>
        <w:t>10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、PM</w:t>
      </w:r>
      <w:r>
        <w:rPr>
          <w:rFonts w:hint="eastAsia" w:ascii="Times New Roman" w:hAnsi="Times New Roman" w:cs="Times New Roman" w:eastAsiaTheme="minorEastAsia"/>
          <w:color w:val="000000" w:themeColor="text1"/>
          <w:kern w:val="0"/>
          <w:sz w:val="21"/>
          <w:szCs w:val="21"/>
          <w:vertAlign w:val="subscript"/>
          <w:lang w:val="en-US" w:bidi="ar-SA"/>
          <w14:textFill>
            <w14:solidFill>
              <w14:schemeClr w14:val="tx1"/>
            </w14:solidFill>
          </w14:textFill>
        </w:rPr>
        <w:t>2.5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、CO、O</w:t>
      </w:r>
      <w:r>
        <w:rPr>
          <w:rFonts w:hint="eastAsia" w:ascii="Times New Roman" w:hAnsi="Times New Roman" w:cs="Times New Roman" w:eastAsiaTheme="minorEastAsia"/>
          <w:color w:val="000000" w:themeColor="text1"/>
          <w:kern w:val="0"/>
          <w:sz w:val="21"/>
          <w:szCs w:val="21"/>
          <w:vertAlign w:val="subscript"/>
          <w:lang w:val="en-US" w:bidi="ar-SA"/>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评价指标均满足《环境空气质量标准》(GB3095-2012）及其2018年修改单中二级标准。</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4.2.1.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3</w:t>
      </w:r>
      <w:r>
        <w:rPr>
          <w:rFonts w:ascii="Times New Roman" w:hAnsi="Times New Roman" w:cs="Times New Roman" w:eastAsiaTheme="minorEastAsia"/>
          <w:color w:val="000000" w:themeColor="text1"/>
          <w:sz w:val="24"/>
          <w:szCs w:val="24"/>
          <w:lang w:val="en-US" w:bidi="ar-SA"/>
          <w14:textFill>
            <w14:solidFill>
              <w14:schemeClr w14:val="tx1"/>
            </w14:solidFill>
          </w14:textFill>
        </w:rPr>
        <w:t>其他污染物环境质量现状补充监测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特征污染物质量现状评价委托黑龙江绿宸环境监测有限公司于202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11</w:t>
      </w:r>
      <w:r>
        <w:rPr>
          <w:rFonts w:ascii="Times New Roman" w:hAnsi="Times New Roman" w:cs="Times New Roman" w:eastAsiaTheme="minorEastAsia"/>
          <w:color w:val="000000" w:themeColor="text1"/>
          <w:sz w:val="24"/>
          <w:szCs w:val="24"/>
          <w:lang w:val="en-US"/>
          <w14:textFill>
            <w14:solidFill>
              <w14:schemeClr w14:val="tx1"/>
            </w14:solidFill>
          </w14:textFill>
        </w:rPr>
        <w:t>月0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日至</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11</w:t>
      </w:r>
      <w:r>
        <w:rPr>
          <w:rFonts w:ascii="Times New Roman" w:hAnsi="Times New Roman" w:cs="Times New Roman" w:eastAsiaTheme="minorEastAsia"/>
          <w:color w:val="000000" w:themeColor="text1"/>
          <w:sz w:val="24"/>
          <w:szCs w:val="24"/>
          <w:lang w:val="en-US"/>
          <w14:textFill>
            <w14:solidFill>
              <w14:schemeClr w14:val="tx1"/>
            </w14:solidFill>
          </w14:textFill>
        </w:rPr>
        <w:t>月1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w:t>
      </w:r>
      <w:r>
        <w:rPr>
          <w:rFonts w:ascii="Times New Roman" w:hAnsi="Times New Roman" w:cs="Times New Roman" w:eastAsiaTheme="minorEastAsia"/>
          <w:color w:val="000000" w:themeColor="text1"/>
          <w:sz w:val="24"/>
          <w:szCs w:val="24"/>
          <w:lang w:val="en-US"/>
          <w14:textFill>
            <w14:solidFill>
              <w14:schemeClr w14:val="tx1"/>
            </w14:solidFill>
          </w14:textFill>
        </w:rPr>
        <w:t>日进行了现状监测，连续监测7天。</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（1）监测点位布设：共设置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个监测点，具体布点位置见表4-2-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。监测点位示意图见下图。</w:t>
      </w:r>
    </w:p>
    <w:p>
      <w:pPr>
        <w:ind w:firstLine="177"/>
        <w:rPr>
          <w:color w:val="000000" w:themeColor="text1"/>
          <w14:textFill>
            <w14:solidFill>
              <w14:schemeClr w14:val="tx1"/>
            </w14:solidFill>
          </w14:textFill>
        </w:rPr>
      </w:pP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表4-2-</w:t>
      </w:r>
      <w:r>
        <w:rPr>
          <w:rFonts w:hint="eastAsia" w:ascii="Times New Roman" w:eastAsiaTheme="minorEastAsia"/>
          <w:color w:val="000000" w:themeColor="text1"/>
          <w:sz w:val="21"/>
          <w:szCs w:val="21"/>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 xml:space="preserve">  环境空气监测点位布设</w:t>
      </w:r>
    </w:p>
    <w:tbl>
      <w:tblPr>
        <w:tblStyle w:val="70"/>
        <w:tblpPr w:leftFromText="180" w:rightFromText="180" w:vertAnchor="text" w:horzAnchor="page" w:tblpX="1551" w:tblpY="278"/>
        <w:tblOverlap w:val="never"/>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9"/>
        <w:gridCol w:w="2175"/>
        <w:gridCol w:w="1551"/>
        <w:gridCol w:w="1445"/>
        <w:gridCol w:w="25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9" w:hRule="atLeast"/>
        </w:trPr>
        <w:tc>
          <w:tcPr>
            <w:tcW w:w="46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采样点编号</w:t>
            </w:r>
          </w:p>
        </w:tc>
        <w:tc>
          <w:tcPr>
            <w:tcW w:w="12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采样点名称</w:t>
            </w:r>
          </w:p>
        </w:tc>
        <w:tc>
          <w:tcPr>
            <w:tcW w:w="1758"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坐标</w:t>
            </w:r>
          </w:p>
        </w:tc>
        <w:tc>
          <w:tcPr>
            <w:tcW w:w="150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2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厂址</w:t>
            </w:r>
          </w:p>
        </w:tc>
        <w:tc>
          <w:tcPr>
            <w:tcW w:w="9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131.57286108</w:t>
            </w:r>
            <w:r>
              <w:rPr>
                <w:rFonts w:hint="eastAsia" w:ascii="Times New Roman" w:eastAsiaTheme="minorEastAsia"/>
                <w:color w:val="000000" w:themeColor="text1"/>
                <w:sz w:val="21"/>
                <w:szCs w:val="21"/>
                <w14:textFill>
                  <w14:solidFill>
                    <w14:schemeClr w14:val="tx1"/>
                  </w14:solidFill>
                </w14:textFill>
              </w:rPr>
              <w:t xml:space="preserve"> </w:t>
            </w:r>
          </w:p>
        </w:tc>
        <w:tc>
          <w:tcPr>
            <w:tcW w:w="84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46.70153995</w:t>
            </w:r>
          </w:p>
        </w:tc>
        <w:tc>
          <w:tcPr>
            <w:tcW w:w="1503"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总悬浮颗粒物</w:t>
            </w:r>
            <w:r>
              <w:rPr>
                <w:rFonts w:hint="eastAsia" w:ascii="Times New Roman" w:eastAsiaTheme="minorEastAsia"/>
                <w:color w:val="000000" w:themeColor="text1"/>
                <w:sz w:val="21"/>
                <w:szCs w:val="21"/>
                <w14:textFill>
                  <w14:solidFill>
                    <w14:schemeClr w14:val="tx1"/>
                  </w14:solidFill>
                </w14:textFill>
              </w:rPr>
              <w:t>、氨、气态汞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w:t>
            </w:r>
          </w:p>
        </w:tc>
        <w:tc>
          <w:tcPr>
            <w:tcW w:w="12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厂址700米处居民区</w:t>
            </w:r>
          </w:p>
        </w:tc>
        <w:tc>
          <w:tcPr>
            <w:tcW w:w="91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131.58041954</w:t>
            </w:r>
          </w:p>
        </w:tc>
        <w:tc>
          <w:tcPr>
            <w:tcW w:w="84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46.70820573</w:t>
            </w:r>
          </w:p>
        </w:tc>
        <w:tc>
          <w:tcPr>
            <w:tcW w:w="1503"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bl>
    <w:p>
      <w:pPr>
        <w:ind w:firstLine="177"/>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98176" behindDoc="0" locked="0" layoutInCell="1" allowOverlap="1">
            <wp:simplePos x="0" y="0"/>
            <wp:positionH relativeFrom="column">
              <wp:posOffset>616585</wp:posOffset>
            </wp:positionH>
            <wp:positionV relativeFrom="paragraph">
              <wp:posOffset>1455420</wp:posOffset>
            </wp:positionV>
            <wp:extent cx="934720" cy="876300"/>
            <wp:effectExtent l="0" t="0" r="0" b="0"/>
            <wp:wrapNone/>
            <wp:docPr id="8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2"/>
                    <pic:cNvPicPr>
                      <a:picLocks noChangeAspect="1"/>
                    </pic:cNvPicPr>
                  </pic:nvPicPr>
                  <pic:blipFill>
                    <a:blip r:embed="rId26"/>
                    <a:stretch>
                      <a:fillRect/>
                    </a:stretch>
                  </pic:blipFill>
                  <pic:spPr>
                    <a:xfrm>
                      <a:off x="0" y="0"/>
                      <a:ext cx="934720" cy="876300"/>
                    </a:xfrm>
                    <a:prstGeom prst="rect">
                      <a:avLst/>
                    </a:prstGeom>
                    <a:noFill/>
                    <a:ln>
                      <a:noFill/>
                    </a:ln>
                  </pic:spPr>
                </pic:pic>
              </a:graphicData>
            </a:graphic>
          </wp:anchor>
        </w:drawing>
      </w:r>
      <w:r>
        <w:rPr>
          <w:color w:val="000000" w:themeColor="text1"/>
          <w:lang w:val="en-US" w:bidi="ar-SA"/>
          <w14:textFill>
            <w14:solidFill>
              <w14:schemeClr w14:val="tx1"/>
            </w14:solidFill>
          </w14:textFill>
        </w:rPr>
        <w:drawing>
          <wp:inline distT="0" distB="0" distL="0" distR="0">
            <wp:extent cx="4507865" cy="3619500"/>
            <wp:effectExtent l="0" t="0" r="698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52"/>
                    <a:stretch>
                      <a:fillRect/>
                    </a:stretch>
                  </pic:blipFill>
                  <pic:spPr>
                    <a:xfrm>
                      <a:off x="0" y="0"/>
                      <a:ext cx="4511348" cy="3622131"/>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图4-2-1环境空气监测点位示意图</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（2）监测时间及监测项目：监测项目为总悬浮颗粒物</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、气态汞</w:t>
      </w:r>
      <w:r>
        <w:rPr>
          <w:rFonts w:ascii="Times New Roman" w:hAnsi="Times New Roman" w:cs="Times New Roman" w:eastAsiaTheme="minorEastAsia"/>
          <w:color w:val="000000" w:themeColor="text1"/>
          <w:sz w:val="24"/>
          <w:szCs w:val="24"/>
          <w:lang w:val="en-US"/>
          <w14:textFill>
            <w14:solidFill>
              <w14:schemeClr w14:val="tx1"/>
            </w14:solidFill>
          </w14:textFill>
        </w:rPr>
        <w:t>，连续监测7天，监测日均值</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；氨连续监测7天，监测1小时均值</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（3）监测方法与仪器：采样及分析方法按照相关规定的方法进行，详见表4-2-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表4-2-</w:t>
      </w:r>
      <w:r>
        <w:rPr>
          <w:rFonts w:hint="eastAsia" w:ascii="Times New Roman" w:hAnsiTheme="minorEastAsia" w:eastAsiaTheme="minorEastAsia"/>
          <w:b/>
          <w:bCs/>
          <w:color w:val="000000" w:themeColor="text1"/>
          <w:szCs w:val="24"/>
          <w14:textFill>
            <w14:solidFill>
              <w14:schemeClr w14:val="tx1"/>
            </w14:solidFill>
          </w14:textFill>
        </w:rPr>
        <w:t>4</w:t>
      </w:r>
      <w:r>
        <w:rPr>
          <w:rFonts w:ascii="Times New Roman" w:hAnsiTheme="minorEastAsia" w:eastAsiaTheme="minorEastAsia"/>
          <w:b/>
          <w:bCs/>
          <w:color w:val="000000" w:themeColor="text1"/>
          <w:szCs w:val="24"/>
          <w14:textFill>
            <w14:solidFill>
              <w14:schemeClr w14:val="tx1"/>
            </w14:solidFill>
          </w14:textFill>
        </w:rPr>
        <w:t xml:space="preserve">  本项目环境空气监测方法</w:t>
      </w:r>
    </w:p>
    <w:tbl>
      <w:tblPr>
        <w:tblStyle w:val="7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75"/>
        <w:gridCol w:w="1699"/>
        <w:gridCol w:w="3542"/>
        <w:gridCol w:w="260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tblHeader/>
          <w:jc w:val="center"/>
        </w:trPr>
        <w:tc>
          <w:tcPr>
            <w:tcW w:w="39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99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20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方法名称</w:t>
            </w:r>
            <w:r>
              <w:rPr>
                <w:rFonts w:hint="eastAsia" w:ascii="Times New Roman" w:eastAsiaTheme="minorEastAsia"/>
                <w:color w:val="000000" w:themeColor="text1"/>
                <w:sz w:val="21"/>
                <w:szCs w:val="21"/>
                <w14:textFill>
                  <w14:solidFill>
                    <w14:schemeClr w14:val="tx1"/>
                  </w14:solidFill>
                </w14:textFill>
              </w:rPr>
              <w:t>及标准号</w:t>
            </w:r>
          </w:p>
        </w:tc>
        <w:tc>
          <w:tcPr>
            <w:tcW w:w="152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仪器名称及型号</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9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99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TSP</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总悬浮颗粒物</w:t>
            </w:r>
          </w:p>
        </w:tc>
        <w:tc>
          <w:tcPr>
            <w:tcW w:w="20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环境空气</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总悬浮颗粒物的测定重量法</w:t>
            </w:r>
          </w:p>
        </w:tc>
        <w:tc>
          <w:tcPr>
            <w:tcW w:w="152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ZR-3920 环境空气颗</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粒物综合采样器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9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p>
        </w:tc>
        <w:tc>
          <w:tcPr>
            <w:tcW w:w="99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氨</w:t>
            </w:r>
          </w:p>
        </w:tc>
        <w:tc>
          <w:tcPr>
            <w:tcW w:w="20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环境空气氨的测定 钠氏试剂分光</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光度法 HJ533-2009</w:t>
            </w:r>
          </w:p>
        </w:tc>
        <w:tc>
          <w:tcPr>
            <w:tcW w:w="152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T6S 紫外可见分光光</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度计</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9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p>
        </w:tc>
        <w:tc>
          <w:tcPr>
            <w:tcW w:w="99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气态</w:t>
            </w:r>
            <w:r>
              <w:rPr>
                <w:rFonts w:ascii="Times New Roman" w:eastAsiaTheme="minorEastAsia"/>
                <w:color w:val="000000" w:themeColor="text1"/>
                <w:sz w:val="21"/>
                <w:szCs w:val="21"/>
                <w14:textFill>
                  <w14:solidFill>
                    <w14:schemeClr w14:val="tx1"/>
                  </w14:solidFill>
                </w14:textFill>
              </w:rPr>
              <w:t>汞</w:t>
            </w:r>
          </w:p>
        </w:tc>
        <w:tc>
          <w:tcPr>
            <w:tcW w:w="20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环境空气 气态汞的测定 金膜富集 /冷原子吸收分光光度法HJ 910-2017及修改单</w:t>
            </w:r>
          </w:p>
        </w:tc>
        <w:tc>
          <w:tcPr>
            <w:tcW w:w="152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冷 原 子 吸 收 测 汞 仪F732-VJ</w:t>
            </w: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（4）监测结果：监测结果见下表。</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bookmarkStart w:id="150" w:name="_Toc214090892"/>
      <w:bookmarkStart w:id="151" w:name="_Toc397696474"/>
      <w:bookmarkStart w:id="152" w:name="_Toc465668714"/>
      <w:bookmarkStart w:id="153" w:name="_Toc289863620"/>
      <w:r>
        <w:rPr>
          <w:rFonts w:ascii="Times New Roman" w:hAnsiTheme="minorEastAsia" w:eastAsiaTheme="minorEastAsia"/>
          <w:b/>
          <w:bCs/>
          <w:color w:val="000000" w:themeColor="text1"/>
          <w:szCs w:val="24"/>
          <w14:textFill>
            <w14:solidFill>
              <w14:schemeClr w14:val="tx1"/>
            </w14:solidFill>
          </w14:textFill>
        </w:rPr>
        <w:t>表4-2-</w:t>
      </w:r>
      <w:r>
        <w:rPr>
          <w:rFonts w:hint="eastAsia" w:ascii="Times New Roman" w:hAnsiTheme="minorEastAsia" w:eastAsiaTheme="minorEastAsia"/>
          <w:b/>
          <w:bCs/>
          <w:color w:val="000000" w:themeColor="text1"/>
          <w:szCs w:val="24"/>
          <w14:textFill>
            <w14:solidFill>
              <w14:schemeClr w14:val="tx1"/>
            </w14:solidFill>
          </w14:textFill>
        </w:rPr>
        <w:t xml:space="preserve">5 </w:t>
      </w:r>
      <w:r>
        <w:rPr>
          <w:rFonts w:ascii="Times New Roman" w:hAnsiTheme="minorEastAsia" w:eastAsiaTheme="minorEastAsia"/>
          <w:b/>
          <w:bCs/>
          <w:color w:val="000000" w:themeColor="text1"/>
          <w:szCs w:val="24"/>
          <w14:textFill>
            <w14:solidFill>
              <w14:schemeClr w14:val="tx1"/>
            </w14:solidFill>
          </w14:textFill>
        </w:rPr>
        <w:t>环境空气检测结果单位：mg/m</w:t>
      </w:r>
      <w:r>
        <w:rPr>
          <w:rFonts w:ascii="Times New Roman" w:hAnsiTheme="minorEastAsia" w:eastAsiaTheme="minorEastAsia"/>
          <w:b/>
          <w:bCs/>
          <w:color w:val="000000" w:themeColor="text1"/>
          <w:szCs w:val="24"/>
          <w:vertAlign w:val="superscript"/>
          <w14:textFill>
            <w14:solidFill>
              <w14:schemeClr w14:val="tx1"/>
            </w14:solidFill>
          </w14:textFill>
        </w:rPr>
        <w:t>3</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5"/>
        <w:gridCol w:w="730"/>
        <w:gridCol w:w="1148"/>
        <w:gridCol w:w="984"/>
        <w:gridCol w:w="984"/>
        <w:gridCol w:w="984"/>
        <w:gridCol w:w="984"/>
        <w:gridCol w:w="1009"/>
        <w:gridCol w:w="9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432"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点位编号</w:t>
            </w:r>
          </w:p>
        </w:tc>
        <w:tc>
          <w:tcPr>
            <w:tcW w:w="42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检测点位</w:t>
            </w:r>
          </w:p>
        </w:tc>
        <w:tc>
          <w:tcPr>
            <w:tcW w:w="66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采样时间</w:t>
            </w:r>
          </w:p>
        </w:tc>
        <w:tc>
          <w:tcPr>
            <w:tcW w:w="1156"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总悬浮颗粒物</w:t>
            </w:r>
          </w:p>
        </w:tc>
        <w:tc>
          <w:tcPr>
            <w:tcW w:w="1156"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气态汞</w:t>
            </w:r>
          </w:p>
        </w:tc>
        <w:tc>
          <w:tcPr>
            <w:tcW w:w="1158"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43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监测结果</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占标比（%）</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监测结果</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占标比（</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监测结果</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占标比（</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2"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w:t>
            </w:r>
          </w:p>
        </w:tc>
        <w:tc>
          <w:tcPr>
            <w:tcW w:w="42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厂址处</w:t>
            </w:r>
          </w:p>
        </w:tc>
        <w:tc>
          <w:tcPr>
            <w:tcW w:w="6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2022.</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4</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0.183</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61.00 </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0.16-0.18</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2022.</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5</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0.175</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58.33 </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0.16-0.18</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2022.</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6</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0.177</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59.00 </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0.16-0.17</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2022.</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7</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0.185</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61.67 </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0.15-0.18</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2022.</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8</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0.179</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59.67 </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0.15-0.18</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2022.</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9</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0.188</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62.67 </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0.16-0.18</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2022.</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1.1</w:t>
            </w:r>
            <w:r>
              <w:rPr>
                <w:rFonts w:hint="eastAsia" w:ascii="Times New Roman" w:eastAsiaTheme="minorEastAsia"/>
                <w:color w:val="000000" w:themeColor="text1"/>
                <w:sz w:val="21"/>
                <w:szCs w:val="21"/>
                <w14:textFill>
                  <w14:solidFill>
                    <w14:schemeClr w14:val="tx1"/>
                  </w14:solidFill>
                </w14:textFill>
              </w:rPr>
              <w:t>0</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0.191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63.67 </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0.16-0.18</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2"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w:t>
            </w:r>
          </w:p>
        </w:tc>
        <w:tc>
          <w:tcPr>
            <w:tcW w:w="42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厂址下风向700m处</w:t>
            </w:r>
          </w:p>
        </w:tc>
        <w:tc>
          <w:tcPr>
            <w:tcW w:w="6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2022.</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4</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0.151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50.33 </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0.12-0.13</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2022.</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5</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0.148</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49.33 </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0.11-0.13</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2022.</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6</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0.139</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46.33 </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0.09-0.10</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2022.</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7</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0.146</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48.67 </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0.09-0.11</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2022.</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8</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0.153</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51.00 </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0.08-0.10</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2022.</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9</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0.149</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49.67 </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0.08-0.09</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3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2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6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2022.</w:t>
            </w: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1.1</w:t>
            </w:r>
            <w:r>
              <w:rPr>
                <w:rFonts w:hint="eastAsia" w:ascii="Times New Roman" w:eastAsiaTheme="minorEastAsia"/>
                <w:color w:val="000000" w:themeColor="text1"/>
                <w:sz w:val="21"/>
                <w:szCs w:val="21"/>
                <w14:textFill>
                  <w14:solidFill>
                    <w14:schemeClr w14:val="tx1"/>
                  </w14:solidFill>
                </w14:textFill>
              </w:rPr>
              <w:t>0</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0.155</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51.67 </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5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5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0.09-0.11</w:t>
            </w:r>
          </w:p>
        </w:tc>
        <w:tc>
          <w:tcPr>
            <w:tcW w:w="5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55</w:t>
            </w: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现状监测TSP各监测点的日平均浓度值在0.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139</w:t>
      </w:r>
      <w:r>
        <w:rPr>
          <w:rFonts w:ascii="Times New Roman" w:hAnsi="Times New Roman" w:cs="Times New Roman" w:eastAsiaTheme="minorEastAsia"/>
          <w:color w:val="000000" w:themeColor="text1"/>
          <w:sz w:val="24"/>
          <w:szCs w:val="24"/>
          <w:lang w:val="en-US"/>
          <w14:textFill>
            <w14:solidFill>
              <w14:schemeClr w14:val="tx1"/>
            </w14:solidFill>
          </w14:textFill>
        </w:rPr>
        <w:t>～0.1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91</w:t>
      </w:r>
      <w:r>
        <w:rPr>
          <w:rFonts w:ascii="Times New Roman" w:hAnsi="Times New Roman" w:cs="Times New Roman" w:eastAsiaTheme="minorEastAsia"/>
          <w:color w:val="000000" w:themeColor="text1"/>
          <w:sz w:val="24"/>
          <w:szCs w:val="24"/>
          <w:lang w:val="en-US"/>
          <w14:textFill>
            <w14:solidFill>
              <w14:schemeClr w14:val="tx1"/>
            </w14:solidFill>
          </w14:textFill>
        </w:rPr>
        <w:t>mg/m³之间，最大浓度占标率为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63.67</w:t>
      </w:r>
      <w:r>
        <w:rPr>
          <w:rFonts w:ascii="Times New Roman" w:hAnsi="Times New Roman" w:cs="Times New Roman" w:eastAsiaTheme="minorEastAsia"/>
          <w:color w:val="000000" w:themeColor="text1"/>
          <w:sz w:val="24"/>
          <w:szCs w:val="24"/>
          <w:lang w:val="en-US"/>
          <w14:textFill>
            <w14:solidFill>
              <w14:schemeClr w14:val="tx1"/>
            </w14:solidFill>
          </w14:textFill>
        </w:rPr>
        <w:t>%。各监测点TSP日平均浓度值均未超过《环境空气质量标准》(GB3095-2012)中二级标准中日平均浓度0.3mg/m³。现状监测</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氨</w:t>
      </w:r>
      <w:r>
        <w:rPr>
          <w:rFonts w:ascii="Times New Roman" w:hAnsi="Times New Roman" w:cs="Times New Roman" w:eastAsiaTheme="minorEastAsia"/>
          <w:color w:val="000000" w:themeColor="text1"/>
          <w:sz w:val="24"/>
          <w:szCs w:val="24"/>
          <w:lang w:val="en-US"/>
          <w14:textFill>
            <w14:solidFill>
              <w14:schemeClr w14:val="tx1"/>
            </w14:solidFill>
          </w14:textFill>
        </w:rPr>
        <w:t>各监测点的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1h</w:t>
      </w:r>
      <w:r>
        <w:rPr>
          <w:rFonts w:ascii="Times New Roman" w:hAnsi="Times New Roman" w:cs="Times New Roman" w:eastAsiaTheme="minorEastAsia"/>
          <w:color w:val="000000" w:themeColor="text1"/>
          <w:sz w:val="24"/>
          <w:szCs w:val="24"/>
          <w:lang w:val="en-US"/>
          <w14:textFill>
            <w14:solidFill>
              <w14:schemeClr w14:val="tx1"/>
            </w14:solidFill>
          </w14:textFill>
        </w:rPr>
        <w:t>浓度值在0.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08</w:t>
      </w:r>
      <w:r>
        <w:rPr>
          <w:rFonts w:ascii="Times New Roman" w:hAnsi="Times New Roman" w:cs="Times New Roman" w:eastAsiaTheme="minorEastAsia"/>
          <w:color w:val="000000" w:themeColor="text1"/>
          <w:sz w:val="24"/>
          <w:szCs w:val="24"/>
          <w:lang w:val="en-US"/>
          <w14:textFill>
            <w14:solidFill>
              <w14:schemeClr w14:val="tx1"/>
            </w14:solidFill>
          </w14:textFill>
        </w:rPr>
        <w:t>～0.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18</w:t>
      </w:r>
      <w:r>
        <w:rPr>
          <w:rFonts w:ascii="Times New Roman" w:hAnsi="Times New Roman" w:cs="Times New Roman" w:eastAsiaTheme="minorEastAsia"/>
          <w:color w:val="000000" w:themeColor="text1"/>
          <w:sz w:val="24"/>
          <w:szCs w:val="24"/>
          <w:lang w:val="en-US"/>
          <w14:textFill>
            <w14:solidFill>
              <w14:schemeClr w14:val="tx1"/>
            </w14:solidFill>
          </w14:textFill>
        </w:rPr>
        <w:t>mg/m³之间，最大浓度占标率为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90</w:t>
      </w:r>
      <w:r>
        <w:rPr>
          <w:rFonts w:ascii="Times New Roman" w:hAnsi="Times New Roman" w:cs="Times New Roman" w:eastAsiaTheme="minorEastAsia"/>
          <w:color w:val="000000" w:themeColor="text1"/>
          <w:sz w:val="24"/>
          <w:szCs w:val="24"/>
          <w:lang w:val="en-US"/>
          <w14:textFill>
            <w14:solidFill>
              <w14:schemeClr w14:val="tx1"/>
            </w14:solidFill>
          </w14:textFill>
        </w:rPr>
        <w:t>%。各监测点</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氨1h</w:t>
      </w:r>
      <w:r>
        <w:rPr>
          <w:rFonts w:ascii="Times New Roman" w:hAnsi="Times New Roman" w:cs="Times New Roman" w:eastAsiaTheme="minorEastAsia"/>
          <w:color w:val="000000" w:themeColor="text1"/>
          <w:sz w:val="24"/>
          <w:szCs w:val="24"/>
          <w:lang w:val="en-US"/>
          <w14:textFill>
            <w14:solidFill>
              <w14:schemeClr w14:val="tx1"/>
            </w14:solidFill>
          </w14:textFill>
        </w:rPr>
        <w:t>浓度值均未超过《环境影响评价技术导则大气环境附录D》（HJ2.2-2018）中</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1h</w:t>
      </w:r>
      <w:r>
        <w:rPr>
          <w:rFonts w:ascii="Times New Roman" w:hAnsi="Times New Roman" w:cs="Times New Roman" w:eastAsiaTheme="minorEastAsia"/>
          <w:color w:val="000000" w:themeColor="text1"/>
          <w:sz w:val="24"/>
          <w:szCs w:val="24"/>
          <w:lang w:val="en-US"/>
          <w14:textFill>
            <w14:solidFill>
              <w14:schemeClr w14:val="tx1"/>
            </w14:solidFill>
          </w14:textFill>
        </w:rPr>
        <w:t>平均浓度0.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mg/m³。</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各监测点位气态汞均未检出。</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4.2.1.</w:t>
      </w:r>
      <w:bookmarkEnd w:id="150"/>
      <w:bookmarkEnd w:id="151"/>
      <w:bookmarkEnd w:id="152"/>
      <w:bookmarkEnd w:id="153"/>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4</w:t>
      </w:r>
      <w:r>
        <w:rPr>
          <w:rFonts w:ascii="Times New Roman" w:hAnsi="Times New Roman" w:cs="Times New Roman" w:eastAsiaTheme="minorEastAsia"/>
          <w:color w:val="000000" w:themeColor="text1"/>
          <w:sz w:val="24"/>
          <w:szCs w:val="24"/>
          <w:lang w:val="en-US" w:bidi="ar-SA"/>
          <w14:textFill>
            <w14:solidFill>
              <w14:schemeClr w14:val="tx1"/>
            </w14:solidFill>
          </w14:textFill>
        </w:rPr>
        <w:t>环境空气质量现状评价结论</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双鸭山</w:t>
      </w:r>
      <w:r>
        <w:rPr>
          <w:rFonts w:ascii="Times New Roman" w:hAnsi="Times New Roman" w:cs="Times New Roman" w:eastAsiaTheme="minorEastAsia"/>
          <w:color w:val="000000" w:themeColor="text1"/>
          <w:sz w:val="24"/>
          <w:szCs w:val="24"/>
          <w:lang w:val="en-US"/>
          <w14:textFill>
            <w14:solidFill>
              <w14:schemeClr w14:val="tx1"/>
            </w14:solidFill>
          </w14:textFill>
        </w:rPr>
        <w:t>市属于环境空气达标区。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根据现状监测，</w:t>
      </w:r>
      <w:r>
        <w:rPr>
          <w:rFonts w:ascii="Times New Roman" w:hAnsi="Times New Roman" w:cs="Times New Roman" w:eastAsiaTheme="minorEastAsia"/>
          <w:color w:val="000000" w:themeColor="text1"/>
          <w:sz w:val="24"/>
          <w:szCs w:val="24"/>
          <w:lang w:val="en-US"/>
          <w14:textFill>
            <w14:solidFill>
              <w14:schemeClr w14:val="tx1"/>
            </w14:solidFill>
          </w14:textFill>
        </w:rPr>
        <w:t>项目所在地各监测点TSP</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、氨能够满足环境空气质量标准限值要求，气态汞未检出，项目所在区域环境空气质量状况良好</w:t>
      </w:r>
      <w:r>
        <w:rPr>
          <w:rFonts w:ascii="Times New Roman" w:hAnsi="Times New Roman" w:cs="Times New Roman" w:eastAsiaTheme="minorEastAsia"/>
          <w:color w:val="000000" w:themeColor="text1"/>
          <w:sz w:val="24"/>
          <w:szCs w:val="24"/>
          <w:lang w:val="en-US"/>
          <w14:textFill>
            <w14:solidFill>
              <w14:schemeClr w14:val="tx1"/>
            </w14:solidFill>
          </w14:textFill>
        </w:rPr>
        <w:t>。</w:t>
      </w:r>
    </w:p>
    <w:bookmarkEnd w:id="145"/>
    <w:bookmarkEnd w:id="146"/>
    <w:bookmarkEnd w:id="147"/>
    <w:bookmarkEnd w:id="148"/>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54" w:name="_Toc532974736"/>
      <w:r>
        <w:rPr>
          <w:rFonts w:ascii="Times New Roman" w:hAnsi="Times New Roman" w:eastAsia="新宋体" w:cstheme="minorBidi"/>
          <w:color w:val="000000" w:themeColor="text1"/>
          <w:szCs w:val="24"/>
          <w:lang w:val="en-US" w:bidi="ar-SA"/>
          <w14:textFill>
            <w14:solidFill>
              <w14:schemeClr w14:val="tx1"/>
            </w14:solidFill>
          </w14:textFill>
        </w:rPr>
        <w:t>4.2.2地表水环境质量现状评价</w:t>
      </w:r>
      <w:bookmarkEnd w:id="144"/>
      <w:bookmarkEnd w:id="154"/>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155" w:name="_Toc447897433"/>
      <w:r>
        <w:rPr>
          <w:rFonts w:ascii="Times New Roman" w:hAnsi="Times New Roman" w:cs="Times New Roman" w:eastAsiaTheme="minorEastAsia"/>
          <w:color w:val="000000" w:themeColor="text1"/>
          <w:sz w:val="24"/>
          <w:szCs w:val="24"/>
          <w:lang w:val="en-US"/>
          <w14:textFill>
            <w14:solidFill>
              <w14:schemeClr w14:val="tx1"/>
            </w14:solidFill>
          </w14:textFill>
        </w:rPr>
        <w:t>本项目所在区域地表水体为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扁石河，扁石河为挠力河支流，根据</w:t>
      </w:r>
      <w:r>
        <w:rPr>
          <w:rFonts w:ascii="Times New Roman" w:hAnsi="Times New Roman" w:cs="Times New Roman" w:eastAsiaTheme="minorEastAsia"/>
          <w:color w:val="000000" w:themeColor="text1"/>
          <w:sz w:val="24"/>
          <w:szCs w:val="24"/>
          <w:lang w:val="en-US"/>
          <w14:textFill>
            <w14:solidFill>
              <w14:schemeClr w14:val="tx1"/>
            </w14:solidFill>
          </w14:textFill>
        </w:rPr>
        <w:t>《国务院关于全国重要江河湖泊水功能区划（2010-2030年）的批复》国函[2011]167号文件，</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挠力河（大、小挠力河汇合至炮台亮子断面）为</w:t>
      </w:r>
      <w:r>
        <w:rPr>
          <w:rFonts w:ascii="Times New Roman" w:hAnsi="Times New Roman" w:cs="Times New Roman" w:eastAsiaTheme="minorEastAsia"/>
          <w:color w:val="000000" w:themeColor="text1"/>
          <w:sz w:val="24"/>
          <w:szCs w:val="24"/>
          <w:lang w:val="en-US"/>
          <w14:textFill>
            <w14:solidFill>
              <w14:schemeClr w14:val="tx1"/>
            </w14:solidFill>
          </w14:textFill>
        </w:rPr>
        <w:t>Ⅲ类</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水体</w:t>
      </w:r>
      <w:r>
        <w:rPr>
          <w:rFonts w:ascii="Times New Roman" w:hAnsi="Times New Roman" w:cs="Times New Roman" w:eastAsiaTheme="minorEastAsia"/>
          <w:color w:val="000000" w:themeColor="text1"/>
          <w:sz w:val="24"/>
          <w:szCs w:val="24"/>
          <w:lang w:val="en-US"/>
          <w14:textFill>
            <w14:solidFill>
              <w14:schemeClr w14:val="tx1"/>
            </w14:solidFill>
          </w14:textFill>
        </w:rPr>
        <w:t>，该断面执行国家《地表水环境质量标准》（GB3838-2002）中的Ⅲ类标准。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根据《202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年黑龙江省生态环境质量状况》，</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2022年，全省 205个国、省控地表水断面(点位)，总体水质状况为轻度污染，I-Ⅲ类水质比例为 65.9%，劣V类水质比例为 1.5%。与上年同期相比，I -Ⅲ类水质比例上升 9.4个百分点，劣V类水质比例上升 0.4个百分点。双鸭山市地表水国家考核断面共6个，1-Ⅲ类水质比例为66.7%，无劣V类水质断面。与上年同期相比，I-Ⅲ类水质比例保持不变，均无劣V类水质断面。双鸭山市饮用水水源地水量达标率为100%。地表水环境质量现状良好</w:t>
      </w:r>
      <w:r>
        <w:rPr>
          <w:rFonts w:ascii="Times New Roman" w:hAnsi="Times New Roman" w:cs="Times New Roman" w:eastAsiaTheme="minorEastAsia"/>
          <w:color w:val="000000" w:themeColor="text1"/>
          <w:sz w:val="24"/>
          <w:szCs w:val="24"/>
          <w:lang w:val="en-US"/>
          <w14:textFill>
            <w14:solidFill>
              <w14:schemeClr w14:val="tx1"/>
            </w14:solidFill>
          </w14:textFill>
        </w:rPr>
        <w:t>。</w:t>
      </w:r>
    </w:p>
    <w:bookmarkEnd w:id="155"/>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56" w:name="_Toc532974737"/>
      <w:r>
        <w:rPr>
          <w:rFonts w:ascii="Times New Roman" w:hAnsi="Times New Roman" w:eastAsia="新宋体" w:cstheme="minorBidi"/>
          <w:color w:val="000000" w:themeColor="text1"/>
          <w:szCs w:val="24"/>
          <w:lang w:val="en-US" w:bidi="ar-SA"/>
          <w14:textFill>
            <w14:solidFill>
              <w14:schemeClr w14:val="tx1"/>
            </w14:solidFill>
          </w14:textFill>
        </w:rPr>
        <w:t>4.2.3声环境质量现状评价</w:t>
      </w:r>
      <w:bookmarkEnd w:id="128"/>
      <w:bookmarkEnd w:id="129"/>
      <w:bookmarkEnd w:id="130"/>
      <w:bookmarkEnd w:id="156"/>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157" w:name="_Toc239836129"/>
      <w:bookmarkStart w:id="158" w:name="_Toc234557188"/>
      <w:bookmarkStart w:id="159" w:name="_Toc465668757"/>
      <w:bookmarkStart w:id="160" w:name="_Toc258621303"/>
      <w:r>
        <w:rPr>
          <w:rFonts w:ascii="Times New Roman" w:hAnsi="Times New Roman" w:cs="Times New Roman" w:eastAsiaTheme="minorEastAsia"/>
          <w:color w:val="000000" w:themeColor="text1"/>
          <w:sz w:val="24"/>
          <w:szCs w:val="24"/>
          <w:lang w:val="en-US" w:bidi="ar-SA"/>
          <w14:textFill>
            <w14:solidFill>
              <w14:schemeClr w14:val="tx1"/>
            </w14:solidFill>
          </w14:textFill>
        </w:rPr>
        <w:t>4.2.3.1声环境质量现状监测</w:t>
      </w:r>
      <w:bookmarkEnd w:id="157"/>
      <w:bookmarkEnd w:id="158"/>
      <w:bookmarkEnd w:id="159"/>
      <w:bookmarkEnd w:id="160"/>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（1）监测内容：厂界Leq[dB(A)]。</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（2）监测点布设：</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根据厂址周围环境状况，在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w:t>
      </w:r>
      <w:r>
        <w:rPr>
          <w:rFonts w:ascii="Times New Roman" w:hAnsi="Times New Roman" w:cs="Times New Roman" w:eastAsiaTheme="minorEastAsia"/>
          <w:color w:val="000000" w:themeColor="text1"/>
          <w:sz w:val="24"/>
          <w:szCs w:val="24"/>
          <w:lang w:val="en-US"/>
          <w14:textFill>
            <w14:solidFill>
              <w14:schemeClr w14:val="tx1"/>
            </w14:solidFill>
          </w14:textFill>
        </w:rPr>
        <w:t>区四周布设监测点</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个，具体布点情况见表4-2-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6</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表4-2-</w:t>
      </w:r>
      <w:r>
        <w:rPr>
          <w:rFonts w:hint="eastAsia" w:ascii="Times New Roman" w:hAnsiTheme="minorEastAsia" w:eastAsiaTheme="minorEastAsia"/>
          <w:b/>
          <w:bCs/>
          <w:color w:val="000000" w:themeColor="text1"/>
          <w:szCs w:val="24"/>
          <w14:textFill>
            <w14:solidFill>
              <w14:schemeClr w14:val="tx1"/>
            </w14:solidFill>
          </w14:textFill>
        </w:rPr>
        <w:t xml:space="preserve">6 </w:t>
      </w:r>
      <w:r>
        <w:rPr>
          <w:rFonts w:ascii="Times New Roman" w:hAnsiTheme="minorEastAsia" w:eastAsiaTheme="minorEastAsia"/>
          <w:b/>
          <w:bCs/>
          <w:color w:val="000000" w:themeColor="text1"/>
          <w:szCs w:val="24"/>
          <w14:textFill>
            <w14:solidFill>
              <w14:schemeClr w14:val="tx1"/>
            </w14:solidFill>
          </w14:textFill>
        </w:rPr>
        <w:t>监测点位布设情况</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17"/>
        <w:gridCol w:w="4791"/>
        <w:gridCol w:w="161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2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281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监测点位置</w:t>
            </w:r>
          </w:p>
        </w:tc>
        <w:tc>
          <w:tcPr>
            <w:tcW w:w="94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监测因子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12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281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厂</w:t>
            </w:r>
            <w:r>
              <w:rPr>
                <w:rFonts w:ascii="Times New Roman" w:eastAsiaTheme="minorEastAsia"/>
                <w:color w:val="000000" w:themeColor="text1"/>
                <w:sz w:val="21"/>
                <w:szCs w:val="21"/>
                <w14:textFill>
                  <w14:solidFill>
                    <w14:schemeClr w14:val="tx1"/>
                  </w14:solidFill>
                </w14:textFill>
              </w:rPr>
              <w:t>界</w:t>
            </w:r>
            <w:r>
              <w:rPr>
                <w:rFonts w:hint="eastAsia" w:ascii="Times New Roman" w:eastAsiaTheme="minorEastAsia"/>
                <w:color w:val="000000" w:themeColor="text1"/>
                <w:sz w:val="21"/>
                <w:szCs w:val="21"/>
                <w14:textFill>
                  <w14:solidFill>
                    <w14:schemeClr w14:val="tx1"/>
                  </w14:solidFill>
                </w14:textFill>
              </w:rPr>
              <w:t>东</w:t>
            </w:r>
            <w:r>
              <w:rPr>
                <w:rFonts w:ascii="Times New Roman" w:eastAsiaTheme="minorEastAsia"/>
                <w:color w:val="000000" w:themeColor="text1"/>
                <w:sz w:val="21"/>
                <w:szCs w:val="21"/>
                <w14:textFill>
                  <w14:solidFill>
                    <w14:schemeClr w14:val="tx1"/>
                  </w14:solidFill>
                </w14:textFill>
              </w:rPr>
              <w:t>侧外1m</w:t>
            </w:r>
          </w:p>
        </w:tc>
        <w:tc>
          <w:tcPr>
            <w:tcW w:w="94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等效连续A</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声级LAeq</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281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厂</w:t>
            </w:r>
            <w:r>
              <w:rPr>
                <w:rFonts w:ascii="Times New Roman" w:eastAsiaTheme="minorEastAsia"/>
                <w:color w:val="000000" w:themeColor="text1"/>
                <w:sz w:val="21"/>
                <w:szCs w:val="21"/>
                <w14:textFill>
                  <w14:solidFill>
                    <w14:schemeClr w14:val="tx1"/>
                  </w14:solidFill>
                </w14:textFill>
              </w:rPr>
              <w:t>界</w:t>
            </w:r>
            <w:r>
              <w:rPr>
                <w:rFonts w:hint="eastAsia" w:ascii="Times New Roman" w:eastAsiaTheme="minorEastAsia"/>
                <w:color w:val="000000" w:themeColor="text1"/>
                <w:sz w:val="21"/>
                <w:szCs w:val="21"/>
                <w14:textFill>
                  <w14:solidFill>
                    <w14:schemeClr w14:val="tx1"/>
                  </w14:solidFill>
                </w14:textFill>
              </w:rPr>
              <w:t>南</w:t>
            </w:r>
            <w:r>
              <w:rPr>
                <w:rFonts w:ascii="Times New Roman" w:eastAsiaTheme="minorEastAsia"/>
                <w:color w:val="000000" w:themeColor="text1"/>
                <w:sz w:val="21"/>
                <w:szCs w:val="21"/>
                <w14:textFill>
                  <w14:solidFill>
                    <w14:schemeClr w14:val="tx1"/>
                  </w14:solidFill>
                </w14:textFill>
              </w:rPr>
              <w:t>侧外1m</w:t>
            </w:r>
          </w:p>
        </w:tc>
        <w:tc>
          <w:tcPr>
            <w:tcW w:w="94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281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厂</w:t>
            </w:r>
            <w:r>
              <w:rPr>
                <w:rFonts w:ascii="Times New Roman" w:eastAsiaTheme="minorEastAsia"/>
                <w:color w:val="000000" w:themeColor="text1"/>
                <w:sz w:val="21"/>
                <w:szCs w:val="21"/>
                <w14:textFill>
                  <w14:solidFill>
                    <w14:schemeClr w14:val="tx1"/>
                  </w14:solidFill>
                </w14:textFill>
              </w:rPr>
              <w:t>界</w:t>
            </w:r>
            <w:r>
              <w:rPr>
                <w:rFonts w:hint="eastAsia" w:ascii="Times New Roman" w:eastAsiaTheme="minorEastAsia"/>
                <w:color w:val="000000" w:themeColor="text1"/>
                <w:sz w:val="21"/>
                <w:szCs w:val="21"/>
                <w14:textFill>
                  <w14:solidFill>
                    <w14:schemeClr w14:val="tx1"/>
                  </w14:solidFill>
                </w14:textFill>
              </w:rPr>
              <w:t>西</w:t>
            </w:r>
            <w:r>
              <w:rPr>
                <w:rFonts w:ascii="Times New Roman" w:eastAsiaTheme="minorEastAsia"/>
                <w:color w:val="000000" w:themeColor="text1"/>
                <w:sz w:val="21"/>
                <w:szCs w:val="21"/>
                <w14:textFill>
                  <w14:solidFill>
                    <w14:schemeClr w14:val="tx1"/>
                  </w14:solidFill>
                </w14:textFill>
              </w:rPr>
              <w:t>侧外1m</w:t>
            </w:r>
          </w:p>
        </w:tc>
        <w:tc>
          <w:tcPr>
            <w:tcW w:w="94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281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厂</w:t>
            </w:r>
            <w:r>
              <w:rPr>
                <w:rFonts w:ascii="Times New Roman" w:eastAsiaTheme="minorEastAsia"/>
                <w:color w:val="000000" w:themeColor="text1"/>
                <w:sz w:val="21"/>
                <w:szCs w:val="21"/>
                <w14:textFill>
                  <w14:solidFill>
                    <w14:schemeClr w14:val="tx1"/>
                  </w14:solidFill>
                </w14:textFill>
              </w:rPr>
              <w:t>界</w:t>
            </w:r>
            <w:r>
              <w:rPr>
                <w:rFonts w:hint="eastAsia" w:ascii="Times New Roman" w:eastAsiaTheme="minorEastAsia"/>
                <w:color w:val="000000" w:themeColor="text1"/>
                <w:sz w:val="21"/>
                <w:szCs w:val="21"/>
                <w14:textFill>
                  <w14:solidFill>
                    <w14:schemeClr w14:val="tx1"/>
                  </w14:solidFill>
                </w14:textFill>
              </w:rPr>
              <w:t>北</w:t>
            </w:r>
            <w:r>
              <w:rPr>
                <w:rFonts w:ascii="Times New Roman" w:eastAsiaTheme="minorEastAsia"/>
                <w:color w:val="000000" w:themeColor="text1"/>
                <w:sz w:val="21"/>
                <w:szCs w:val="21"/>
                <w14:textFill>
                  <w14:solidFill>
                    <w14:schemeClr w14:val="tx1"/>
                  </w14:solidFill>
                </w14:textFill>
              </w:rPr>
              <w:t>侧外1m</w:t>
            </w:r>
          </w:p>
        </w:tc>
        <w:tc>
          <w:tcPr>
            <w:tcW w:w="94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（3）监测时间与频率</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监测时间为202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11</w:t>
      </w:r>
      <w:r>
        <w:rPr>
          <w:rFonts w:ascii="Times New Roman" w:hAnsi="Times New Roman" w:cs="Times New Roman" w:eastAsiaTheme="minorEastAsia"/>
          <w:color w:val="000000" w:themeColor="text1"/>
          <w:sz w:val="24"/>
          <w:szCs w:val="24"/>
          <w:lang w:val="en-US"/>
          <w14:textFill>
            <w14:solidFill>
              <w14:schemeClr w14:val="tx1"/>
            </w14:solidFill>
          </w14:textFill>
        </w:rPr>
        <w:t>月</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日连续监测2天，分昼、夜两个时段进行监测。</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监测期间企业处于正常生产运行状态。</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（4）监测方法：具体监测方法按《声环境</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质量</w:t>
      </w:r>
      <w:r>
        <w:rPr>
          <w:rFonts w:ascii="Times New Roman" w:hAnsi="Times New Roman" w:cs="Times New Roman" w:eastAsiaTheme="minorEastAsia"/>
          <w:color w:val="000000" w:themeColor="text1"/>
          <w:sz w:val="24"/>
          <w:szCs w:val="24"/>
          <w:lang w:val="en-US"/>
          <w14:textFill>
            <w14:solidFill>
              <w14:schemeClr w14:val="tx1"/>
            </w14:solidFill>
          </w14:textFill>
        </w:rPr>
        <w:t>标准》（GB</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3096</w:t>
      </w:r>
      <w:r>
        <w:rPr>
          <w:rFonts w:ascii="Times New Roman" w:hAnsi="Times New Roman" w:cs="Times New Roman" w:eastAsiaTheme="minorEastAsia"/>
          <w:color w:val="000000" w:themeColor="text1"/>
          <w:sz w:val="24"/>
          <w:szCs w:val="24"/>
          <w:lang w:val="en-US"/>
          <w14:textFill>
            <w14:solidFill>
              <w14:schemeClr w14:val="tx1"/>
            </w14:solidFill>
          </w14:textFill>
        </w:rPr>
        <w:t>-2008）执行。</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（5）监测结果</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监测结果见表4-2-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bookmarkStart w:id="161" w:name="_Toc234557189"/>
      <w:r>
        <w:rPr>
          <w:rFonts w:ascii="Times New Roman" w:hAnsiTheme="minorEastAsia" w:eastAsiaTheme="minorEastAsia"/>
          <w:b/>
          <w:bCs/>
          <w:color w:val="000000" w:themeColor="text1"/>
          <w:szCs w:val="24"/>
          <w14:textFill>
            <w14:solidFill>
              <w14:schemeClr w14:val="tx1"/>
            </w14:solidFill>
          </w14:textFill>
        </w:rPr>
        <w:t>表4-2-</w:t>
      </w:r>
      <w:r>
        <w:rPr>
          <w:rFonts w:hint="eastAsia" w:ascii="Times New Roman" w:hAnsiTheme="minorEastAsia" w:eastAsiaTheme="minorEastAsia"/>
          <w:b/>
          <w:bCs/>
          <w:color w:val="000000" w:themeColor="text1"/>
          <w:szCs w:val="24"/>
          <w14:textFill>
            <w14:solidFill>
              <w14:schemeClr w14:val="tx1"/>
            </w14:solidFill>
          </w14:textFill>
        </w:rPr>
        <w:t xml:space="preserve">7 </w:t>
      </w:r>
      <w:r>
        <w:rPr>
          <w:rFonts w:ascii="Times New Roman" w:hAnsiTheme="minorEastAsia" w:eastAsiaTheme="minorEastAsia"/>
          <w:b/>
          <w:bCs/>
          <w:color w:val="000000" w:themeColor="text1"/>
          <w:szCs w:val="24"/>
          <w14:textFill>
            <w14:solidFill>
              <w14:schemeClr w14:val="tx1"/>
            </w14:solidFill>
          </w14:textFill>
        </w:rPr>
        <w:t>噪声监测结果</w:t>
      </w:r>
      <w:r>
        <w:rPr>
          <w:rFonts w:hint="eastAsia" w:ascii="Times New Roman" w:hAnsiTheme="minorEastAsia" w:eastAsiaTheme="minorEastAsia"/>
          <w:b/>
          <w:bCs/>
          <w:color w:val="000000" w:themeColor="text1"/>
          <w:szCs w:val="24"/>
          <w14:textFill>
            <w14:solidFill>
              <w14:schemeClr w14:val="tx1"/>
            </w14:solidFill>
          </w14:textFill>
        </w:rPr>
        <w:t xml:space="preserve">   </w:t>
      </w:r>
      <w:r>
        <w:rPr>
          <w:rFonts w:ascii="Times New Roman" w:hAnsiTheme="minorEastAsia" w:eastAsiaTheme="minorEastAsia"/>
          <w:b/>
          <w:bCs/>
          <w:color w:val="000000" w:themeColor="text1"/>
          <w:szCs w:val="24"/>
          <w14:textFill>
            <w14:solidFill>
              <w14:schemeClr w14:val="tx1"/>
            </w14:solidFill>
          </w14:textFill>
        </w:rPr>
        <w:t>单位：LeqdB（A）</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32"/>
        <w:gridCol w:w="1372"/>
        <w:gridCol w:w="1372"/>
        <w:gridCol w:w="1377"/>
        <w:gridCol w:w="13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77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检测地点</w:t>
            </w:r>
          </w:p>
        </w:tc>
        <w:tc>
          <w:tcPr>
            <w:tcW w:w="3221" w:type="pct"/>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检测结果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77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10"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w:t>
            </w: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11</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4</w:t>
            </w:r>
          </w:p>
        </w:tc>
        <w:tc>
          <w:tcPr>
            <w:tcW w:w="1611"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w:t>
            </w: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11</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177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昼间</w:t>
            </w:r>
          </w:p>
        </w:tc>
        <w:tc>
          <w:tcPr>
            <w:tcW w:w="8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夜间</w:t>
            </w:r>
          </w:p>
        </w:tc>
        <w:tc>
          <w:tcPr>
            <w:tcW w:w="80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昼间</w:t>
            </w:r>
          </w:p>
        </w:tc>
        <w:tc>
          <w:tcPr>
            <w:tcW w:w="80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●1#场界</w:t>
            </w:r>
            <w:r>
              <w:rPr>
                <w:rFonts w:hint="eastAsia" w:ascii="Times New Roman" w:eastAsiaTheme="minorEastAsia"/>
                <w:color w:val="000000" w:themeColor="text1"/>
                <w:sz w:val="21"/>
                <w:szCs w:val="21"/>
                <w14:textFill>
                  <w14:solidFill>
                    <w14:schemeClr w14:val="tx1"/>
                  </w14:solidFill>
                </w14:textFill>
              </w:rPr>
              <w:t>东</w:t>
            </w:r>
            <w:r>
              <w:rPr>
                <w:rFonts w:ascii="Times New Roman" w:eastAsiaTheme="minorEastAsia"/>
                <w:color w:val="000000" w:themeColor="text1"/>
                <w:sz w:val="21"/>
                <w:szCs w:val="21"/>
                <w14:textFill>
                  <w14:solidFill>
                    <w14:schemeClr w14:val="tx1"/>
                  </w14:solidFill>
                </w14:textFill>
              </w:rPr>
              <w:t>侧外1m</w:t>
            </w:r>
          </w:p>
        </w:tc>
        <w:tc>
          <w:tcPr>
            <w:tcW w:w="8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53</w:t>
            </w:r>
          </w:p>
        </w:tc>
        <w:tc>
          <w:tcPr>
            <w:tcW w:w="8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41</w:t>
            </w:r>
          </w:p>
        </w:tc>
        <w:tc>
          <w:tcPr>
            <w:tcW w:w="80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54</w:t>
            </w:r>
          </w:p>
        </w:tc>
        <w:tc>
          <w:tcPr>
            <w:tcW w:w="80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●2#场界</w:t>
            </w:r>
            <w:r>
              <w:rPr>
                <w:rFonts w:hint="eastAsia" w:ascii="Times New Roman" w:eastAsiaTheme="minorEastAsia"/>
                <w:color w:val="000000" w:themeColor="text1"/>
                <w:sz w:val="21"/>
                <w:szCs w:val="21"/>
                <w14:textFill>
                  <w14:solidFill>
                    <w14:schemeClr w14:val="tx1"/>
                  </w14:solidFill>
                </w14:textFill>
              </w:rPr>
              <w:t>南</w:t>
            </w:r>
            <w:r>
              <w:rPr>
                <w:rFonts w:ascii="Times New Roman" w:eastAsiaTheme="minorEastAsia"/>
                <w:color w:val="000000" w:themeColor="text1"/>
                <w:sz w:val="21"/>
                <w:szCs w:val="21"/>
                <w14:textFill>
                  <w14:solidFill>
                    <w14:schemeClr w14:val="tx1"/>
                  </w14:solidFill>
                </w14:textFill>
              </w:rPr>
              <w:t>侧外1m</w:t>
            </w:r>
          </w:p>
        </w:tc>
        <w:tc>
          <w:tcPr>
            <w:tcW w:w="8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w:t>
            </w:r>
          </w:p>
        </w:tc>
        <w:tc>
          <w:tcPr>
            <w:tcW w:w="8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42</w:t>
            </w:r>
          </w:p>
        </w:tc>
        <w:tc>
          <w:tcPr>
            <w:tcW w:w="80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49</w:t>
            </w:r>
          </w:p>
        </w:tc>
        <w:tc>
          <w:tcPr>
            <w:tcW w:w="80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●3#场界</w:t>
            </w:r>
            <w:r>
              <w:rPr>
                <w:rFonts w:hint="eastAsia" w:ascii="Times New Roman" w:eastAsiaTheme="minorEastAsia"/>
                <w:color w:val="000000" w:themeColor="text1"/>
                <w:sz w:val="21"/>
                <w:szCs w:val="21"/>
                <w14:textFill>
                  <w14:solidFill>
                    <w14:schemeClr w14:val="tx1"/>
                  </w14:solidFill>
                </w14:textFill>
              </w:rPr>
              <w:t>西</w:t>
            </w:r>
            <w:r>
              <w:rPr>
                <w:rFonts w:ascii="Times New Roman" w:eastAsiaTheme="minorEastAsia"/>
                <w:color w:val="000000" w:themeColor="text1"/>
                <w:sz w:val="21"/>
                <w:szCs w:val="21"/>
                <w14:textFill>
                  <w14:solidFill>
                    <w14:schemeClr w14:val="tx1"/>
                  </w14:solidFill>
                </w14:textFill>
              </w:rPr>
              <w:t>侧外1m</w:t>
            </w:r>
          </w:p>
        </w:tc>
        <w:tc>
          <w:tcPr>
            <w:tcW w:w="8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46</w:t>
            </w:r>
          </w:p>
        </w:tc>
        <w:tc>
          <w:tcPr>
            <w:tcW w:w="8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38</w:t>
            </w:r>
          </w:p>
        </w:tc>
        <w:tc>
          <w:tcPr>
            <w:tcW w:w="80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w:t>
            </w:r>
          </w:p>
        </w:tc>
        <w:tc>
          <w:tcPr>
            <w:tcW w:w="80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●4#场界</w:t>
            </w:r>
            <w:r>
              <w:rPr>
                <w:rFonts w:hint="eastAsia" w:ascii="Times New Roman" w:eastAsiaTheme="minorEastAsia"/>
                <w:color w:val="000000" w:themeColor="text1"/>
                <w:sz w:val="21"/>
                <w:szCs w:val="21"/>
                <w14:textFill>
                  <w14:solidFill>
                    <w14:schemeClr w14:val="tx1"/>
                  </w14:solidFill>
                </w14:textFill>
              </w:rPr>
              <w:t>北</w:t>
            </w:r>
            <w:r>
              <w:rPr>
                <w:rFonts w:ascii="Times New Roman" w:eastAsiaTheme="minorEastAsia"/>
                <w:color w:val="000000" w:themeColor="text1"/>
                <w:sz w:val="21"/>
                <w:szCs w:val="21"/>
                <w14:textFill>
                  <w14:solidFill>
                    <w14:schemeClr w14:val="tx1"/>
                  </w14:solidFill>
                </w14:textFill>
              </w:rPr>
              <w:t>侧外1m</w:t>
            </w:r>
          </w:p>
        </w:tc>
        <w:tc>
          <w:tcPr>
            <w:tcW w:w="8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w:t>
            </w:r>
          </w:p>
        </w:tc>
        <w:tc>
          <w:tcPr>
            <w:tcW w:w="80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32</w:t>
            </w:r>
          </w:p>
        </w:tc>
        <w:tc>
          <w:tcPr>
            <w:tcW w:w="80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49</w:t>
            </w:r>
          </w:p>
        </w:tc>
        <w:tc>
          <w:tcPr>
            <w:tcW w:w="80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w:t>
            </w:r>
          </w:p>
        </w:tc>
      </w:tr>
    </w:tbl>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162" w:name="_Toc465668758"/>
      <w:bookmarkStart w:id="163" w:name="_Toc239836130"/>
      <w:bookmarkStart w:id="164" w:name="_Toc258621304"/>
      <w:r>
        <w:rPr>
          <w:rFonts w:ascii="Times New Roman" w:hAnsi="Times New Roman" w:cs="Times New Roman" w:eastAsiaTheme="minorEastAsia"/>
          <w:color w:val="000000" w:themeColor="text1"/>
          <w:sz w:val="24"/>
          <w:szCs w:val="24"/>
          <w:lang w:val="en-US" w:bidi="ar-SA"/>
          <w14:textFill>
            <w14:solidFill>
              <w14:schemeClr w14:val="tx1"/>
            </w14:solidFill>
          </w14:textFill>
        </w:rPr>
        <w:t>4.2.3.2现状评价</w:t>
      </w:r>
      <w:bookmarkEnd w:id="161"/>
      <w:bookmarkEnd w:id="162"/>
      <w:bookmarkEnd w:id="163"/>
      <w:bookmarkEnd w:id="164"/>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（1）评价方法</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根据噪声现状的监测统计结果，采用与评价标准直接比较的方法（单因子法）对评价范围内的声环境质量现状进行评价。</w:t>
      </w:r>
      <w:bookmarkStart w:id="165" w:name="_Toc186283571"/>
      <w:bookmarkStart w:id="166" w:name="_Toc176865925"/>
      <w:bookmarkStart w:id="167" w:name="_Toc197915889"/>
      <w:bookmarkStart w:id="168" w:name="_Toc188855745"/>
      <w:bookmarkStart w:id="169" w:name="_Toc199656952"/>
      <w:bookmarkStart w:id="170" w:name="_Toc186283570"/>
      <w:bookmarkStart w:id="171" w:name="_Toc176865926"/>
      <w:bookmarkStart w:id="172" w:name="_Toc186283772"/>
      <w:bookmarkStart w:id="173" w:name="_Toc188855744"/>
      <w:bookmarkStart w:id="174" w:name="_Toc186283773"/>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（2）评价标准</w:t>
      </w:r>
      <w:bookmarkStart w:id="175" w:name="_Toc186283774"/>
      <w:bookmarkStart w:id="176" w:name="_Toc186283572"/>
      <w:bookmarkStart w:id="177" w:name="_Toc233536384"/>
      <w:bookmarkStart w:id="178" w:name="_Toc188855746"/>
      <w:bookmarkStart w:id="179" w:name="_Toc176865927"/>
      <w:bookmarkStart w:id="180" w:name="_Toc234557190"/>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以等效连续A声级Leq为评价量，厂界采用《声环境质量标准》（GB3096-2008）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类声环境功能区标准，具体标准值见表4-2-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表4-2-</w:t>
      </w:r>
      <w:r>
        <w:rPr>
          <w:rFonts w:hint="eastAsia" w:ascii="Times New Roman" w:hAnsiTheme="minorEastAsia" w:eastAsiaTheme="minorEastAsia"/>
          <w:b/>
          <w:bCs/>
          <w:color w:val="000000" w:themeColor="text1"/>
          <w:szCs w:val="24"/>
          <w14:textFill>
            <w14:solidFill>
              <w14:schemeClr w14:val="tx1"/>
            </w14:solidFill>
          </w14:textFill>
        </w:rPr>
        <w:t xml:space="preserve">8 </w:t>
      </w:r>
      <w:r>
        <w:rPr>
          <w:rFonts w:ascii="Times New Roman" w:hAnsiTheme="minorEastAsia" w:eastAsiaTheme="minorEastAsia"/>
          <w:b/>
          <w:bCs/>
          <w:color w:val="000000" w:themeColor="text1"/>
          <w:szCs w:val="24"/>
          <w14:textFill>
            <w14:solidFill>
              <w14:schemeClr w14:val="tx1"/>
            </w14:solidFill>
          </w14:textFill>
        </w:rPr>
        <w:t>声环境质量标准Leq[dB(A)]</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60"/>
        <w:gridCol w:w="2659"/>
        <w:gridCol w:w="32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6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类别</w:t>
            </w:r>
          </w:p>
        </w:tc>
        <w:tc>
          <w:tcPr>
            <w:tcW w:w="156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昼间</w:t>
            </w:r>
          </w:p>
        </w:tc>
        <w:tc>
          <w:tcPr>
            <w:tcW w:w="18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156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p>
        </w:tc>
        <w:tc>
          <w:tcPr>
            <w:tcW w:w="156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60</w:t>
            </w:r>
          </w:p>
        </w:tc>
        <w:tc>
          <w:tcPr>
            <w:tcW w:w="18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w:t>
            </w:r>
          </w:p>
        </w:tc>
      </w:tr>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（3）现状评价结论</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从噪声现状监测结果来看，本项目所在地厂界声环境现状质量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均能够</w:t>
      </w:r>
      <w:r>
        <w:rPr>
          <w:rFonts w:ascii="Times New Roman" w:hAnsi="Times New Roman" w:cs="Times New Roman" w:eastAsiaTheme="minorEastAsia"/>
          <w:color w:val="000000" w:themeColor="text1"/>
          <w:sz w:val="24"/>
          <w:szCs w:val="24"/>
          <w:lang w:val="en-US"/>
          <w14:textFill>
            <w14:solidFill>
              <w14:schemeClr w14:val="tx1"/>
            </w14:solidFill>
          </w14:textFill>
        </w:rPr>
        <w:t>满足《声环境质量标准》（GB3096-2008）中</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类声环境功能区标准，声环境质量较好。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89"/>
        <w:ind w:firstLine="177"/>
        <w:rPr>
          <w:color w:val="000000" w:themeColor="text1"/>
          <w:lang w:val="en-US"/>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95104" behindDoc="0" locked="0" layoutInCell="1" allowOverlap="1">
            <wp:simplePos x="0" y="0"/>
            <wp:positionH relativeFrom="column">
              <wp:posOffset>571500</wp:posOffset>
            </wp:positionH>
            <wp:positionV relativeFrom="paragraph">
              <wp:posOffset>-167640</wp:posOffset>
            </wp:positionV>
            <wp:extent cx="4279265" cy="2931160"/>
            <wp:effectExtent l="0" t="0" r="6985" b="2540"/>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4279265" cy="2931160"/>
                    </a:xfrm>
                    <a:prstGeom prst="rect">
                      <a:avLst/>
                    </a:prstGeom>
                  </pic:spPr>
                </pic:pic>
              </a:graphicData>
            </a:graphic>
          </wp:anchor>
        </w:drawing>
      </w:r>
    </w:p>
    <w:p>
      <w:pPr>
        <w:ind w:firstLine="177"/>
        <w:rPr>
          <w:rFonts w:cs="Times New Roman" w:hAnsiTheme="minorEastAsia" w:eastAsiaTheme="minorEastAsia"/>
          <w:b/>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38112" behindDoc="0" locked="0" layoutInCell="1" allowOverlap="1">
            <wp:simplePos x="0" y="0"/>
            <wp:positionH relativeFrom="column">
              <wp:posOffset>3856990</wp:posOffset>
            </wp:positionH>
            <wp:positionV relativeFrom="paragraph">
              <wp:posOffset>-114300</wp:posOffset>
            </wp:positionV>
            <wp:extent cx="934720" cy="876300"/>
            <wp:effectExtent l="0" t="0" r="0" b="0"/>
            <wp:wrapNone/>
            <wp:docPr id="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2"/>
                    <pic:cNvPicPr>
                      <a:picLocks noChangeAspect="1"/>
                    </pic:cNvPicPr>
                  </pic:nvPicPr>
                  <pic:blipFill>
                    <a:blip r:embed="rId26"/>
                    <a:stretch>
                      <a:fillRect/>
                    </a:stretch>
                  </pic:blipFill>
                  <pic:spPr>
                    <a:xfrm>
                      <a:off x="0" y="0"/>
                      <a:ext cx="934720" cy="876300"/>
                    </a:xfrm>
                    <a:prstGeom prst="rect">
                      <a:avLst/>
                    </a:prstGeom>
                    <a:noFill/>
                    <a:ln>
                      <a:noFill/>
                    </a:ln>
                  </pic:spPr>
                </pic:pic>
              </a:graphicData>
            </a:graphic>
          </wp:anchor>
        </w:drawing>
      </w:r>
      <w:r>
        <w:rPr>
          <w:color w:val="000000" w:themeColor="text1"/>
          <w:lang w:val="en-US" w:bidi="ar-SA"/>
          <w14:textFill>
            <w14:solidFill>
              <w14:schemeClr w14:val="tx1"/>
            </w14:solidFill>
          </w14:textFill>
        </w:rPr>
        <w:drawing>
          <wp:anchor distT="0" distB="0" distL="114300" distR="114300" simplePos="0" relativeHeight="251696128" behindDoc="0" locked="0" layoutInCell="1" allowOverlap="1">
            <wp:simplePos x="0" y="0"/>
            <wp:positionH relativeFrom="column">
              <wp:posOffset>4067175</wp:posOffset>
            </wp:positionH>
            <wp:positionV relativeFrom="paragraph">
              <wp:posOffset>-72390</wp:posOffset>
            </wp:positionV>
            <wp:extent cx="695325" cy="652780"/>
            <wp:effectExtent l="0" t="0" r="9525" b="0"/>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695325" cy="652780"/>
                    </a:xfrm>
                    <a:prstGeom prst="rect">
                      <a:avLst/>
                    </a:prstGeom>
                  </pic:spPr>
                </pic:pic>
              </a:graphicData>
            </a:graphic>
          </wp:anchor>
        </w:drawing>
      </w: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图4-2-</w:t>
      </w:r>
      <w:r>
        <w:rPr>
          <w:rFonts w:hint="eastAsia" w:ascii="Times New Roman" w:hAnsiTheme="minorEastAsia" w:eastAsiaTheme="minorEastAsia"/>
          <w:b/>
          <w:bCs/>
          <w:color w:val="000000" w:themeColor="text1"/>
          <w:szCs w:val="24"/>
          <w14:textFill>
            <w14:solidFill>
              <w14:schemeClr w14:val="tx1"/>
            </w14:solidFill>
          </w14:textFill>
        </w:rPr>
        <w:t>2</w:t>
      </w:r>
      <w:r>
        <w:rPr>
          <w:rFonts w:ascii="Times New Roman" w:hAnsiTheme="minorEastAsia" w:eastAsiaTheme="minorEastAsia"/>
          <w:b/>
          <w:bCs/>
          <w:color w:val="000000" w:themeColor="text1"/>
          <w:szCs w:val="24"/>
          <w14:textFill>
            <w14:solidFill>
              <w14:schemeClr w14:val="tx1"/>
            </w14:solidFill>
          </w14:textFill>
        </w:rPr>
        <w:t>噪声监测点位示意图</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81" w:name="_Toc36411177"/>
      <w:bookmarkStart w:id="182" w:name="_Toc532974738"/>
      <w:r>
        <w:rPr>
          <w:rFonts w:ascii="Times New Roman" w:hAnsi="Times New Roman" w:eastAsia="新宋体" w:cstheme="minorBidi"/>
          <w:color w:val="000000" w:themeColor="text1"/>
          <w:szCs w:val="24"/>
          <w:lang w:val="en-US" w:bidi="ar-SA"/>
          <w14:textFill>
            <w14:solidFill>
              <w14:schemeClr w14:val="tx1"/>
            </w14:solidFill>
          </w14:textFill>
        </w:rPr>
        <w:t>4.2.</w:t>
      </w:r>
      <w:r>
        <w:rPr>
          <w:rFonts w:hint="eastAsia" w:ascii="Times New Roman" w:hAnsi="Times New Roman" w:eastAsia="新宋体" w:cstheme="minorBidi"/>
          <w:color w:val="000000" w:themeColor="text1"/>
          <w:szCs w:val="24"/>
          <w:lang w:val="en-US" w:bidi="ar-SA"/>
          <w14:textFill>
            <w14:solidFill>
              <w14:schemeClr w14:val="tx1"/>
            </w14:solidFill>
          </w14:textFill>
        </w:rPr>
        <w:t>4土壤环境质量现状监测与评价</w:t>
      </w:r>
      <w:bookmarkEnd w:id="181"/>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4.2.</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4</w:t>
      </w:r>
      <w:r>
        <w:rPr>
          <w:rFonts w:ascii="Times New Roman" w:hAnsi="Times New Roman" w:cs="Times New Roman" w:eastAsiaTheme="minorEastAsia"/>
          <w:color w:val="000000" w:themeColor="text1"/>
          <w:sz w:val="24"/>
          <w:szCs w:val="24"/>
          <w:lang w:val="en-US" w:bidi="ar-SA"/>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监测布点</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根据土壤生态影响和污染影响评价等级、土壤污染源分布情况、土地利用类型及土壤类型，监测布点方案如下：厂址内布置</w:t>
      </w:r>
      <w:r>
        <w:rPr>
          <w:rFonts w:ascii="Times New Roman" w:hAnsi="Times New Roman" w:cs="Times New Roman" w:eastAsiaTheme="minorEastAsia"/>
          <w:color w:val="000000" w:themeColor="text1"/>
          <w:sz w:val="24"/>
          <w:szCs w:val="24"/>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个监测点位，</w:t>
      </w:r>
      <w:r>
        <w:rPr>
          <w:rFonts w:ascii="Times New Roman" w:hAnsi="Times New Roman" w:cs="Times New Roman" w:eastAsiaTheme="minorEastAsia"/>
          <w:color w:val="000000" w:themeColor="text1"/>
          <w:sz w:val="24"/>
          <w:szCs w:val="24"/>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个表层样，其中</w:t>
      </w: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位于厂区内东南侧位置（空地）、</w:t>
      </w:r>
      <w:r>
        <w:rPr>
          <w:rFonts w:ascii="Times New Roman" w:hAnsi="Times New Roman" w:cs="Times New Roman" w:eastAsiaTheme="minorEastAsia"/>
          <w:color w:val="000000" w:themeColor="text1"/>
          <w:sz w:val="24"/>
          <w:szCs w:val="24"/>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位于厂区西南侧位置（储煤场位置）、</w:t>
      </w:r>
      <w:r>
        <w:rPr>
          <w:rFonts w:ascii="Times New Roman" w:hAnsi="Times New Roman" w:cs="Times New Roman" w:eastAsiaTheme="minorEastAsia"/>
          <w:color w:val="000000" w:themeColor="text1"/>
          <w:sz w:val="24"/>
          <w:szCs w:val="24"/>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位于厂区内西北侧位置（本次扩建锅炉房位置）；监测点分布见图</w:t>
      </w:r>
      <w:r>
        <w:rPr>
          <w:rFonts w:ascii="Times New Roman" w:hAnsi="Times New Roman" w:cs="Times New Roman" w:eastAsiaTheme="minorEastAsia"/>
          <w:color w:val="000000" w:themeColor="text1"/>
          <w:sz w:val="24"/>
          <w:szCs w:val="24"/>
          <w:lang w:val="en-US"/>
          <w14:textFill>
            <w14:solidFill>
              <w14:schemeClr w14:val="tx1"/>
            </w14:solidFill>
          </w14:textFill>
        </w:rPr>
        <w:t>4-2-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p>
    <w:p>
      <w:pPr>
        <w:pStyle w:val="95"/>
        <w:jc w:val="center"/>
        <w:rPr>
          <w:rFonts w:ascii="Times New Roman" w:eastAsiaTheme="minorEastAsia"/>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701248" behindDoc="0" locked="0" layoutInCell="1" allowOverlap="1">
            <wp:simplePos x="0" y="0"/>
            <wp:positionH relativeFrom="column">
              <wp:posOffset>3820160</wp:posOffset>
            </wp:positionH>
            <wp:positionV relativeFrom="paragraph">
              <wp:posOffset>62865</wp:posOffset>
            </wp:positionV>
            <wp:extent cx="934720" cy="876300"/>
            <wp:effectExtent l="0" t="0" r="0" b="0"/>
            <wp:wrapNone/>
            <wp:docPr id="9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2"/>
                    <pic:cNvPicPr>
                      <a:picLocks noChangeAspect="1"/>
                    </pic:cNvPicPr>
                  </pic:nvPicPr>
                  <pic:blipFill>
                    <a:blip r:embed="rId26"/>
                    <a:stretch>
                      <a:fillRect/>
                    </a:stretch>
                  </pic:blipFill>
                  <pic:spPr>
                    <a:xfrm>
                      <a:off x="0" y="0"/>
                      <a:ext cx="934720" cy="876300"/>
                    </a:xfrm>
                    <a:prstGeom prst="rect">
                      <a:avLst/>
                    </a:prstGeom>
                    <a:noFill/>
                    <a:ln>
                      <a:noFill/>
                    </a:ln>
                  </pic:spPr>
                </pic:pic>
              </a:graphicData>
            </a:graphic>
          </wp:anchor>
        </w:drawing>
      </w:r>
      <w:r>
        <w:rPr>
          <w:color w:val="000000" w:themeColor="text1"/>
          <w14:textFill>
            <w14:solidFill>
              <w14:schemeClr w14:val="tx1"/>
            </w14:solidFill>
          </w14:textFill>
        </w:rPr>
        <w:drawing>
          <wp:anchor distT="0" distB="0" distL="114300" distR="114300" simplePos="0" relativeHeight="251669504" behindDoc="0" locked="0" layoutInCell="1" allowOverlap="1">
            <wp:simplePos x="0" y="0"/>
            <wp:positionH relativeFrom="column">
              <wp:posOffset>4067175</wp:posOffset>
            </wp:positionH>
            <wp:positionV relativeFrom="paragraph">
              <wp:posOffset>57785</wp:posOffset>
            </wp:positionV>
            <wp:extent cx="695325" cy="652780"/>
            <wp:effectExtent l="0" t="0" r="9525" b="0"/>
            <wp:wrapNone/>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695325" cy="652780"/>
                    </a:xfrm>
                    <a:prstGeom prst="rect">
                      <a:avLst/>
                    </a:prstGeom>
                  </pic:spPr>
                </pic:pic>
              </a:graphicData>
            </a:graphic>
          </wp:anchor>
        </w:drawing>
      </w:r>
      <w:r>
        <w:rPr>
          <w:color w:val="000000" w:themeColor="text1"/>
          <w14:textFill>
            <w14:solidFill>
              <w14:schemeClr w14:val="tx1"/>
            </w14:solidFill>
          </w14:textFill>
        </w:rPr>
        <w:drawing>
          <wp:inline distT="0" distB="0" distL="0" distR="0">
            <wp:extent cx="4326255" cy="335280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55"/>
                    <a:stretch>
                      <a:fillRect/>
                    </a:stretch>
                  </pic:blipFill>
                  <pic:spPr>
                    <a:xfrm>
                      <a:off x="0" y="0"/>
                      <a:ext cx="4331093" cy="3356095"/>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4-2-</w:t>
      </w:r>
      <w:r>
        <w:rPr>
          <w:rFonts w:hint="eastAsia" w:ascii="Times New Roman" w:hAnsiTheme="minorEastAsia" w:eastAsiaTheme="minorEastAsia"/>
          <w:b/>
          <w:bCs/>
          <w:color w:val="000000" w:themeColor="text1"/>
          <w:szCs w:val="24"/>
          <w14:textFill>
            <w14:solidFill>
              <w14:schemeClr w14:val="tx1"/>
            </w14:solidFill>
          </w14:textFill>
        </w:rPr>
        <w:t>3土壤监测点位示意图</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4.2.</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4</w:t>
      </w:r>
      <w:r>
        <w:rPr>
          <w:rFonts w:ascii="Times New Roman" w:hAnsi="Times New Roman" w:cs="Times New Roman" w:eastAsiaTheme="minorEastAsia"/>
          <w:color w:val="000000" w:themeColor="text1"/>
          <w:sz w:val="24"/>
          <w:szCs w:val="24"/>
          <w:lang w:val="en-US" w:bidi="ar-SA"/>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监测时间</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在</w:t>
      </w:r>
      <w:r>
        <w:rPr>
          <w:rFonts w:ascii="Times New Roman" w:hAnsi="Times New Roman" w:cs="Times New Roman" w:eastAsiaTheme="minorEastAsia"/>
          <w:color w:val="000000" w:themeColor="text1"/>
          <w:sz w:val="24"/>
          <w:szCs w:val="24"/>
          <w:lang w:val="en-US"/>
          <w14:textFill>
            <w14:solidFill>
              <w14:schemeClr w14:val="tx1"/>
            </w14:solidFill>
          </w14:textFill>
        </w:rPr>
        <w:t>202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2年11月4日对厂址内土壤环境质量监测点进行采样，每个点位检测指标采样一次监测。</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4.2.</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4</w:t>
      </w:r>
      <w:r>
        <w:rPr>
          <w:rFonts w:ascii="Times New Roman" w:hAnsi="Times New Roman" w:cs="Times New Roman" w:eastAsiaTheme="minorEastAsia"/>
          <w:color w:val="000000" w:themeColor="text1"/>
          <w:sz w:val="24"/>
          <w:szCs w:val="24"/>
          <w:lang w:val="en-US" w:bidi="ar-SA"/>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监测因子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各监测点位监测因子汇总见表</w:t>
      </w:r>
      <w:r>
        <w:rPr>
          <w:rFonts w:ascii="Times New Roman" w:hAnsi="Times New Roman" w:cs="Times New Roman" w:eastAsiaTheme="minorEastAsia"/>
          <w:color w:val="000000" w:themeColor="text1"/>
          <w:sz w:val="24"/>
          <w:szCs w:val="24"/>
          <w:lang w:val="en-US"/>
          <w14:textFill>
            <w14:solidFill>
              <w14:schemeClr w14:val="tx1"/>
            </w14:solidFill>
          </w14:textFill>
        </w:rPr>
        <w:t>4-2-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表</w:t>
      </w:r>
      <w:r>
        <w:rPr>
          <w:rFonts w:ascii="Times New Roman" w:eastAsiaTheme="minorEastAsia"/>
          <w:color w:val="000000" w:themeColor="text1"/>
          <w:sz w:val="21"/>
          <w:szCs w:val="21"/>
          <w14:textFill>
            <w14:solidFill>
              <w14:schemeClr w14:val="tx1"/>
            </w14:solidFill>
          </w14:textFill>
        </w:rPr>
        <w:t>4-2-</w:t>
      </w:r>
      <w:r>
        <w:rPr>
          <w:rFonts w:hint="eastAsia" w:ascii="Times New Roman" w:eastAsiaTheme="minorEastAsia"/>
          <w:color w:val="000000" w:themeColor="text1"/>
          <w:sz w:val="21"/>
          <w:szCs w:val="21"/>
          <w14:textFill>
            <w14:solidFill>
              <w14:schemeClr w14:val="tx1"/>
            </w14:solidFill>
          </w14:textFill>
        </w:rPr>
        <w:t>9 土壤现状监测指标汇总表</w:t>
      </w:r>
    </w:p>
    <w:tbl>
      <w:tblPr>
        <w:tblStyle w:val="70"/>
        <w:tblpPr w:leftFromText="180" w:rightFromText="180" w:vertAnchor="text" w:horzAnchor="margin" w:tblpXSpec="center" w:tblpY="33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601"/>
        <w:gridCol w:w="872"/>
        <w:gridCol w:w="4249"/>
        <w:gridCol w:w="568"/>
        <w:gridCol w:w="709"/>
        <w:gridCol w:w="14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7" w:hRule="atLeast"/>
        </w:trPr>
        <w:tc>
          <w:tcPr>
            <w:tcW w:w="875"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bookmarkStart w:id="183" w:name="_Toc218321827"/>
            <w:bookmarkStart w:id="184" w:name="_Toc207005091"/>
            <w:bookmarkStart w:id="185" w:name="_Toc290541781"/>
            <w:r>
              <w:rPr>
                <w:rFonts w:hint="eastAsia" w:ascii="Times New Roman" w:eastAsiaTheme="minorEastAsia"/>
                <w:color w:val="000000" w:themeColor="text1"/>
                <w:sz w:val="21"/>
                <w:szCs w:val="21"/>
                <w14:textFill>
                  <w14:solidFill>
                    <w14:schemeClr w14:val="tx1"/>
                  </w14:solidFill>
                </w14:textFill>
              </w:rPr>
              <w:t>采样地点</w:t>
            </w:r>
          </w:p>
        </w:tc>
        <w:tc>
          <w:tcPr>
            <w:tcW w:w="2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检测项目</w:t>
            </w:r>
          </w:p>
        </w:tc>
        <w:tc>
          <w:tcPr>
            <w:tcW w:w="33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采样</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天数</w:t>
            </w:r>
          </w:p>
        </w:tc>
        <w:tc>
          <w:tcPr>
            <w:tcW w:w="42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采样频次</w:t>
            </w:r>
          </w:p>
        </w:tc>
        <w:tc>
          <w:tcPr>
            <w:tcW w:w="8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7" w:hRule="atLeast"/>
        </w:trPr>
        <w:tc>
          <w:tcPr>
            <w:tcW w:w="35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土壤监测点</w:t>
            </w:r>
          </w:p>
        </w:tc>
        <w:tc>
          <w:tcPr>
            <w:tcW w:w="5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厂区内东南侧位置（空地）</w:t>
            </w:r>
          </w:p>
        </w:tc>
        <w:tc>
          <w:tcPr>
            <w:tcW w:w="252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pH、砷、镉、铬（六价）、铜、铅、汞、镍</w:t>
            </w:r>
          </w:p>
        </w:tc>
        <w:tc>
          <w:tcPr>
            <w:tcW w:w="33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42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采样一次</w:t>
            </w:r>
          </w:p>
        </w:tc>
        <w:tc>
          <w:tcPr>
            <w:tcW w:w="8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表层样点，表层样点在</w:t>
            </w:r>
            <w:r>
              <w:rPr>
                <w:rFonts w:ascii="Times New Roman" w:eastAsiaTheme="minorEastAsia"/>
                <w:color w:val="000000" w:themeColor="text1"/>
                <w:sz w:val="21"/>
                <w:szCs w:val="21"/>
                <w14:textFill>
                  <w14:solidFill>
                    <w14:schemeClr w14:val="tx1"/>
                  </w14:solidFill>
                </w14:textFill>
              </w:rPr>
              <w:t>0~0.2m</w:t>
            </w:r>
            <w:r>
              <w:rPr>
                <w:rFonts w:hint="eastAsia" w:ascii="Times New Roman" w:eastAsiaTheme="minorEastAsia"/>
                <w:color w:val="000000" w:themeColor="text1"/>
                <w:sz w:val="21"/>
                <w:szCs w:val="21"/>
                <w14:textFill>
                  <w14:solidFill>
                    <w14:schemeClr w14:val="tx1"/>
                  </w14:solidFill>
                </w14:textFill>
              </w:rPr>
              <w:t>取样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558" w:hRule="atLeast"/>
        </w:trPr>
        <w:tc>
          <w:tcPr>
            <w:tcW w:w="35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厂区西南侧位置（储煤场位置）</w:t>
            </w:r>
          </w:p>
        </w:tc>
        <w:tc>
          <w:tcPr>
            <w:tcW w:w="2523"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砷、镉、铬（六价）、铜、铅、汞、镍、四氯化碳、氯仿、氯甲烷、</w:t>
            </w:r>
            <w:r>
              <w:rPr>
                <w:rFonts w:ascii="Times New Roman" w:eastAsiaTheme="minorEastAsia"/>
                <w:color w:val="000000" w:themeColor="text1"/>
                <w:sz w:val="21"/>
                <w:szCs w:val="21"/>
                <w14:textFill>
                  <w14:solidFill>
                    <w14:schemeClr w14:val="tx1"/>
                  </w14:solidFill>
                </w14:textFill>
              </w:rPr>
              <w:t>1,1-</w:t>
            </w:r>
            <w:r>
              <w:rPr>
                <w:rFonts w:hint="eastAsia" w:ascii="Times New Roman" w:eastAsiaTheme="minorEastAsia"/>
                <w:color w:val="000000" w:themeColor="text1"/>
                <w:sz w:val="21"/>
                <w:szCs w:val="21"/>
                <w14:textFill>
                  <w14:solidFill>
                    <w14:schemeClr w14:val="tx1"/>
                  </w14:solidFill>
                </w14:textFill>
              </w:rPr>
              <w:t>二氯乙烷、</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二氯乙烷、</w:t>
            </w:r>
            <w:r>
              <w:rPr>
                <w:rFonts w:ascii="Times New Roman" w:eastAsiaTheme="minorEastAsia"/>
                <w:color w:val="000000" w:themeColor="text1"/>
                <w:sz w:val="21"/>
                <w:szCs w:val="21"/>
                <w14:textFill>
                  <w14:solidFill>
                    <w14:schemeClr w14:val="tx1"/>
                  </w14:solidFill>
                </w14:textFill>
              </w:rPr>
              <w:t>1,1-</w:t>
            </w:r>
            <w:r>
              <w:rPr>
                <w:rFonts w:hint="eastAsia" w:ascii="Times New Roman" w:eastAsiaTheme="minorEastAsia"/>
                <w:color w:val="000000" w:themeColor="text1"/>
                <w:sz w:val="21"/>
                <w:szCs w:val="21"/>
                <w14:textFill>
                  <w14:solidFill>
                    <w14:schemeClr w14:val="tx1"/>
                  </w14:solidFill>
                </w14:textFill>
              </w:rPr>
              <w:t>二氯乙烯、顺</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二氯乙烯、反</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二氯乙烯、二氯甲烷、</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二氯丙烷、</w:t>
            </w:r>
            <w:r>
              <w:rPr>
                <w:rFonts w:ascii="Times New Roman" w:eastAsiaTheme="minorEastAsia"/>
                <w:color w:val="000000" w:themeColor="text1"/>
                <w:sz w:val="21"/>
                <w:szCs w:val="21"/>
                <w14:textFill>
                  <w14:solidFill>
                    <w14:schemeClr w14:val="tx1"/>
                  </w14:solidFill>
                </w14:textFill>
              </w:rPr>
              <w:t>1,1,1,2-</w:t>
            </w:r>
            <w:r>
              <w:rPr>
                <w:rFonts w:hint="eastAsia" w:ascii="Times New Roman" w:eastAsiaTheme="minorEastAsia"/>
                <w:color w:val="000000" w:themeColor="text1"/>
                <w:sz w:val="21"/>
                <w:szCs w:val="21"/>
                <w14:textFill>
                  <w14:solidFill>
                    <w14:schemeClr w14:val="tx1"/>
                  </w14:solidFill>
                </w14:textFill>
              </w:rPr>
              <w:t>四氯乙烷、</w:t>
            </w:r>
            <w:r>
              <w:rPr>
                <w:rFonts w:ascii="Times New Roman" w:eastAsiaTheme="minorEastAsia"/>
                <w:color w:val="000000" w:themeColor="text1"/>
                <w:sz w:val="21"/>
                <w:szCs w:val="21"/>
                <w14:textFill>
                  <w14:solidFill>
                    <w14:schemeClr w14:val="tx1"/>
                  </w14:solidFill>
                </w14:textFill>
              </w:rPr>
              <w:t>1,1,2,2-</w:t>
            </w:r>
            <w:r>
              <w:rPr>
                <w:rFonts w:hint="eastAsia" w:ascii="Times New Roman" w:eastAsiaTheme="minorEastAsia"/>
                <w:color w:val="000000" w:themeColor="text1"/>
                <w:sz w:val="21"/>
                <w:szCs w:val="21"/>
                <w14:textFill>
                  <w14:solidFill>
                    <w14:schemeClr w14:val="tx1"/>
                  </w14:solidFill>
                </w14:textFill>
              </w:rPr>
              <w:t>四氯乙烷、四氯乙烯、</w:t>
            </w:r>
            <w:r>
              <w:rPr>
                <w:rFonts w:ascii="Times New Roman" w:eastAsiaTheme="minorEastAsia"/>
                <w:color w:val="000000" w:themeColor="text1"/>
                <w:sz w:val="21"/>
                <w:szCs w:val="21"/>
                <w14:textFill>
                  <w14:solidFill>
                    <w14:schemeClr w14:val="tx1"/>
                  </w14:solidFill>
                </w14:textFill>
              </w:rPr>
              <w:t>1,1,1-</w:t>
            </w:r>
            <w:r>
              <w:rPr>
                <w:rFonts w:hint="eastAsia" w:ascii="Times New Roman" w:eastAsiaTheme="minorEastAsia"/>
                <w:color w:val="000000" w:themeColor="text1"/>
                <w:sz w:val="21"/>
                <w:szCs w:val="21"/>
                <w14:textFill>
                  <w14:solidFill>
                    <w14:schemeClr w14:val="tx1"/>
                  </w14:solidFill>
                </w14:textFill>
              </w:rPr>
              <w:t>三氯乙烷、</w:t>
            </w:r>
            <w:r>
              <w:rPr>
                <w:rFonts w:ascii="Times New Roman" w:eastAsiaTheme="minorEastAsia"/>
                <w:color w:val="000000" w:themeColor="text1"/>
                <w:sz w:val="21"/>
                <w:szCs w:val="21"/>
                <w14:textFill>
                  <w14:solidFill>
                    <w14:schemeClr w14:val="tx1"/>
                  </w14:solidFill>
                </w14:textFill>
              </w:rPr>
              <w:t>1,1,2-</w:t>
            </w:r>
            <w:r>
              <w:rPr>
                <w:rFonts w:hint="eastAsia" w:ascii="Times New Roman" w:eastAsiaTheme="minorEastAsia"/>
                <w:color w:val="000000" w:themeColor="text1"/>
                <w:sz w:val="21"/>
                <w:szCs w:val="21"/>
                <w14:textFill>
                  <w14:solidFill>
                    <w14:schemeClr w14:val="tx1"/>
                  </w14:solidFill>
                </w14:textFill>
              </w:rPr>
              <w:t>三氯乙烷、三氯乙烯、</w:t>
            </w:r>
            <w:r>
              <w:rPr>
                <w:rFonts w:ascii="Times New Roman" w:eastAsiaTheme="minorEastAsia"/>
                <w:color w:val="000000" w:themeColor="text1"/>
                <w:sz w:val="21"/>
                <w:szCs w:val="21"/>
                <w14:textFill>
                  <w14:solidFill>
                    <w14:schemeClr w14:val="tx1"/>
                  </w14:solidFill>
                </w14:textFill>
              </w:rPr>
              <w:t>1,2,3-</w:t>
            </w:r>
            <w:r>
              <w:rPr>
                <w:rFonts w:hint="eastAsia" w:ascii="Times New Roman" w:eastAsiaTheme="minorEastAsia"/>
                <w:color w:val="000000" w:themeColor="text1"/>
                <w:sz w:val="21"/>
                <w:szCs w:val="21"/>
                <w14:textFill>
                  <w14:solidFill>
                    <w14:schemeClr w14:val="tx1"/>
                  </w14:solidFill>
                </w14:textFill>
              </w:rPr>
              <w:t>三氯丙烷、氯乙烯、苯、氯苯、</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二氯苯、</w:t>
            </w:r>
            <w:r>
              <w:rPr>
                <w:rFonts w:ascii="Times New Roman" w:eastAsiaTheme="minorEastAsia"/>
                <w:color w:val="000000" w:themeColor="text1"/>
                <w:sz w:val="21"/>
                <w:szCs w:val="21"/>
                <w14:textFill>
                  <w14:solidFill>
                    <w14:schemeClr w14:val="tx1"/>
                  </w14:solidFill>
                </w14:textFill>
              </w:rPr>
              <w:t>1,4-</w:t>
            </w:r>
            <w:r>
              <w:rPr>
                <w:rFonts w:hint="eastAsia" w:ascii="Times New Roman" w:eastAsiaTheme="minorEastAsia"/>
                <w:color w:val="000000" w:themeColor="text1"/>
                <w:sz w:val="21"/>
                <w:szCs w:val="21"/>
                <w14:textFill>
                  <w14:solidFill>
                    <w14:schemeClr w14:val="tx1"/>
                  </w14:solidFill>
                </w14:textFill>
              </w:rPr>
              <w:t>二氯苯、乙苯、苯乙烯、甲苯、间二甲苯</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对二甲苯、邻二甲苯、硝基苯、苯胺、</w:t>
            </w:r>
            <w:r>
              <w:rPr>
                <w:rFonts w:ascii="Times New Roman" w:eastAsiaTheme="minorEastAsia"/>
                <w:color w:val="000000" w:themeColor="text1"/>
                <w:sz w:val="21"/>
                <w:szCs w:val="21"/>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氯酚、苯并</w:t>
            </w:r>
            <w:r>
              <w:rPr>
                <w:rFonts w:ascii="Times New Roman" w:eastAsiaTheme="minorEastAsia"/>
                <w:color w:val="000000" w:themeColor="text1"/>
                <w:sz w:val="21"/>
                <w:szCs w:val="21"/>
                <w14:textFill>
                  <w14:solidFill>
                    <w14:schemeClr w14:val="tx1"/>
                  </w14:solidFill>
                </w14:textFill>
              </w:rPr>
              <w:t>[a]</w:t>
            </w:r>
            <w:r>
              <w:rPr>
                <w:rFonts w:hint="eastAsia" w:ascii="Times New Roman" w:eastAsiaTheme="minorEastAsia"/>
                <w:color w:val="000000" w:themeColor="text1"/>
                <w:sz w:val="21"/>
                <w:szCs w:val="21"/>
                <w14:textFill>
                  <w14:solidFill>
                    <w14:schemeClr w14:val="tx1"/>
                  </w14:solidFill>
                </w14:textFill>
              </w:rPr>
              <w:t>蒽、苯并</w:t>
            </w:r>
            <w:r>
              <w:rPr>
                <w:rFonts w:ascii="Times New Roman" w:eastAsiaTheme="minorEastAsia"/>
                <w:color w:val="000000" w:themeColor="text1"/>
                <w:sz w:val="21"/>
                <w:szCs w:val="21"/>
                <w14:textFill>
                  <w14:solidFill>
                    <w14:schemeClr w14:val="tx1"/>
                  </w14:solidFill>
                </w14:textFill>
              </w:rPr>
              <w:t>[a]</w:t>
            </w:r>
            <w:r>
              <w:rPr>
                <w:rFonts w:hint="eastAsia" w:ascii="Times New Roman" w:eastAsiaTheme="minorEastAsia"/>
                <w:color w:val="000000" w:themeColor="text1"/>
                <w:sz w:val="21"/>
                <w:szCs w:val="21"/>
                <w14:textFill>
                  <w14:solidFill>
                    <w14:schemeClr w14:val="tx1"/>
                  </w14:solidFill>
                </w14:textFill>
              </w:rPr>
              <w:t>芘、苯并</w:t>
            </w:r>
            <w:r>
              <w:rPr>
                <w:rFonts w:ascii="Times New Roman" w:eastAsiaTheme="minorEastAsia"/>
                <w:color w:val="000000" w:themeColor="text1"/>
                <w:sz w:val="21"/>
                <w:szCs w:val="21"/>
                <w14:textFill>
                  <w14:solidFill>
                    <w14:schemeClr w14:val="tx1"/>
                  </w14:solidFill>
                </w14:textFill>
              </w:rPr>
              <w:t>[b]</w:t>
            </w:r>
            <w:r>
              <w:rPr>
                <w:rFonts w:hint="eastAsia" w:ascii="Times New Roman" w:eastAsiaTheme="minorEastAsia"/>
                <w:color w:val="000000" w:themeColor="text1"/>
                <w:sz w:val="21"/>
                <w:szCs w:val="21"/>
                <w14:textFill>
                  <w14:solidFill>
                    <w14:schemeClr w14:val="tx1"/>
                  </w14:solidFill>
                </w14:textFill>
              </w:rPr>
              <w:t>荧蒽、苯并</w:t>
            </w:r>
            <w:r>
              <w:rPr>
                <w:rFonts w:ascii="Times New Roman" w:eastAsiaTheme="minorEastAsia"/>
                <w:color w:val="000000" w:themeColor="text1"/>
                <w:sz w:val="21"/>
                <w:szCs w:val="21"/>
                <w14:textFill>
                  <w14:solidFill>
                    <w14:schemeClr w14:val="tx1"/>
                  </w14:solidFill>
                </w14:textFill>
              </w:rPr>
              <w:t>[k]</w:t>
            </w:r>
            <w:r>
              <w:rPr>
                <w:rFonts w:hint="eastAsia" w:ascii="Times New Roman" w:eastAsiaTheme="minorEastAsia"/>
                <w:color w:val="000000" w:themeColor="text1"/>
                <w:sz w:val="21"/>
                <w:szCs w:val="21"/>
                <w14:textFill>
                  <w14:solidFill>
                    <w14:schemeClr w14:val="tx1"/>
                  </w14:solidFill>
                </w14:textFill>
              </w:rPr>
              <w:t>荧蒽、䓛、二苯并</w:t>
            </w:r>
            <w:r>
              <w:rPr>
                <w:rFonts w:ascii="Times New Roman" w:eastAsiaTheme="minorEastAsia"/>
                <w:color w:val="000000" w:themeColor="text1"/>
                <w:sz w:val="21"/>
                <w:szCs w:val="21"/>
                <w14:textFill>
                  <w14:solidFill>
                    <w14:schemeClr w14:val="tx1"/>
                  </w14:solidFill>
                </w14:textFill>
              </w:rPr>
              <w:t>[a</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h]</w:t>
            </w:r>
            <w:r>
              <w:rPr>
                <w:rFonts w:hint="eastAsia" w:ascii="Times New Roman" w:eastAsiaTheme="minorEastAsia"/>
                <w:color w:val="000000" w:themeColor="text1"/>
                <w:sz w:val="21"/>
                <w:szCs w:val="21"/>
                <w14:textFill>
                  <w14:solidFill>
                    <w14:schemeClr w14:val="tx1"/>
                  </w14:solidFill>
                </w14:textFill>
              </w:rPr>
              <w:t>蒽、茚并</w:t>
            </w:r>
            <w:r>
              <w:rPr>
                <w:rFonts w:ascii="Times New Roman" w:eastAsiaTheme="minorEastAsia"/>
                <w:color w:val="000000" w:themeColor="text1"/>
                <w:sz w:val="21"/>
                <w:szCs w:val="21"/>
                <w14:textFill>
                  <w14:solidFill>
                    <w14:schemeClr w14:val="tx1"/>
                  </w14:solidFill>
                </w14:textFill>
              </w:rPr>
              <w:t>[1,2,3-cd]</w:t>
            </w:r>
            <w:r>
              <w:rPr>
                <w:rFonts w:hint="eastAsia" w:ascii="Times New Roman" w:eastAsiaTheme="minorEastAsia"/>
                <w:color w:val="000000" w:themeColor="text1"/>
                <w:sz w:val="21"/>
                <w:szCs w:val="21"/>
                <w14:textFill>
                  <w14:solidFill>
                    <w14:schemeClr w14:val="tx1"/>
                  </w14:solidFill>
                </w14:textFill>
              </w:rPr>
              <w:t>芘、萘</w:t>
            </w:r>
          </w:p>
        </w:tc>
        <w:tc>
          <w:tcPr>
            <w:tcW w:w="33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42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采样一次</w:t>
            </w:r>
          </w:p>
        </w:tc>
        <w:tc>
          <w:tcPr>
            <w:tcW w:w="8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表层样点，表层样点在</w:t>
            </w:r>
            <w:r>
              <w:rPr>
                <w:rFonts w:ascii="Times New Roman" w:eastAsiaTheme="minorEastAsia"/>
                <w:color w:val="000000" w:themeColor="text1"/>
                <w:sz w:val="21"/>
                <w:szCs w:val="21"/>
                <w14:textFill>
                  <w14:solidFill>
                    <w14:schemeClr w14:val="tx1"/>
                  </w14:solidFill>
                </w14:textFill>
              </w:rPr>
              <w:t>0~0.2m</w:t>
            </w:r>
            <w:r>
              <w:rPr>
                <w:rFonts w:hint="eastAsia" w:ascii="Times New Roman" w:eastAsiaTheme="minorEastAsia"/>
                <w:color w:val="000000" w:themeColor="text1"/>
                <w:sz w:val="21"/>
                <w:szCs w:val="21"/>
                <w14:textFill>
                  <w14:solidFill>
                    <w14:schemeClr w14:val="tx1"/>
                  </w14:solidFill>
                </w14:textFill>
              </w:rPr>
              <w:t>取样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41" w:hRule="atLeast"/>
        </w:trPr>
        <w:tc>
          <w:tcPr>
            <w:tcW w:w="35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厂区内西北侧位置（本次扩建锅炉房位置）</w:t>
            </w:r>
          </w:p>
        </w:tc>
        <w:tc>
          <w:tcPr>
            <w:tcW w:w="2523"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3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42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采样一次</w:t>
            </w:r>
          </w:p>
        </w:tc>
        <w:tc>
          <w:tcPr>
            <w:tcW w:w="8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表层样点，表层样点在</w:t>
            </w:r>
            <w:r>
              <w:rPr>
                <w:rFonts w:ascii="Times New Roman" w:eastAsiaTheme="minorEastAsia"/>
                <w:color w:val="000000" w:themeColor="text1"/>
                <w:sz w:val="21"/>
                <w:szCs w:val="21"/>
                <w14:textFill>
                  <w14:solidFill>
                    <w14:schemeClr w14:val="tx1"/>
                  </w14:solidFill>
                </w14:textFill>
              </w:rPr>
              <w:t>0~0.2m</w:t>
            </w:r>
            <w:r>
              <w:rPr>
                <w:rFonts w:hint="eastAsia" w:ascii="Times New Roman" w:eastAsiaTheme="minorEastAsia"/>
                <w:color w:val="000000" w:themeColor="text1"/>
                <w:sz w:val="21"/>
                <w:szCs w:val="21"/>
                <w14:textFill>
                  <w14:solidFill>
                    <w14:schemeClr w14:val="tx1"/>
                  </w14:solidFill>
                </w14:textFill>
              </w:rPr>
              <w:t>取样</w:t>
            </w:r>
          </w:p>
        </w:tc>
      </w:tr>
      <w:bookmarkEnd w:id="183"/>
      <w:bookmarkEnd w:id="184"/>
      <w:bookmarkEnd w:id="185"/>
    </w:tbl>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4.2.</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4</w:t>
      </w:r>
      <w:r>
        <w:rPr>
          <w:rFonts w:ascii="Times New Roman" w:hAnsi="Times New Roman" w:cs="Times New Roman" w:eastAsiaTheme="minorEastAsia"/>
          <w:color w:val="000000" w:themeColor="text1"/>
          <w:sz w:val="24"/>
          <w:szCs w:val="24"/>
          <w:lang w:val="en-US" w:bidi="ar-SA"/>
          <w14:textFill>
            <w14:solidFill>
              <w14:schemeClr w14:val="tx1"/>
            </w14:solidFill>
          </w14:textFill>
        </w:rPr>
        <w:t>.4</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监测方法</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各监测项目监测方法见表</w:t>
      </w:r>
      <w:r>
        <w:rPr>
          <w:rFonts w:ascii="Times New Roman" w:hAnsi="Times New Roman" w:cs="Times New Roman" w:eastAsiaTheme="minorEastAsia"/>
          <w:color w:val="000000" w:themeColor="text1"/>
          <w:sz w:val="24"/>
          <w:szCs w:val="24"/>
          <w:lang w:val="en-US"/>
          <w14:textFill>
            <w14:solidFill>
              <w14:schemeClr w14:val="tx1"/>
            </w14:solidFill>
          </w14:textFill>
        </w:rPr>
        <w:t>4-2-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表</w:t>
      </w:r>
      <w:r>
        <w:rPr>
          <w:rFonts w:ascii="Times New Roman" w:hAnsiTheme="minorEastAsia" w:eastAsiaTheme="minorEastAsia"/>
          <w:b/>
          <w:bCs/>
          <w:color w:val="000000" w:themeColor="text1"/>
          <w:szCs w:val="24"/>
          <w14:textFill>
            <w14:solidFill>
              <w14:schemeClr w14:val="tx1"/>
            </w14:solidFill>
          </w14:textFill>
        </w:rPr>
        <w:t>4-2-</w:t>
      </w:r>
      <w:r>
        <w:rPr>
          <w:rFonts w:hint="eastAsia" w:ascii="Times New Roman" w:hAnsiTheme="minorEastAsia" w:eastAsiaTheme="minorEastAsia"/>
          <w:b/>
          <w:bCs/>
          <w:color w:val="000000" w:themeColor="text1"/>
          <w:szCs w:val="24"/>
          <w14:textFill>
            <w14:solidFill>
              <w14:schemeClr w14:val="tx1"/>
            </w14:solidFill>
          </w14:textFill>
        </w:rPr>
        <w:t>10 监测方法一览表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25"/>
        <w:gridCol w:w="5671"/>
        <w:gridCol w:w="132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tcBorders>
              <w:top w:val="single" w:color="auto" w:sz="12"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检测项目</w:t>
            </w:r>
          </w:p>
        </w:tc>
        <w:tc>
          <w:tcPr>
            <w:tcW w:w="3327"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标准（方法）名称及编号（含年号）</w:t>
            </w:r>
          </w:p>
        </w:tc>
        <w:tc>
          <w:tcPr>
            <w:tcW w:w="778" w:type="pct"/>
            <w:tcBorders>
              <w:top w:val="single" w:color="auto" w:sz="12"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方法检出限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pH</w:t>
            </w:r>
            <w:r>
              <w:rPr>
                <w:rFonts w:hint="eastAsia" w:ascii="Times New Roman" w:eastAsiaTheme="minorEastAsia"/>
                <w:color w:val="000000" w:themeColor="text1"/>
                <w:sz w:val="21"/>
                <w:szCs w:val="21"/>
                <w14:textFill>
                  <w14:solidFill>
                    <w14:schemeClr w14:val="tx1"/>
                  </w14:solidFill>
                </w14:textFill>
              </w:rPr>
              <w:t>值</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w:t>
            </w:r>
            <w:r>
              <w:rPr>
                <w:rFonts w:ascii="Times New Roman" w:eastAsiaTheme="minorEastAsia"/>
                <w:color w:val="000000" w:themeColor="text1"/>
                <w:sz w:val="21"/>
                <w:szCs w:val="21"/>
                <w14:textFill>
                  <w14:solidFill>
                    <w14:schemeClr w14:val="tx1"/>
                  </w14:solidFill>
                </w14:textFill>
              </w:rPr>
              <w:t>pH</w:t>
            </w:r>
            <w:r>
              <w:rPr>
                <w:rFonts w:hint="eastAsia" w:ascii="Times New Roman" w:eastAsiaTheme="minorEastAsia"/>
                <w:color w:val="000000" w:themeColor="text1"/>
                <w:sz w:val="21"/>
                <w:szCs w:val="21"/>
                <w14:textFill>
                  <w14:solidFill>
                    <w14:schemeClr w14:val="tx1"/>
                  </w14:solidFill>
                </w14:textFill>
              </w:rPr>
              <w:t>值的测定电位法</w:t>
            </w:r>
            <w:r>
              <w:rPr>
                <w:rFonts w:ascii="Times New Roman" w:eastAsiaTheme="minorEastAsia"/>
                <w:color w:val="000000" w:themeColor="text1"/>
                <w:sz w:val="21"/>
                <w:szCs w:val="21"/>
                <w14:textFill>
                  <w14:solidFill>
                    <w14:schemeClr w14:val="tx1"/>
                  </w14:solidFill>
                </w14:textFill>
              </w:rPr>
              <w:t xml:space="preserve"> HJ962-2018</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阳离子交换量</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森林土壤阳离子交换量的测定</w:t>
            </w:r>
            <w:r>
              <w:rPr>
                <w:rFonts w:ascii="Times New Roman" w:eastAsiaTheme="minorEastAsia"/>
                <w:color w:val="000000" w:themeColor="text1"/>
                <w:sz w:val="21"/>
                <w:szCs w:val="21"/>
                <w14:textFill>
                  <w14:solidFill>
                    <w14:schemeClr w14:val="tx1"/>
                  </w14:solidFill>
                </w14:textFill>
              </w:rPr>
              <w:t xml:space="preserve"> LY/T1243-1999</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氧化还原电位</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土壤氧化还原点位的测定电位法</w:t>
            </w:r>
            <w:r>
              <w:rPr>
                <w:rFonts w:ascii="Times New Roman" w:eastAsiaTheme="minorEastAsia"/>
                <w:color w:val="000000" w:themeColor="text1"/>
                <w:sz w:val="21"/>
                <w:szCs w:val="21"/>
                <w14:textFill>
                  <w14:solidFill>
                    <w14:schemeClr w14:val="tx1"/>
                  </w14:solidFill>
                </w14:textFill>
              </w:rPr>
              <w:t>HJ746-2015</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渗滤系数（饱和导水率）</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森林土壤渗滤率的测定</w:t>
            </w:r>
            <w:r>
              <w:rPr>
                <w:rFonts w:ascii="Times New Roman" w:eastAsiaTheme="minorEastAsia"/>
                <w:color w:val="000000" w:themeColor="text1"/>
                <w:sz w:val="21"/>
                <w:szCs w:val="21"/>
                <w14:textFill>
                  <w14:solidFill>
                    <w14:schemeClr w14:val="tx1"/>
                  </w14:solidFill>
                </w14:textFill>
              </w:rPr>
              <w:t xml:space="preserve"> LY/T1218-1999</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容重</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土壤检测第</w:t>
            </w:r>
            <w:r>
              <w:rPr>
                <w:rFonts w:ascii="Times New Roman" w:eastAsiaTheme="minorEastAsia"/>
                <w:color w:val="000000" w:themeColor="text1"/>
                <w:sz w:val="21"/>
                <w:szCs w:val="21"/>
                <w14:textFill>
                  <w14:solidFill>
                    <w14:schemeClr w14:val="tx1"/>
                  </w14:solidFill>
                </w14:textFill>
              </w:rPr>
              <w:t>4</w:t>
            </w:r>
            <w:r>
              <w:rPr>
                <w:rFonts w:hint="eastAsia" w:ascii="Times New Roman" w:eastAsiaTheme="minorEastAsia"/>
                <w:color w:val="000000" w:themeColor="text1"/>
                <w:sz w:val="21"/>
                <w:szCs w:val="21"/>
                <w14:textFill>
                  <w14:solidFill>
                    <w14:schemeClr w14:val="tx1"/>
                  </w14:solidFill>
                </w14:textFill>
              </w:rPr>
              <w:t>部分：土壤容重的测定</w:t>
            </w:r>
            <w:r>
              <w:rPr>
                <w:rFonts w:ascii="Times New Roman" w:eastAsiaTheme="minorEastAsia"/>
                <w:color w:val="000000" w:themeColor="text1"/>
                <w:sz w:val="21"/>
                <w:szCs w:val="21"/>
                <w14:textFill>
                  <w14:solidFill>
                    <w14:schemeClr w14:val="tx1"/>
                  </w14:solidFill>
                </w14:textFill>
              </w:rPr>
              <w:t xml:space="preserve"> NY/T1121.4-2006</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总孔隙度</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森林土壤水分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物理性质的测定</w:t>
            </w:r>
            <w:r>
              <w:rPr>
                <w:rFonts w:ascii="Times New Roman" w:eastAsiaTheme="minorEastAsia"/>
                <w:color w:val="000000" w:themeColor="text1"/>
                <w:sz w:val="21"/>
                <w:szCs w:val="21"/>
                <w14:textFill>
                  <w14:solidFill>
                    <w14:schemeClr w14:val="tx1"/>
                  </w14:solidFill>
                </w14:textFill>
              </w:rPr>
              <w:t xml:space="preserve"> LY/T1215-1999</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砷</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土壤和沉淀物汞、砷、硒、铋、锑的测定微波消解</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原子荧光法</w:t>
            </w:r>
            <w:r>
              <w:rPr>
                <w:rFonts w:ascii="Times New Roman" w:eastAsiaTheme="minorEastAsia"/>
                <w:color w:val="000000" w:themeColor="text1"/>
                <w:sz w:val="21"/>
                <w:szCs w:val="21"/>
                <w14:textFill>
                  <w14:solidFill>
                    <w14:schemeClr w14:val="tx1"/>
                  </w14:solidFill>
                </w14:textFill>
              </w:rPr>
              <w:t xml:space="preserve"> HJ680-2013</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镉</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土壤质量铅、镉的测定石墨炉原子吸收分光光度法</w:t>
            </w:r>
            <w:r>
              <w:rPr>
                <w:rFonts w:ascii="Times New Roman" w:eastAsiaTheme="minorEastAsia"/>
                <w:color w:val="000000" w:themeColor="text1"/>
                <w:sz w:val="21"/>
                <w:szCs w:val="21"/>
                <w14:textFill>
                  <w14:solidFill>
                    <w14:schemeClr w14:val="tx1"/>
                  </w14:solidFill>
                </w14:textFill>
              </w:rPr>
              <w:t>GB/T17141-1997</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六价铬</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土壤和沉淀物六价铬的测定碱溶液提取</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火焰原子吸收分光光度法</w:t>
            </w:r>
            <w:r>
              <w:rPr>
                <w:rFonts w:ascii="Times New Roman" w:eastAsiaTheme="minorEastAsia"/>
                <w:color w:val="000000" w:themeColor="text1"/>
                <w:sz w:val="21"/>
                <w:szCs w:val="21"/>
                <w14:textFill>
                  <w14:solidFill>
                    <w14:schemeClr w14:val="tx1"/>
                  </w14:solidFill>
                </w14:textFill>
              </w:rPr>
              <w:t xml:space="preserve"> HJ1082-2019</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0.5mg/kg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铜</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土壤和沉淀物铜、锌、铅、镍、铬的测定火焰原子吸收分光光度法</w:t>
            </w:r>
            <w:r>
              <w:rPr>
                <w:rFonts w:ascii="Times New Roman" w:eastAsiaTheme="minorEastAsia"/>
                <w:color w:val="000000" w:themeColor="text1"/>
                <w:sz w:val="21"/>
                <w:szCs w:val="21"/>
                <w14:textFill>
                  <w14:solidFill>
                    <w14:schemeClr w14:val="tx1"/>
                  </w14:solidFill>
                </w14:textFill>
              </w:rPr>
              <w:t xml:space="preserve"> HJ491-2019</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铅</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土壤质量铅、镉的测定石墨炉原子吸收分光光度法</w:t>
            </w:r>
            <w:r>
              <w:rPr>
                <w:rFonts w:ascii="Times New Roman" w:eastAsiaTheme="minorEastAsia"/>
                <w:color w:val="000000" w:themeColor="text1"/>
                <w:sz w:val="21"/>
                <w:szCs w:val="21"/>
                <w14:textFill>
                  <w14:solidFill>
                    <w14:schemeClr w14:val="tx1"/>
                  </w14:solidFill>
                </w14:textFill>
              </w:rPr>
              <w:t xml:space="preserve"> GB/T17141-1997</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土壤和沉淀物汞、砷、硒、铋、锑的测定微波消解</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原子荧光法</w:t>
            </w:r>
            <w:r>
              <w:rPr>
                <w:rFonts w:ascii="Times New Roman" w:eastAsiaTheme="minorEastAsia"/>
                <w:color w:val="000000" w:themeColor="text1"/>
                <w:sz w:val="21"/>
                <w:szCs w:val="21"/>
                <w14:textFill>
                  <w14:solidFill>
                    <w14:schemeClr w14:val="tx1"/>
                  </w14:solidFill>
                </w14:textFill>
              </w:rPr>
              <w:t xml:space="preserve"> HJ680-2013</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0.002mg/kg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镍</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土壤和沉淀物铜、锌、铅、镍、铬的测定火焰原子吸收分光光度法</w:t>
            </w:r>
            <w:r>
              <w:rPr>
                <w:rFonts w:ascii="Times New Roman" w:eastAsiaTheme="minorEastAsia"/>
                <w:color w:val="000000" w:themeColor="text1"/>
                <w:sz w:val="21"/>
                <w:szCs w:val="21"/>
                <w14:textFill>
                  <w14:solidFill>
                    <w14:schemeClr w14:val="tx1"/>
                  </w14:solidFill>
                </w14:textFill>
              </w:rPr>
              <w:t xml:space="preserve"> HJ491-2019</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氨氮</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土壤氨氮、亚硝酸盐氮、硝酸盐氮的测定氯化钾溶液提取</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分光光度法</w:t>
            </w:r>
            <w:r>
              <w:rPr>
                <w:rFonts w:ascii="Times New Roman" w:eastAsiaTheme="minorEastAsia"/>
                <w:color w:val="000000" w:themeColor="text1"/>
                <w:sz w:val="21"/>
                <w:szCs w:val="21"/>
                <w14:textFill>
                  <w14:solidFill>
                    <w14:schemeClr w14:val="tx1"/>
                  </w14:solidFill>
                </w14:textFill>
              </w:rPr>
              <w:t xml:space="preserve"> HJ634-2012</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0.10mg/kg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氯甲烷</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氯乙烯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w:t>
            </w:r>
            <w:r>
              <w:rPr>
                <w:rFonts w:hint="eastAsia" w:ascii="Times New Roman" w:eastAsiaTheme="minorEastAsia"/>
                <w:color w:val="000000" w:themeColor="text1"/>
                <w:sz w:val="21"/>
                <w:szCs w:val="21"/>
                <w14:textFill>
                  <w14:solidFill>
                    <w14:schemeClr w14:val="tx1"/>
                  </w14:solidFill>
                </w14:textFill>
              </w:rPr>
              <w:t>二氯乙烯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二氯甲烷</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反</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w:t>
            </w:r>
            <w:r>
              <w:rPr>
                <w:rFonts w:hint="eastAsia" w:ascii="Times New Roman" w:eastAsiaTheme="minorEastAsia"/>
                <w:color w:val="000000" w:themeColor="text1"/>
                <w:sz w:val="21"/>
                <w:szCs w:val="21"/>
                <w14:textFill>
                  <w14:solidFill>
                    <w14:schemeClr w14:val="tx1"/>
                  </w14:solidFill>
                </w14:textFill>
              </w:rPr>
              <w:t>二氯乙烷</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顺</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氯仿</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1,1,1-</w:t>
            </w:r>
            <w:r>
              <w:rPr>
                <w:rFonts w:hint="eastAsia" w:ascii="Times New Roman" w:eastAsiaTheme="minorEastAsia"/>
                <w:color w:val="000000" w:themeColor="text1"/>
                <w:sz w:val="21"/>
                <w:szCs w:val="21"/>
                <w14:textFill>
                  <w14:solidFill>
                    <w14:schemeClr w14:val="tx1"/>
                  </w14:solidFill>
                </w14:textFill>
              </w:rPr>
              <w:t>三氯乙烷</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四氯化碳</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1.9μg/kg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二氯乙烷</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三氯乙烯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二氯丙烷</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甲苯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1,1,2-</w:t>
            </w:r>
            <w:r>
              <w:rPr>
                <w:rFonts w:hint="eastAsia" w:ascii="Times New Roman" w:eastAsiaTheme="minorEastAsia"/>
                <w:color w:val="000000" w:themeColor="text1"/>
                <w:sz w:val="21"/>
                <w:szCs w:val="21"/>
                <w14:textFill>
                  <w14:solidFill>
                    <w14:schemeClr w14:val="tx1"/>
                  </w14:solidFill>
                </w14:textFill>
              </w:rPr>
              <w:t>三氯乙烷</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四氯乙烯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氯苯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乙苯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1,1,1,2-</w:t>
            </w:r>
            <w:r>
              <w:rPr>
                <w:rFonts w:hint="eastAsia" w:ascii="Times New Roman" w:eastAsiaTheme="minorEastAsia"/>
                <w:color w:val="000000" w:themeColor="text1"/>
                <w:sz w:val="21"/>
                <w:szCs w:val="21"/>
                <w14:textFill>
                  <w14:solidFill>
                    <w14:schemeClr w14:val="tx1"/>
                  </w14:solidFill>
                </w14:textFill>
              </w:rPr>
              <w:t>四氯乙烷</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间</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对</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二甲苯（间二甲苯</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对二甲苯）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邻</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二甲苯（邻二甲苯）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苯乙烯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1,1,2,2-</w:t>
            </w:r>
            <w:r>
              <w:rPr>
                <w:rFonts w:hint="eastAsia" w:ascii="Times New Roman" w:eastAsiaTheme="minorEastAsia"/>
                <w:color w:val="000000" w:themeColor="text1"/>
                <w:sz w:val="21"/>
                <w:szCs w:val="21"/>
                <w14:textFill>
                  <w14:solidFill>
                    <w14:schemeClr w14:val="tx1"/>
                  </w14:solidFill>
                </w14:textFill>
              </w:rPr>
              <w:t>四氯乙烷</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1,2,3-</w:t>
            </w:r>
            <w:r>
              <w:rPr>
                <w:rFonts w:hint="eastAsia" w:ascii="Times New Roman" w:eastAsiaTheme="minorEastAsia"/>
                <w:color w:val="000000" w:themeColor="text1"/>
                <w:sz w:val="21"/>
                <w:szCs w:val="21"/>
                <w14:textFill>
                  <w14:solidFill>
                    <w14:schemeClr w14:val="tx1"/>
                  </w14:solidFill>
                </w14:textFill>
              </w:rPr>
              <w:t>三氯丙烷</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w:t>
            </w:r>
            <w:r>
              <w:rPr>
                <w:rFonts w:hint="eastAsia" w:ascii="Times New Roman" w:eastAsiaTheme="minorEastAsia"/>
                <w:color w:val="000000" w:themeColor="text1"/>
                <w:sz w:val="21"/>
                <w:szCs w:val="21"/>
                <w14:textFill>
                  <w14:solidFill>
                    <w14:schemeClr w14:val="tx1"/>
                  </w14:solidFill>
                </w14:textFill>
              </w:rPr>
              <w:t>二氯苯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萘</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土壤和沉淀物挥发性有机物的测定吹扫捕集</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HJ605-2011</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0.4μg/kg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苯胺</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气相色谱法</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质谱分析法（气质联用仪）测试半挥发性有机化合物</w:t>
            </w:r>
            <w:r>
              <w:rPr>
                <w:rFonts w:ascii="Times New Roman" w:eastAsiaTheme="minorEastAsia"/>
                <w:color w:val="000000" w:themeColor="text1"/>
                <w:sz w:val="21"/>
                <w:szCs w:val="21"/>
                <w14:textFill>
                  <w14:solidFill>
                    <w14:schemeClr w14:val="tx1"/>
                  </w14:solidFill>
                </w14:textFill>
              </w:rPr>
              <w:t xml:space="preserve"> Semivolatile Organic Compounds by Gas Chromatography/Mass Spectrometry US EPA 8270E-2017</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氯苯酚（</w:t>
            </w:r>
            <w:r>
              <w:rPr>
                <w:rFonts w:ascii="Times New Roman" w:eastAsiaTheme="minorEastAsia"/>
                <w:color w:val="000000" w:themeColor="text1"/>
                <w:sz w:val="21"/>
                <w:szCs w:val="21"/>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氯酚）</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土壤和沉积物半挥发性有机物的测定气相色谱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HJ834-2017</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0.06 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硝基苯</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土壤和沉积物半挥发性有机物的测定气相色谱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HJ834-2017</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0.09 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苯并</w:t>
            </w:r>
            <w:r>
              <w:rPr>
                <w:rFonts w:ascii="Times New Roman" w:eastAsiaTheme="minorEastAsia"/>
                <w:color w:val="000000" w:themeColor="text1"/>
                <w:sz w:val="21"/>
                <w:szCs w:val="21"/>
                <w14:textFill>
                  <w14:solidFill>
                    <w14:schemeClr w14:val="tx1"/>
                  </w14:solidFill>
                </w14:textFill>
              </w:rPr>
              <w:t>[a]</w:t>
            </w:r>
            <w:r>
              <w:rPr>
                <w:rFonts w:hint="eastAsia" w:ascii="Times New Roman" w:eastAsiaTheme="minorEastAsia"/>
                <w:color w:val="000000" w:themeColor="text1"/>
                <w:sz w:val="21"/>
                <w:szCs w:val="21"/>
                <w14:textFill>
                  <w14:solidFill>
                    <w14:schemeClr w14:val="tx1"/>
                  </w14:solidFill>
                </w14:textFill>
              </w:rPr>
              <w:t>蒽</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土壤和沉积物半挥发性有机物的测定气相色谱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HJ834-2017</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 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䓛</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土壤和沉积物半挥发性有机物的测定气相色谱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HJ834-2017</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 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苯并</w:t>
            </w:r>
            <w:r>
              <w:rPr>
                <w:rFonts w:ascii="Times New Roman" w:eastAsiaTheme="minorEastAsia"/>
                <w:color w:val="000000" w:themeColor="text1"/>
                <w:sz w:val="21"/>
                <w:szCs w:val="21"/>
                <w14:textFill>
                  <w14:solidFill>
                    <w14:schemeClr w14:val="tx1"/>
                  </w14:solidFill>
                </w14:textFill>
              </w:rPr>
              <w:t>[b]</w:t>
            </w:r>
            <w:r>
              <w:rPr>
                <w:rFonts w:hint="eastAsia" w:ascii="Times New Roman" w:eastAsiaTheme="minorEastAsia"/>
                <w:color w:val="000000" w:themeColor="text1"/>
                <w:sz w:val="21"/>
                <w:szCs w:val="21"/>
                <w14:textFill>
                  <w14:solidFill>
                    <w14:schemeClr w14:val="tx1"/>
                  </w14:solidFill>
                </w14:textFill>
              </w:rPr>
              <w:t>荧蒽</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土壤和沉积物半挥发性有机物的测定气相色谱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HJ834-2017</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 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苯并</w:t>
            </w:r>
            <w:r>
              <w:rPr>
                <w:rFonts w:ascii="Times New Roman" w:eastAsiaTheme="minorEastAsia"/>
                <w:color w:val="000000" w:themeColor="text1"/>
                <w:sz w:val="21"/>
                <w:szCs w:val="21"/>
                <w14:textFill>
                  <w14:solidFill>
                    <w14:schemeClr w14:val="tx1"/>
                  </w14:solidFill>
                </w14:textFill>
              </w:rPr>
              <w:t>[k]</w:t>
            </w:r>
            <w:r>
              <w:rPr>
                <w:rFonts w:hint="eastAsia" w:ascii="Times New Roman" w:eastAsiaTheme="minorEastAsia"/>
                <w:color w:val="000000" w:themeColor="text1"/>
                <w:sz w:val="21"/>
                <w:szCs w:val="21"/>
                <w14:textFill>
                  <w14:solidFill>
                    <w14:schemeClr w14:val="tx1"/>
                  </w14:solidFill>
                </w14:textFill>
              </w:rPr>
              <w:t>荧蒽</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土壤和沉积物半挥发性有机物的测定气相色谱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HJ834-2017</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 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苯并</w:t>
            </w:r>
            <w:r>
              <w:rPr>
                <w:rFonts w:ascii="Times New Roman" w:eastAsiaTheme="minorEastAsia"/>
                <w:color w:val="000000" w:themeColor="text1"/>
                <w:sz w:val="21"/>
                <w:szCs w:val="21"/>
                <w14:textFill>
                  <w14:solidFill>
                    <w14:schemeClr w14:val="tx1"/>
                  </w14:solidFill>
                </w14:textFill>
              </w:rPr>
              <w:t>[a]</w:t>
            </w:r>
            <w:r>
              <w:rPr>
                <w:rFonts w:hint="eastAsia" w:ascii="Times New Roman" w:eastAsiaTheme="minorEastAsia"/>
                <w:color w:val="000000" w:themeColor="text1"/>
                <w:sz w:val="21"/>
                <w:szCs w:val="21"/>
                <w14:textFill>
                  <w14:solidFill>
                    <w14:schemeClr w14:val="tx1"/>
                  </w14:solidFill>
                </w14:textFill>
              </w:rPr>
              <w:t>芘</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土壤和沉积物半挥发性有机物的测定气相色谱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HJ834-2017</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 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茚并</w:t>
            </w:r>
            <w:r>
              <w:rPr>
                <w:rFonts w:ascii="Times New Roman" w:eastAsiaTheme="minorEastAsia"/>
                <w:color w:val="000000" w:themeColor="text1"/>
                <w:sz w:val="21"/>
                <w:szCs w:val="21"/>
                <w14:textFill>
                  <w14:solidFill>
                    <w14:schemeClr w14:val="tx1"/>
                  </w14:solidFill>
                </w14:textFill>
              </w:rPr>
              <w:t>[1,2,3-cd]</w:t>
            </w:r>
            <w:r>
              <w:rPr>
                <w:rFonts w:hint="eastAsia" w:ascii="Times New Roman" w:eastAsiaTheme="minorEastAsia"/>
                <w:color w:val="000000" w:themeColor="text1"/>
                <w:sz w:val="21"/>
                <w:szCs w:val="21"/>
                <w14:textFill>
                  <w14:solidFill>
                    <w14:schemeClr w14:val="tx1"/>
                  </w14:solidFill>
                </w14:textFill>
              </w:rPr>
              <w:t>芘</w:t>
            </w:r>
          </w:p>
        </w:tc>
        <w:tc>
          <w:tcPr>
            <w:tcW w:w="332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土壤和沉积物半挥发性有机物的测定气相色谱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HJ834-2017</w:t>
            </w:r>
          </w:p>
        </w:tc>
        <w:tc>
          <w:tcPr>
            <w:tcW w:w="778"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 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895" w:type="pct"/>
            <w:tcBorders>
              <w:top w:val="single" w:color="auto" w:sz="4" w:space="0"/>
              <w:left w:val="nil"/>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二苯并</w:t>
            </w:r>
            <w:r>
              <w:rPr>
                <w:rFonts w:ascii="Times New Roman" w:eastAsiaTheme="minorEastAsia"/>
                <w:color w:val="000000" w:themeColor="text1"/>
                <w:sz w:val="21"/>
                <w:szCs w:val="21"/>
                <w14:textFill>
                  <w14:solidFill>
                    <w14:schemeClr w14:val="tx1"/>
                  </w14:solidFill>
                </w14:textFill>
              </w:rPr>
              <w:t>[a,h]</w:t>
            </w:r>
            <w:r>
              <w:rPr>
                <w:rFonts w:hint="eastAsia" w:ascii="Times New Roman" w:eastAsiaTheme="minorEastAsia"/>
                <w:color w:val="000000" w:themeColor="text1"/>
                <w:sz w:val="21"/>
                <w:szCs w:val="21"/>
                <w14:textFill>
                  <w14:solidFill>
                    <w14:schemeClr w14:val="tx1"/>
                  </w14:solidFill>
                </w14:textFill>
              </w:rPr>
              <w:t>蒽</w:t>
            </w:r>
          </w:p>
        </w:tc>
        <w:tc>
          <w:tcPr>
            <w:tcW w:w="3327"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土壤和沉积物半挥发性有机物的测定气相色谱</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质谱法</w:t>
            </w:r>
            <w:r>
              <w:rPr>
                <w:rFonts w:ascii="Times New Roman" w:eastAsiaTheme="minorEastAsia"/>
                <w:color w:val="000000" w:themeColor="text1"/>
                <w:sz w:val="21"/>
                <w:szCs w:val="21"/>
                <w14:textFill>
                  <w14:solidFill>
                    <w14:schemeClr w14:val="tx1"/>
                  </w14:solidFill>
                </w14:textFill>
              </w:rPr>
              <w:t xml:space="preserve"> HJ834-2017</w:t>
            </w:r>
          </w:p>
        </w:tc>
        <w:tc>
          <w:tcPr>
            <w:tcW w:w="778" w:type="pct"/>
            <w:tcBorders>
              <w:top w:val="single" w:color="auto" w:sz="4" w:space="0"/>
              <w:left w:val="single" w:color="auto" w:sz="4" w:space="0"/>
              <w:bottom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 mg/kg</w:t>
            </w:r>
          </w:p>
        </w:tc>
      </w:tr>
    </w:tbl>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表</w:t>
      </w:r>
      <w:r>
        <w:rPr>
          <w:rFonts w:ascii="Times New Roman" w:eastAsiaTheme="minorEastAsia"/>
          <w:color w:val="000000" w:themeColor="text1"/>
          <w:sz w:val="21"/>
          <w:szCs w:val="21"/>
          <w14:textFill>
            <w14:solidFill>
              <w14:schemeClr w14:val="tx1"/>
            </w14:solidFill>
          </w14:textFill>
        </w:rPr>
        <w:t>4-2-1</w:t>
      </w:r>
      <w:r>
        <w:rPr>
          <w:rFonts w:hint="eastAsia" w:ascii="Times New Roman" w:eastAsiaTheme="minorEastAsia"/>
          <w:color w:val="000000" w:themeColor="text1"/>
          <w:sz w:val="21"/>
          <w:szCs w:val="21"/>
          <w14:textFill>
            <w14:solidFill>
              <w14:schemeClr w14:val="tx1"/>
            </w14:solidFill>
          </w14:textFill>
        </w:rPr>
        <w:t>1 土壤检测结果一览表</w:t>
      </w:r>
    </w:p>
    <w:tbl>
      <w:tblPr>
        <w:tblStyle w:val="70"/>
        <w:tblpPr w:leftFromText="180" w:rightFromText="180" w:vertAnchor="text" w:tblpXSpec="center" w:tblpY="1"/>
        <w:tblOverlap w:val="never"/>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06"/>
        <w:gridCol w:w="2453"/>
        <w:gridCol w:w="2616"/>
        <w:gridCol w:w="10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44" w:hRule="atLeast"/>
          <w:tblHeader/>
        </w:trPr>
        <w:tc>
          <w:tcPr>
            <w:tcW w:w="1412" w:type="pct"/>
            <w:vMerge w:val="restart"/>
            <w:tcBorders>
              <w:top w:val="single" w:color="auto" w:sz="12"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bookmarkStart w:id="186" w:name="_Hlk74658595"/>
            <w:r>
              <w:rPr>
                <w:rFonts w:hint="eastAsia" w:ascii="Times New Roman" w:eastAsiaTheme="minorEastAsia"/>
                <w:color w:val="000000" w:themeColor="text1"/>
                <w:sz w:val="21"/>
                <w:szCs w:val="21"/>
                <w14:textFill>
                  <w14:solidFill>
                    <w14:schemeClr w14:val="tx1"/>
                  </w14:solidFill>
                </w14:textFill>
              </w:rPr>
              <w:t>检测项目</w:t>
            </w:r>
          </w:p>
        </w:tc>
        <w:tc>
          <w:tcPr>
            <w:tcW w:w="2974" w:type="pct"/>
            <w:gridSpan w:val="2"/>
            <w:tcBorders>
              <w:top w:val="single" w:color="auto" w:sz="12" w:space="0"/>
              <w:left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采样点位、样品编号及结果</w:t>
            </w:r>
          </w:p>
        </w:tc>
        <w:tc>
          <w:tcPr>
            <w:tcW w:w="614" w:type="pct"/>
            <w:vMerge w:val="restart"/>
            <w:tcBorders>
              <w:top w:val="single" w:color="auto" w:sz="12"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blHeader/>
        </w:trPr>
        <w:tc>
          <w:tcPr>
            <w:tcW w:w="1412" w:type="pct"/>
            <w:vMerge w:val="continue"/>
            <w:tcBorders>
              <w:top w:val="single" w:color="auto" w:sz="12"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2#表层样点</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3#表层样点</w:t>
            </w:r>
          </w:p>
        </w:tc>
        <w:tc>
          <w:tcPr>
            <w:tcW w:w="614" w:type="pct"/>
            <w:vMerge w:val="continue"/>
            <w:tcBorders>
              <w:top w:val="single" w:color="auto" w:sz="12"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砷</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3.53</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4.61</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镉</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0.09</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0.08</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铬（六价）</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铜</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37.2</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40.1</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铅</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27.5</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11.7</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0.112</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0.109</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镍</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51</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49</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四氯化碳</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氯仿</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氯甲烷</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w:t>
            </w:r>
            <w:r>
              <w:rPr>
                <w:rFonts w:hint="eastAsia" w:ascii="Times New Roman" w:eastAsiaTheme="minorEastAsia"/>
                <w:color w:val="000000" w:themeColor="text1"/>
                <w:sz w:val="21"/>
                <w:szCs w:val="21"/>
                <w14:textFill>
                  <w14:solidFill>
                    <w14:schemeClr w14:val="tx1"/>
                  </w14:solidFill>
                </w14:textFill>
              </w:rPr>
              <w:t>二氯乙烷</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二氯乙烷</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w:t>
            </w:r>
            <w:r>
              <w:rPr>
                <w:rFonts w:hint="eastAsia" w:ascii="Times New Roman" w:eastAsiaTheme="minorEastAsia"/>
                <w:color w:val="000000" w:themeColor="text1"/>
                <w:sz w:val="21"/>
                <w:szCs w:val="21"/>
                <w14:textFill>
                  <w14:solidFill>
                    <w14:schemeClr w14:val="tx1"/>
                  </w14:solidFill>
                </w14:textFill>
              </w:rPr>
              <w:t>二氯乙烯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顺</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反</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二氯甲烷</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二氯丙烷</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1,1,1,2-</w:t>
            </w:r>
            <w:r>
              <w:rPr>
                <w:rFonts w:hint="eastAsia" w:ascii="Times New Roman" w:eastAsiaTheme="minorEastAsia"/>
                <w:color w:val="000000" w:themeColor="text1"/>
                <w:sz w:val="21"/>
                <w:szCs w:val="21"/>
                <w14:textFill>
                  <w14:solidFill>
                    <w14:schemeClr w14:val="tx1"/>
                  </w14:solidFill>
                </w14:textFill>
              </w:rPr>
              <w:t>四氯乙烷</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1,1,2,2-</w:t>
            </w:r>
            <w:r>
              <w:rPr>
                <w:rFonts w:hint="eastAsia" w:ascii="Times New Roman" w:eastAsiaTheme="minorEastAsia"/>
                <w:color w:val="000000" w:themeColor="text1"/>
                <w:sz w:val="21"/>
                <w:szCs w:val="21"/>
                <w14:textFill>
                  <w14:solidFill>
                    <w14:schemeClr w14:val="tx1"/>
                  </w14:solidFill>
                </w14:textFill>
              </w:rPr>
              <w:t>四氯乙烷</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四氯乙烯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1,1,1-</w:t>
            </w:r>
            <w:r>
              <w:rPr>
                <w:rFonts w:hint="eastAsia" w:ascii="Times New Roman" w:eastAsiaTheme="minorEastAsia"/>
                <w:color w:val="000000" w:themeColor="text1"/>
                <w:sz w:val="21"/>
                <w:szCs w:val="21"/>
                <w14:textFill>
                  <w14:solidFill>
                    <w14:schemeClr w14:val="tx1"/>
                  </w14:solidFill>
                </w14:textFill>
              </w:rPr>
              <w:t>三氯乙烷</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1,1,2-</w:t>
            </w:r>
            <w:r>
              <w:rPr>
                <w:rFonts w:hint="eastAsia" w:ascii="Times New Roman" w:eastAsiaTheme="minorEastAsia"/>
                <w:color w:val="000000" w:themeColor="text1"/>
                <w:sz w:val="21"/>
                <w:szCs w:val="21"/>
                <w14:textFill>
                  <w14:solidFill>
                    <w14:schemeClr w14:val="tx1"/>
                  </w14:solidFill>
                </w14:textFill>
              </w:rPr>
              <w:t>三氯乙烷</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三氯乙烯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1,2,3-</w:t>
            </w:r>
            <w:r>
              <w:rPr>
                <w:rFonts w:hint="eastAsia" w:ascii="Times New Roman" w:eastAsiaTheme="minorEastAsia"/>
                <w:color w:val="000000" w:themeColor="text1"/>
                <w:sz w:val="21"/>
                <w:szCs w:val="21"/>
                <w14:textFill>
                  <w14:solidFill>
                    <w14:schemeClr w14:val="tx1"/>
                  </w14:solidFill>
                </w14:textFill>
              </w:rPr>
              <w:t>三氯丙烷</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氯乙烯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氯苯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w:t>
            </w:r>
            <w:r>
              <w:rPr>
                <w:rFonts w:hint="eastAsia" w:ascii="Times New Roman" w:eastAsiaTheme="minorEastAsia"/>
                <w:color w:val="000000" w:themeColor="text1"/>
                <w:sz w:val="21"/>
                <w:szCs w:val="21"/>
                <w14:textFill>
                  <w14:solidFill>
                    <w14:schemeClr w14:val="tx1"/>
                  </w14:solidFill>
                </w14:textFill>
              </w:rPr>
              <w:t>二氯苯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乙苯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苯乙烯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甲苯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间二甲苯</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对二甲苯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邻二甲苯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硝基苯</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苯胺</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氯酚</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苯并</w:t>
            </w:r>
            <w:r>
              <w:rPr>
                <w:rFonts w:ascii="Times New Roman" w:eastAsiaTheme="minorEastAsia"/>
                <w:color w:val="000000" w:themeColor="text1"/>
                <w:sz w:val="21"/>
                <w:szCs w:val="21"/>
                <w14:textFill>
                  <w14:solidFill>
                    <w14:schemeClr w14:val="tx1"/>
                  </w14:solidFill>
                </w14:textFill>
              </w:rPr>
              <w:t>[a]</w:t>
            </w:r>
            <w:r>
              <w:rPr>
                <w:rFonts w:hint="eastAsia" w:ascii="Times New Roman" w:eastAsiaTheme="minorEastAsia"/>
                <w:color w:val="000000" w:themeColor="text1"/>
                <w:sz w:val="21"/>
                <w:szCs w:val="21"/>
                <w14:textFill>
                  <w14:solidFill>
                    <w14:schemeClr w14:val="tx1"/>
                  </w14:solidFill>
                </w14:textFill>
              </w:rPr>
              <w:t>蒽</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苯并</w:t>
            </w:r>
            <w:r>
              <w:rPr>
                <w:rFonts w:ascii="Times New Roman" w:eastAsiaTheme="minorEastAsia"/>
                <w:color w:val="000000" w:themeColor="text1"/>
                <w:sz w:val="21"/>
                <w:szCs w:val="21"/>
                <w14:textFill>
                  <w14:solidFill>
                    <w14:schemeClr w14:val="tx1"/>
                  </w14:solidFill>
                </w14:textFill>
              </w:rPr>
              <w:t>[a]</w:t>
            </w:r>
            <w:r>
              <w:rPr>
                <w:rFonts w:hint="eastAsia" w:ascii="Times New Roman" w:eastAsiaTheme="minorEastAsia"/>
                <w:color w:val="000000" w:themeColor="text1"/>
                <w:sz w:val="21"/>
                <w:szCs w:val="21"/>
                <w14:textFill>
                  <w14:solidFill>
                    <w14:schemeClr w14:val="tx1"/>
                  </w14:solidFill>
                </w14:textFill>
              </w:rPr>
              <w:t>芘</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苯并</w:t>
            </w:r>
            <w:r>
              <w:rPr>
                <w:rFonts w:ascii="Times New Roman" w:eastAsiaTheme="minorEastAsia"/>
                <w:color w:val="000000" w:themeColor="text1"/>
                <w:sz w:val="21"/>
                <w:szCs w:val="21"/>
                <w14:textFill>
                  <w14:solidFill>
                    <w14:schemeClr w14:val="tx1"/>
                  </w14:solidFill>
                </w14:textFill>
              </w:rPr>
              <w:t>[b]</w:t>
            </w:r>
            <w:r>
              <w:rPr>
                <w:rFonts w:hint="eastAsia" w:ascii="Times New Roman" w:eastAsiaTheme="minorEastAsia"/>
                <w:color w:val="000000" w:themeColor="text1"/>
                <w:sz w:val="21"/>
                <w:szCs w:val="21"/>
                <w14:textFill>
                  <w14:solidFill>
                    <w14:schemeClr w14:val="tx1"/>
                  </w14:solidFill>
                </w14:textFill>
              </w:rPr>
              <w:t>荧蒽</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苯并</w:t>
            </w:r>
            <w:r>
              <w:rPr>
                <w:rFonts w:ascii="Times New Roman" w:eastAsiaTheme="minorEastAsia"/>
                <w:color w:val="000000" w:themeColor="text1"/>
                <w:sz w:val="21"/>
                <w:szCs w:val="21"/>
                <w14:textFill>
                  <w14:solidFill>
                    <w14:schemeClr w14:val="tx1"/>
                  </w14:solidFill>
                </w14:textFill>
              </w:rPr>
              <w:t>[k]</w:t>
            </w:r>
            <w:r>
              <w:rPr>
                <w:rFonts w:hint="eastAsia" w:ascii="Times New Roman" w:eastAsiaTheme="minorEastAsia"/>
                <w:color w:val="000000" w:themeColor="text1"/>
                <w:sz w:val="21"/>
                <w:szCs w:val="21"/>
                <w14:textFill>
                  <w14:solidFill>
                    <w14:schemeClr w14:val="tx1"/>
                  </w14:solidFill>
                </w14:textFill>
              </w:rPr>
              <w:t>荧蒽</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䓛</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二苯并</w:t>
            </w:r>
            <w:r>
              <w:rPr>
                <w:rFonts w:ascii="Times New Roman" w:eastAsiaTheme="minorEastAsia"/>
                <w:color w:val="000000" w:themeColor="text1"/>
                <w:sz w:val="21"/>
                <w:szCs w:val="21"/>
                <w14:textFill>
                  <w14:solidFill>
                    <w14:schemeClr w14:val="tx1"/>
                  </w14:solidFill>
                </w14:textFill>
              </w:rPr>
              <w:t>[a,h]</w:t>
            </w:r>
            <w:r>
              <w:rPr>
                <w:rFonts w:hint="eastAsia" w:ascii="Times New Roman" w:eastAsiaTheme="minorEastAsia"/>
                <w:color w:val="000000" w:themeColor="text1"/>
                <w:sz w:val="21"/>
                <w:szCs w:val="21"/>
                <w14:textFill>
                  <w14:solidFill>
                    <w14:schemeClr w14:val="tx1"/>
                  </w14:solidFill>
                </w14:textFill>
              </w:rPr>
              <w:t>蒽</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茚并</w:t>
            </w:r>
            <w:r>
              <w:rPr>
                <w:rFonts w:ascii="Times New Roman" w:eastAsiaTheme="minorEastAsia"/>
                <w:color w:val="000000" w:themeColor="text1"/>
                <w:sz w:val="21"/>
                <w:szCs w:val="21"/>
                <w14:textFill>
                  <w14:solidFill>
                    <w14:schemeClr w14:val="tx1"/>
                  </w14:solidFill>
                </w14:textFill>
              </w:rPr>
              <w:t>[1,2,3-cd]</w:t>
            </w:r>
            <w:r>
              <w:rPr>
                <w:rFonts w:hint="eastAsia" w:ascii="Times New Roman" w:eastAsiaTheme="minorEastAsia"/>
                <w:color w:val="000000" w:themeColor="text1"/>
                <w:sz w:val="21"/>
                <w:szCs w:val="21"/>
                <w14:textFill>
                  <w14:solidFill>
                    <w14:schemeClr w14:val="tx1"/>
                  </w14:solidFill>
                </w14:textFill>
              </w:rPr>
              <w:t>芘</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12"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萘</w:t>
            </w:r>
          </w:p>
        </w:tc>
        <w:tc>
          <w:tcPr>
            <w:tcW w:w="14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153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ND</w:t>
            </w:r>
          </w:p>
        </w:tc>
        <w:tc>
          <w:tcPr>
            <w:tcW w:w="614"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bookmarkEnd w:id="186"/>
    </w:tbl>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表</w:t>
      </w:r>
      <w:r>
        <w:rPr>
          <w:rFonts w:ascii="Times New Roman" w:eastAsiaTheme="minorEastAsia"/>
          <w:color w:val="000000" w:themeColor="text1"/>
          <w:sz w:val="21"/>
          <w:szCs w:val="21"/>
          <w14:textFill>
            <w14:solidFill>
              <w14:schemeClr w14:val="tx1"/>
            </w14:solidFill>
          </w14:textFill>
        </w:rPr>
        <w:t>4-2-</w:t>
      </w:r>
      <w:r>
        <w:rPr>
          <w:rFonts w:hint="eastAsia" w:ascii="Times New Roman" w:eastAsiaTheme="minorEastAsia"/>
          <w:color w:val="000000" w:themeColor="text1"/>
          <w:sz w:val="21"/>
          <w:szCs w:val="21"/>
          <w14:textFill>
            <w14:solidFill>
              <w14:schemeClr w14:val="tx1"/>
            </w14:solidFill>
          </w14:textFill>
        </w:rPr>
        <w:t>12 土壤检测结果一览表</w:t>
      </w:r>
    </w:p>
    <w:tbl>
      <w:tblPr>
        <w:tblStyle w:val="70"/>
        <w:tblpPr w:leftFromText="180" w:rightFromText="180" w:vertAnchor="text" w:tblpXSpec="center" w:tblpY="1"/>
        <w:tblOverlap w:val="never"/>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51"/>
        <w:gridCol w:w="4418"/>
        <w:gridCol w:w="19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blHeader/>
        </w:trPr>
        <w:tc>
          <w:tcPr>
            <w:tcW w:w="126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检测项目</w:t>
            </w:r>
          </w:p>
        </w:tc>
        <w:tc>
          <w:tcPr>
            <w:tcW w:w="259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采样点位及结果</w:t>
            </w:r>
          </w:p>
        </w:tc>
        <w:tc>
          <w:tcPr>
            <w:tcW w:w="114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8" w:hRule="atLeast"/>
          <w:tblHeader/>
        </w:trPr>
        <w:tc>
          <w:tcPr>
            <w:tcW w:w="1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59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表层样点</w:t>
            </w:r>
          </w:p>
        </w:tc>
        <w:tc>
          <w:tcPr>
            <w:tcW w:w="114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126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砷</w:t>
            </w:r>
          </w:p>
        </w:tc>
        <w:tc>
          <w:tcPr>
            <w:tcW w:w="259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3.18</w:t>
            </w:r>
          </w:p>
        </w:tc>
        <w:tc>
          <w:tcPr>
            <w:tcW w:w="1146"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6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镉</w:t>
            </w:r>
          </w:p>
        </w:tc>
        <w:tc>
          <w:tcPr>
            <w:tcW w:w="259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0.24</w:t>
            </w:r>
          </w:p>
        </w:tc>
        <w:tc>
          <w:tcPr>
            <w:tcW w:w="1146"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6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六价铬</w:t>
            </w:r>
          </w:p>
        </w:tc>
        <w:tc>
          <w:tcPr>
            <w:tcW w:w="259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ND</w:t>
            </w:r>
          </w:p>
        </w:tc>
        <w:tc>
          <w:tcPr>
            <w:tcW w:w="1146"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6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铜</w:t>
            </w:r>
          </w:p>
        </w:tc>
        <w:tc>
          <w:tcPr>
            <w:tcW w:w="259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31</w:t>
            </w:r>
          </w:p>
        </w:tc>
        <w:tc>
          <w:tcPr>
            <w:tcW w:w="1146"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6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铅</w:t>
            </w:r>
          </w:p>
        </w:tc>
        <w:tc>
          <w:tcPr>
            <w:tcW w:w="259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15.1</w:t>
            </w:r>
          </w:p>
        </w:tc>
        <w:tc>
          <w:tcPr>
            <w:tcW w:w="1146"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6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w:t>
            </w:r>
          </w:p>
        </w:tc>
        <w:tc>
          <w:tcPr>
            <w:tcW w:w="259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0.102</w:t>
            </w:r>
          </w:p>
        </w:tc>
        <w:tc>
          <w:tcPr>
            <w:tcW w:w="1146"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6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镍</w:t>
            </w:r>
          </w:p>
        </w:tc>
        <w:tc>
          <w:tcPr>
            <w:tcW w:w="259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70</w:t>
            </w:r>
          </w:p>
        </w:tc>
        <w:tc>
          <w:tcPr>
            <w:tcW w:w="1146"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mg/kg</w:t>
            </w: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注：</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ND </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表示检测结果未检出。</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4.2.</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4</w:t>
      </w:r>
      <w:r>
        <w:rPr>
          <w:rFonts w:ascii="Times New Roman" w:hAnsi="Times New Roman" w:cs="Times New Roman" w:eastAsiaTheme="minorEastAsia"/>
          <w:color w:val="000000" w:themeColor="text1"/>
          <w:sz w:val="24"/>
          <w:szCs w:val="24"/>
          <w:lang w:val="en-US" w:bidi="ar-SA"/>
          <w14:textFill>
            <w14:solidFill>
              <w14:schemeClr w14:val="tx1"/>
            </w14:solidFill>
          </w14:textFill>
        </w:rPr>
        <w:t>.5</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监测结果分析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土壤监测评价结果见表</w:t>
      </w:r>
      <w:r>
        <w:rPr>
          <w:rFonts w:ascii="Times New Roman" w:hAnsi="Times New Roman" w:cs="Times New Roman" w:eastAsiaTheme="minorEastAsia"/>
          <w:color w:val="000000" w:themeColor="text1"/>
          <w:sz w:val="24"/>
          <w:szCs w:val="24"/>
          <w:lang w:val="en-US"/>
          <w14:textFill>
            <w14:solidFill>
              <w14:schemeClr w14:val="tx1"/>
            </w14:solidFill>
          </w14:textFill>
        </w:rPr>
        <w:t>4-2-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13。</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表</w:t>
      </w:r>
      <w:r>
        <w:rPr>
          <w:rFonts w:ascii="Times New Roman" w:hAnsiTheme="minorEastAsia" w:eastAsiaTheme="minorEastAsia"/>
          <w:b/>
          <w:bCs/>
          <w:color w:val="000000" w:themeColor="text1"/>
          <w:szCs w:val="24"/>
          <w14:textFill>
            <w14:solidFill>
              <w14:schemeClr w14:val="tx1"/>
            </w14:solidFill>
          </w14:textFill>
        </w:rPr>
        <w:t>4-2-</w:t>
      </w:r>
      <w:r>
        <w:rPr>
          <w:rFonts w:hint="eastAsia" w:ascii="Times New Roman" w:hAnsiTheme="minorEastAsia" w:eastAsiaTheme="minorEastAsia"/>
          <w:b/>
          <w:bCs/>
          <w:color w:val="000000" w:themeColor="text1"/>
          <w:szCs w:val="24"/>
          <w14:textFill>
            <w14:solidFill>
              <w14:schemeClr w14:val="tx1"/>
            </w14:solidFill>
          </w14:textFill>
        </w:rPr>
        <w:t>13 土壤监测评价结果一览表</w:t>
      </w:r>
    </w:p>
    <w:tbl>
      <w:tblPr>
        <w:tblStyle w:val="7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8"/>
        <w:gridCol w:w="2386"/>
        <w:gridCol w:w="2386"/>
        <w:gridCol w:w="23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9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检测项目</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p>
        </w:tc>
        <w:tc>
          <w:tcPr>
            <w:tcW w:w="140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砷</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0.053</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0.0588</w:t>
            </w:r>
          </w:p>
        </w:tc>
        <w:tc>
          <w:tcPr>
            <w:tcW w:w="140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0.0768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镉</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0.0036</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0.00138</w:t>
            </w:r>
          </w:p>
        </w:tc>
        <w:tc>
          <w:tcPr>
            <w:tcW w:w="140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0.00123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铬（六价）</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40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铜</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0.00172</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0.00206</w:t>
            </w:r>
          </w:p>
        </w:tc>
        <w:tc>
          <w:tcPr>
            <w:tcW w:w="140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铅</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0.0188</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0.0343</w:t>
            </w:r>
          </w:p>
        </w:tc>
        <w:tc>
          <w:tcPr>
            <w:tcW w:w="140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0.0026</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0.0029</w:t>
            </w:r>
          </w:p>
        </w:tc>
        <w:tc>
          <w:tcPr>
            <w:tcW w:w="140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0.00286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79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镍</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0.077</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0.0566</w:t>
            </w:r>
          </w:p>
        </w:tc>
        <w:tc>
          <w:tcPr>
            <w:tcW w:w="140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0.0544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9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其他监测因子</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1400"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40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bl>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4.2.</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4</w:t>
      </w:r>
      <w:r>
        <w:rPr>
          <w:rFonts w:ascii="Times New Roman" w:hAnsi="Times New Roman" w:cs="Times New Roman" w:eastAsiaTheme="minorEastAsia"/>
          <w:color w:val="000000" w:themeColor="text1"/>
          <w:sz w:val="24"/>
          <w:szCs w:val="24"/>
          <w:lang w:val="en-US" w:bidi="ar-SA"/>
          <w14:textFill>
            <w14:solidFill>
              <w14:schemeClr w14:val="tx1"/>
            </w14:solidFill>
          </w14:textFill>
        </w:rPr>
        <w:t>.6</w:t>
      </w:r>
      <w:r>
        <w:rPr>
          <w:rFonts w:hint="eastAsia" w:ascii="Times New Roman" w:hAnsi="Times New Roman" w:cs="Times New Roman" w:eastAsiaTheme="minorEastAsia"/>
          <w:color w:val="000000" w:themeColor="text1"/>
          <w:sz w:val="24"/>
          <w:szCs w:val="24"/>
          <w:lang w:val="en-US" w:bidi="ar-SA"/>
          <w14:textFill>
            <w14:solidFill>
              <w14:schemeClr w14:val="tx1"/>
            </w14:solidFill>
          </w14:textFill>
        </w:rPr>
        <w:t>评价结论</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监测结果表明，</w:t>
      </w:r>
      <w:r>
        <w:rPr>
          <w:rFonts w:ascii="Times New Roman" w:hAnsi="Times New Roman" w:cs="Times New Roman" w:eastAsiaTheme="minorEastAsia"/>
          <w:color w:val="000000" w:themeColor="text1"/>
          <w:sz w:val="24"/>
          <w:szCs w:val="24"/>
          <w:lang w:val="en-US"/>
          <w14:textFill>
            <w14:solidFill>
              <w14:schemeClr w14:val="tx1"/>
            </w14:solidFill>
          </w14:textFill>
        </w:rPr>
        <w:t>1#~3#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各点所有监测指标均达到《土壤环境质量建设用地土壤污染风险管控标准（试行）》（</w:t>
      </w:r>
      <w:r>
        <w:rPr>
          <w:rFonts w:ascii="Times New Roman" w:hAnsi="Times New Roman" w:cs="Times New Roman" w:eastAsiaTheme="minorEastAsia"/>
          <w:color w:val="000000" w:themeColor="text1"/>
          <w:sz w:val="24"/>
          <w:szCs w:val="24"/>
          <w:lang w:val="en-US"/>
          <w14:textFill>
            <w14:solidFill>
              <w14:schemeClr w14:val="tx1"/>
            </w14:solidFill>
          </w14:textFill>
        </w:rPr>
        <w:t>GB 36600-2018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）中的二类建设用地风险筛选值标准，说明项目所在区域及其周边土壤环境质量状况良好。</w:t>
      </w:r>
    </w:p>
    <w:bookmarkEnd w:id="182"/>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4.2.</w:t>
      </w:r>
      <w:r>
        <w:rPr>
          <w:rFonts w:hint="eastAsia" w:ascii="Times New Roman" w:hAnsi="Times New Roman" w:eastAsia="新宋体" w:cstheme="minorBidi"/>
          <w:color w:val="000000" w:themeColor="text1"/>
          <w:szCs w:val="24"/>
          <w:lang w:val="en-US" w:bidi="ar-SA"/>
          <w14:textFill>
            <w14:solidFill>
              <w14:schemeClr w14:val="tx1"/>
            </w14:solidFill>
          </w14:textFill>
        </w:rPr>
        <w:t>5</w:t>
      </w:r>
      <w:r>
        <w:rPr>
          <w:rFonts w:ascii="Times New Roman" w:hAnsi="Times New Roman" w:eastAsia="新宋体" w:cstheme="minorBidi"/>
          <w:color w:val="000000" w:themeColor="text1"/>
          <w:szCs w:val="24"/>
          <w:lang w:val="en-US" w:bidi="ar-SA"/>
          <w14:textFill>
            <w14:solidFill>
              <w14:schemeClr w14:val="tx1"/>
            </w14:solidFill>
          </w14:textFill>
        </w:rPr>
        <w:t>生态环境现状</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所在区域由于多年的开发活动，本项目区自然生态环境已为人工生态环境所取代。项目区域内主要为绿化植被分布，以杨树、柳树、丁香为主，有效地改善了生态环境质量。本区陆生动物有少量的野生动物，包括鸟、鼠、昆虫等，但已无大型野生哺乳动物。</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187" w:name="_Toc162605178"/>
      <w:r>
        <w:rPr>
          <w:rFonts w:ascii="Times New Roman" w:hAnsi="Times New Roman" w:cs="Times New Roman" w:eastAsiaTheme="minorEastAsia"/>
          <w:color w:val="000000" w:themeColor="text1"/>
          <w:szCs w:val="24"/>
          <w:lang w:val="en-US" w:bidi="ar-SA"/>
          <w14:textFill>
            <w14:solidFill>
              <w14:schemeClr w14:val="tx1"/>
            </w14:solidFill>
          </w14:textFill>
        </w:rPr>
        <w:t>4.</w:t>
      </w:r>
      <w:r>
        <w:rPr>
          <w:rFonts w:hint="eastAsia" w:ascii="Times New Roman" w:hAnsi="Times New Roman" w:cs="Times New Roman" w:eastAsiaTheme="minorEastAsia"/>
          <w:color w:val="000000" w:themeColor="text1"/>
          <w:szCs w:val="24"/>
          <w:lang w:val="en-US" w:bidi="ar-SA"/>
          <w14:textFill>
            <w14:solidFill>
              <w14:schemeClr w14:val="tx1"/>
            </w14:solidFill>
          </w14:textFill>
        </w:rPr>
        <w:t>3</w:t>
      </w:r>
      <w:r>
        <w:rPr>
          <w:rFonts w:ascii="Times New Roman" w:hAnsi="Times New Roman" w:cs="Times New Roman" w:eastAsiaTheme="minorEastAsia"/>
          <w:color w:val="000000" w:themeColor="text1"/>
          <w:szCs w:val="24"/>
          <w:lang w:val="en-US" w:bidi="ar-SA"/>
          <w14:textFill>
            <w14:solidFill>
              <w14:schemeClr w14:val="tx1"/>
            </w14:solidFill>
          </w14:textFill>
        </w:rPr>
        <w:t>区域污染源调查</w:t>
      </w:r>
      <w:bookmarkEnd w:id="187"/>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红兴隆局直地区</w:t>
      </w:r>
      <w:r>
        <w:rPr>
          <w:rFonts w:ascii="Times New Roman" w:hAnsi="Times New Roman" w:cs="Times New Roman" w:eastAsiaTheme="minorEastAsia"/>
          <w:color w:val="000000" w:themeColor="text1"/>
          <w:sz w:val="24"/>
          <w:szCs w:val="24"/>
          <w:lang w:val="en-US"/>
          <w14:textFill>
            <w14:solidFill>
              <w14:schemeClr w14:val="tx1"/>
            </w14:solidFill>
          </w14:textFill>
        </w:rPr>
        <w:t>已完成小锅炉淘汰工作，评价范围内无分散小锅炉，无其他拟替代小锅炉。</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一、</w:t>
      </w:r>
      <w:r>
        <w:rPr>
          <w:rFonts w:ascii="Times New Roman" w:hAnsi="Times New Roman" w:cs="Times New Roman" w:eastAsiaTheme="minorEastAsia"/>
          <w:color w:val="000000" w:themeColor="text1"/>
          <w:sz w:val="24"/>
          <w:szCs w:val="24"/>
          <w:lang w:val="en-US"/>
          <w14:textFill>
            <w14:solidFill>
              <w14:schemeClr w14:val="tx1"/>
            </w14:solidFill>
          </w14:textFill>
        </w:rPr>
        <w:t>大气污染源</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区域周边大气污染源主要为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本项目现有</w:t>
      </w:r>
      <w:r>
        <w:rPr>
          <w:rFonts w:ascii="Times New Roman" w:hAnsi="Times New Roman" w:cs="Times New Roman" w:eastAsiaTheme="minorEastAsia"/>
          <w:color w:val="000000" w:themeColor="text1"/>
          <w:sz w:val="24"/>
          <w:szCs w:val="24"/>
          <w:lang w:val="en-US"/>
          <w14:textFill>
            <w14:solidFill>
              <w14:schemeClr w14:val="tx1"/>
            </w14:solidFill>
          </w14:textFill>
        </w:rPr>
        <w:t>供热锅炉废气、交通废气、工业废气</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等</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经过调查，本项目现有锅炉房建设2台70MW燃煤热水锅炉，包含热力站14座。原有除尘工艺为干式+湿式除尘器，去除效率约为90%；原有脱硫工艺为</w:t>
      </w:r>
      <w:r>
        <w:rPr>
          <w:rFonts w:ascii="Times New Roman" w:hAnsi="Times New Roman" w:cs="Times New Roman" w:eastAsiaTheme="minorEastAsia"/>
          <w:color w:val="000000" w:themeColor="text1"/>
          <w:sz w:val="24"/>
          <w:szCs w:val="24"/>
          <w:lang w:val="en-US"/>
          <w14:textFill>
            <w14:solidFill>
              <w14:schemeClr w14:val="tx1"/>
            </w14:solidFill>
          </w14:textFill>
        </w:rPr>
        <w:t>湿式镁法脱硫</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，但设备老旧，去除效率约为60%。采用低氮燃烧</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于2022年对除尘及脱硫设施进行改造，</w:t>
      </w:r>
      <w:r>
        <w:rPr>
          <w:rFonts w:ascii="Times New Roman" w:hAnsi="Times New Roman" w:cs="Times New Roman" w:eastAsiaTheme="minorEastAsia"/>
          <w:color w:val="000000" w:themeColor="text1"/>
          <w:sz w:val="24"/>
          <w:szCs w:val="24"/>
          <w:lang w:val="en-US"/>
          <w14:textFill>
            <w14:solidFill>
              <w14:schemeClr w14:val="tx1"/>
            </w14:solidFill>
          </w14:textFill>
        </w:rPr>
        <w:t>烟气除尘采用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布袋</w:t>
      </w:r>
      <w:r>
        <w:rPr>
          <w:rFonts w:ascii="Times New Roman" w:hAnsi="Times New Roman" w:cs="Times New Roman" w:eastAsiaTheme="minorEastAsia"/>
          <w:color w:val="000000" w:themeColor="text1"/>
          <w:sz w:val="24"/>
          <w:szCs w:val="24"/>
          <w:lang w:val="en-US"/>
          <w14:textFill>
            <w14:solidFill>
              <w14:schemeClr w14:val="tx1"/>
            </w14:solidFill>
          </w14:textFill>
        </w:rPr>
        <w:t>除尘器，除尘效率≥</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99.95</w:t>
      </w:r>
      <w:r>
        <w:rPr>
          <w:rFonts w:ascii="Times New Roman" w:hAnsi="Times New Roman" w:cs="Times New Roman" w:eastAsiaTheme="minorEastAsia"/>
          <w:color w:val="000000" w:themeColor="text1"/>
          <w:sz w:val="24"/>
          <w:szCs w:val="24"/>
          <w:lang w:val="en-US"/>
          <w14:textFill>
            <w14:solidFill>
              <w14:schemeClr w14:val="tx1"/>
            </w14:solidFill>
          </w14:textFill>
        </w:rPr>
        <w:t>%；烟气脱硫采用氧化镁法脱硫，脱硫效率≥</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95</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。现有70MW燃煤热水锅炉大气污染物排放量为：</w:t>
      </w:r>
      <w:r>
        <w:rPr>
          <w:rFonts w:ascii="Times New Roman" w:hAnsi="Times New Roman" w:cs="Times New Roman" w:eastAsiaTheme="minorEastAsia"/>
          <w:color w:val="000000" w:themeColor="text1"/>
          <w:sz w:val="24"/>
          <w:szCs w:val="24"/>
          <w:lang w:val="en-US"/>
          <w14:textFill>
            <w14:solidFill>
              <w14:schemeClr w14:val="tx1"/>
            </w14:solidFill>
          </w14:textFill>
        </w:rPr>
        <w:t>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：164.740</w:t>
      </w:r>
      <w:r>
        <w:rPr>
          <w:rFonts w:ascii="Times New Roman" w:hAnsi="Times New Roman" w:cs="Times New Roman" w:eastAsiaTheme="minorEastAsia"/>
          <w:color w:val="000000" w:themeColor="text1"/>
          <w:sz w:val="24"/>
          <w:szCs w:val="24"/>
          <w:lang w:val="en-US"/>
          <w14:textFill>
            <w14:solidFill>
              <w14:schemeClr w14:val="tx1"/>
            </w14:solidFill>
          </w14:textFill>
        </w:rPr>
        <w:t>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NOx</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：205.920</w:t>
      </w:r>
      <w:r>
        <w:rPr>
          <w:rFonts w:ascii="Times New Roman" w:hAnsi="Times New Roman" w:cs="Times New Roman" w:eastAsiaTheme="minorEastAsia"/>
          <w:color w:val="000000" w:themeColor="text1"/>
          <w:sz w:val="24"/>
          <w:szCs w:val="24"/>
          <w:lang w:val="en-US"/>
          <w14:textFill>
            <w14:solidFill>
              <w14:schemeClr w14:val="tx1"/>
            </w14:solidFill>
          </w14:textFill>
        </w:rPr>
        <w:t>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；颗粒物：41.180</w:t>
      </w:r>
      <w:r>
        <w:rPr>
          <w:rFonts w:ascii="Times New Roman" w:hAnsi="Times New Roman" w:cs="Times New Roman" w:eastAsiaTheme="minorEastAsia"/>
          <w:color w:val="000000" w:themeColor="text1"/>
          <w:sz w:val="24"/>
          <w:szCs w:val="24"/>
          <w:lang w:val="en-US"/>
          <w14:textFill>
            <w14:solidFill>
              <w14:schemeClr w14:val="tx1"/>
            </w14:solidFill>
          </w14:textFill>
        </w:rPr>
        <w:t>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（脱硫除尘改造前）。根据黑龙江农泉兴隆热力有限公司2023年度排污许可执行报告，脱硫除尘改造后年大气污染物排放量为：</w:t>
      </w:r>
      <w:r>
        <w:rPr>
          <w:rFonts w:ascii="Times New Roman" w:hAnsi="Times New Roman" w:cs="Times New Roman" w:eastAsiaTheme="minorEastAsia"/>
          <w:color w:val="000000" w:themeColor="text1"/>
          <w:sz w:val="24"/>
          <w:szCs w:val="24"/>
          <w:lang w:val="en-US"/>
          <w14:textFill>
            <w14:solidFill>
              <w14:schemeClr w14:val="tx1"/>
            </w14:solidFill>
          </w14:textFill>
        </w:rPr>
        <w:t>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：117.543</w:t>
      </w:r>
      <w:r>
        <w:rPr>
          <w:rFonts w:ascii="Times New Roman" w:hAnsi="Times New Roman" w:cs="Times New Roman" w:eastAsiaTheme="minorEastAsia"/>
          <w:color w:val="000000" w:themeColor="text1"/>
          <w:sz w:val="24"/>
          <w:szCs w:val="24"/>
          <w:lang w:val="en-US"/>
          <w14:textFill>
            <w14:solidFill>
              <w14:schemeClr w14:val="tx1"/>
            </w14:solidFill>
          </w14:textFill>
        </w:rPr>
        <w:t>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NOx</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：142.190</w:t>
      </w:r>
      <w:r>
        <w:rPr>
          <w:rFonts w:ascii="Times New Roman" w:hAnsi="Times New Roman" w:cs="Times New Roman" w:eastAsiaTheme="minorEastAsia"/>
          <w:color w:val="000000" w:themeColor="text1"/>
          <w:sz w:val="24"/>
          <w:szCs w:val="24"/>
          <w:lang w:val="en-US"/>
          <w14:textFill>
            <w14:solidFill>
              <w14:schemeClr w14:val="tx1"/>
            </w14:solidFill>
          </w14:textFill>
        </w:rPr>
        <w:t>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；颗粒物：23.138</w:t>
      </w:r>
      <w:r>
        <w:rPr>
          <w:rFonts w:ascii="Times New Roman" w:hAnsi="Times New Roman" w:cs="Times New Roman" w:eastAsiaTheme="minorEastAsia"/>
          <w:color w:val="000000" w:themeColor="text1"/>
          <w:sz w:val="24"/>
          <w:szCs w:val="24"/>
          <w:lang w:val="en-US"/>
          <w14:textFill>
            <w14:solidFill>
              <w14:schemeClr w14:val="tx1"/>
            </w14:solidFill>
          </w14:textFill>
        </w:rPr>
        <w:t>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二、</w:t>
      </w:r>
      <w:r>
        <w:rPr>
          <w:rFonts w:ascii="Times New Roman" w:hAnsi="Times New Roman" w:cs="Times New Roman" w:eastAsiaTheme="minorEastAsia"/>
          <w:color w:val="000000" w:themeColor="text1"/>
          <w:sz w:val="24"/>
          <w:szCs w:val="24"/>
          <w:lang w:val="en-US"/>
          <w14:textFill>
            <w14:solidFill>
              <w14:schemeClr w14:val="tx1"/>
            </w14:solidFill>
          </w14:textFill>
        </w:rPr>
        <w:t>地表水污染源</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区域地表水污染主要为面源污染，来自生活污水散排及农药化肥地表径流污染。</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三、</w:t>
      </w:r>
      <w:r>
        <w:rPr>
          <w:rFonts w:ascii="Times New Roman" w:hAnsi="Times New Roman" w:cs="Times New Roman" w:eastAsiaTheme="minorEastAsia"/>
          <w:color w:val="000000" w:themeColor="text1"/>
          <w:sz w:val="24"/>
          <w:szCs w:val="24"/>
          <w:lang w:val="en-US"/>
          <w14:textFill>
            <w14:solidFill>
              <w14:schemeClr w14:val="tx1"/>
            </w14:solidFill>
          </w14:textFill>
        </w:rPr>
        <w:t>地下水污染源</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区域地下水污染源主要为农药化肥，经降雨和灌溉随水淋溶进入地下水，对地下水造成污染。</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四、</w:t>
      </w:r>
      <w:r>
        <w:rPr>
          <w:rFonts w:ascii="Times New Roman" w:hAnsi="Times New Roman" w:cs="Times New Roman" w:eastAsiaTheme="minorEastAsia"/>
          <w:color w:val="000000" w:themeColor="text1"/>
          <w:sz w:val="24"/>
          <w:szCs w:val="24"/>
          <w:lang w:val="en-US"/>
          <w14:textFill>
            <w14:solidFill>
              <w14:schemeClr w14:val="tx1"/>
            </w14:solidFill>
          </w14:textFill>
        </w:rPr>
        <w:t>噪声污染源</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本项目周边区域噪声主要污染源为城市生活噪声、交通噪声、工业噪声。</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五、</w:t>
      </w:r>
      <w:r>
        <w:rPr>
          <w:rFonts w:ascii="Times New Roman" w:hAnsi="Times New Roman" w:cs="Times New Roman" w:eastAsiaTheme="minorEastAsia"/>
          <w:color w:val="000000" w:themeColor="text1"/>
          <w:sz w:val="24"/>
          <w:szCs w:val="24"/>
          <w:lang w:val="en-US"/>
          <w14:textFill>
            <w14:solidFill>
              <w14:schemeClr w14:val="tx1"/>
            </w14:solidFill>
          </w14:textFill>
        </w:rPr>
        <w:t>土壤污染源</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所在区域</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才在</w:t>
      </w:r>
      <w:r>
        <w:rPr>
          <w:rFonts w:ascii="Times New Roman" w:hAnsi="Times New Roman" w:cs="Times New Roman" w:eastAsiaTheme="minorEastAsia"/>
          <w:color w:val="000000" w:themeColor="text1"/>
          <w:sz w:val="24"/>
          <w:szCs w:val="24"/>
          <w:lang w:val="en-US"/>
          <w14:textFill>
            <w14:solidFill>
              <w14:schemeClr w14:val="tx1"/>
            </w14:solidFill>
          </w14:textFill>
        </w:rPr>
        <w:t>农田，如农药化肥使用不当或使用过量，农用薄膜残留土壤，不仅会导致农产品的农药残留和重金属超标，还可能造成严重的土壤污染。</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188" w:name="_Toc162605179"/>
      <w:r>
        <w:rPr>
          <w:rFonts w:ascii="Times New Roman" w:hAnsi="Times New Roman" w:cs="Times New Roman" w:eastAsiaTheme="minorEastAsia"/>
          <w:color w:val="000000" w:themeColor="text1"/>
          <w:szCs w:val="24"/>
          <w:lang w:val="en-US" w:bidi="ar-SA"/>
          <w14:textFill>
            <w14:solidFill>
              <w14:schemeClr w14:val="tx1"/>
            </w14:solidFill>
          </w14:textFill>
        </w:rPr>
        <w:t>4.</w:t>
      </w:r>
      <w:r>
        <w:rPr>
          <w:rFonts w:hint="eastAsia" w:ascii="Times New Roman" w:hAnsi="Times New Roman" w:cs="Times New Roman" w:eastAsiaTheme="minorEastAsia"/>
          <w:color w:val="000000" w:themeColor="text1"/>
          <w:szCs w:val="24"/>
          <w:lang w:val="en-US" w:bidi="ar-SA"/>
          <w14:textFill>
            <w14:solidFill>
              <w14:schemeClr w14:val="tx1"/>
            </w14:solidFill>
          </w14:textFill>
        </w:rPr>
        <w:t>4环境保护目标</w:t>
      </w:r>
      <w:r>
        <w:rPr>
          <w:rFonts w:ascii="Times New Roman" w:hAnsi="Times New Roman" w:cs="Times New Roman" w:eastAsiaTheme="minorEastAsia"/>
          <w:color w:val="000000" w:themeColor="text1"/>
          <w:szCs w:val="24"/>
          <w:lang w:val="en-US" w:bidi="ar-SA"/>
          <w14:textFill>
            <w14:solidFill>
              <w14:schemeClr w14:val="tx1"/>
            </w14:solidFill>
          </w14:textFill>
        </w:rPr>
        <w:t>调查</w:t>
      </w:r>
      <w:bookmarkEnd w:id="188"/>
    </w:p>
    <w:p>
      <w:pPr>
        <w:pStyle w:val="26"/>
        <w:numPr>
          <w:ilvl w:val="0"/>
          <w:numId w:val="7"/>
        </w:numPr>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调查过程：根据《建设项目环境影响评价技术导则 总纲》（HJ2.1-2016），环境保护目标调查应调查评价范围内的环境功能区划和主要的环境敏感区，详细了解环境保护目标的地理位置、服务功能、四至范围、保护对象和保护要求等。调查</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结果</w:t>
      </w:r>
      <w:r>
        <w:rPr>
          <w:rFonts w:ascii="Times New Roman" w:hAnsi="Times New Roman" w:cs="Times New Roman" w:eastAsiaTheme="minorEastAsia"/>
          <w:color w:val="000000" w:themeColor="text1"/>
          <w:sz w:val="24"/>
          <w:szCs w:val="24"/>
          <w:lang w:val="en-US"/>
          <w14:textFill>
            <w14:solidFill>
              <w14:schemeClr w14:val="tx1"/>
            </w14:solidFill>
          </w14:textFill>
        </w:rPr>
        <w:t>如下：</w:t>
      </w:r>
    </w:p>
    <w:p>
      <w:pPr>
        <w:pStyle w:val="26"/>
        <w:numPr>
          <w:ilvl w:val="0"/>
          <w:numId w:val="7"/>
        </w:numPr>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项目区不在自然遗产地、国家风景名胜区、文化遗产地及自然保护区范围内。</w:t>
      </w:r>
    </w:p>
    <w:p>
      <w:pPr>
        <w:pStyle w:val="26"/>
        <w:numPr>
          <w:ilvl w:val="0"/>
          <w:numId w:val="7"/>
        </w:numPr>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水源地保护区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本项目评价范围内无水源地保护区。</w:t>
      </w:r>
    </w:p>
    <w:p>
      <w:pPr>
        <w:pStyle w:val="26"/>
        <w:numPr>
          <w:ilvl w:val="0"/>
          <w:numId w:val="7"/>
        </w:numPr>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本项目评价范围内无森林公园、地质公园、天然林、野生动物重要栖息地、重点保护野生植物生长繁殖地。</w:t>
      </w:r>
    </w:p>
    <w:p>
      <w:pPr>
        <w:pStyle w:val="26"/>
        <w:numPr>
          <w:ilvl w:val="0"/>
          <w:numId w:val="7"/>
        </w:numPr>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距离本项目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最近的地表水体为扁石河。扁石河为挠力河支流，根据</w:t>
      </w:r>
      <w:r>
        <w:rPr>
          <w:rFonts w:ascii="Times New Roman" w:hAnsi="Times New Roman" w:cs="Times New Roman" w:eastAsiaTheme="minorEastAsia"/>
          <w:color w:val="000000" w:themeColor="text1"/>
          <w:sz w:val="24"/>
          <w:szCs w:val="24"/>
          <w:lang w:val="en-US"/>
          <w14:textFill>
            <w14:solidFill>
              <w14:schemeClr w14:val="tx1"/>
            </w14:solidFill>
          </w14:textFill>
        </w:rPr>
        <w:t>《国务院关于全国重要江河湖泊水功能区划（2010-2030年）的批复》国函[2011]167号文件，</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挠力河（大、小挠力河汇合至炮台亮子断面）为</w:t>
      </w:r>
      <w:r>
        <w:rPr>
          <w:rFonts w:ascii="Times New Roman" w:hAnsi="Times New Roman" w:cs="Times New Roman" w:eastAsiaTheme="minorEastAsia"/>
          <w:color w:val="000000" w:themeColor="text1"/>
          <w:sz w:val="24"/>
          <w:szCs w:val="24"/>
          <w:lang w:val="en-US"/>
          <w14:textFill>
            <w14:solidFill>
              <w14:schemeClr w14:val="tx1"/>
            </w14:solidFill>
          </w14:textFill>
        </w:rPr>
        <w:t>Ⅲ类</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水体</w:t>
      </w:r>
      <w:r>
        <w:rPr>
          <w:rFonts w:ascii="Times New Roman" w:hAnsi="Times New Roman" w:cs="Times New Roman" w:eastAsiaTheme="minorEastAsia"/>
          <w:color w:val="000000" w:themeColor="text1"/>
          <w:sz w:val="24"/>
          <w:szCs w:val="24"/>
          <w:lang w:val="en-US"/>
          <w14:textFill>
            <w14:solidFill>
              <w14:schemeClr w14:val="tx1"/>
            </w14:solidFill>
          </w14:textFill>
        </w:rPr>
        <w:t>，该断面执行国家《地表水环境质量标准》（GB3838-2002）中的Ⅲ类标准。根据《202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年黑龙江省生态环境质量状况》，</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2022年，全省 205个国、省控地表水断面(点位)，总体水质状况为轻度污染，I-Ⅲ类水质比例为 65.9%，劣V类水质比例为 1.5%。与上年同期相比，I -Ⅲ类水质比例上升 9.4个百分点，劣V类水质比例上升 0.4个百分点。双鸭山市地表水国家考核断面共6个，1-Ⅲ类水质比例为66.7%，无劣V类水质断面。与上年同期相比，I-Ⅲ类水质比例保持不变，均无劣V类水质断面。双鸭山市饮用水水源地水量达标率为100%。地表水环境质量现状良好</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numPr>
          <w:ilvl w:val="0"/>
          <w:numId w:val="7"/>
        </w:numPr>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本项目位于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红兴隆管理局在管理局局直南侧现有锅炉房</w:t>
      </w:r>
      <w:r>
        <w:rPr>
          <w:rFonts w:ascii="Times New Roman" w:hAnsi="Times New Roman" w:cs="Times New Roman" w:eastAsiaTheme="minorEastAsia"/>
          <w:color w:val="000000" w:themeColor="text1"/>
          <w:sz w:val="24"/>
          <w:szCs w:val="24"/>
          <w:lang w:val="en-US"/>
          <w14:textFill>
            <w14:solidFill>
              <w14:schemeClr w14:val="tx1"/>
            </w14:solidFill>
          </w14:textFill>
        </w:rPr>
        <w:t>院内，项目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w:t>
      </w:r>
      <w:r>
        <w:rPr>
          <w:rFonts w:ascii="Times New Roman" w:hAnsi="Times New Roman" w:cs="Times New Roman" w:eastAsiaTheme="minorEastAsia"/>
          <w:color w:val="000000" w:themeColor="text1"/>
          <w:sz w:val="24"/>
          <w:szCs w:val="24"/>
          <w:lang w:val="en-US"/>
          <w14:textFill>
            <w14:solidFill>
              <w14:schemeClr w14:val="tx1"/>
            </w14:solidFill>
          </w14:textFill>
        </w:rPr>
        <w:t>北侧</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为空地，厂区北侧230</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红兴隆管理局居民区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西北</w:t>
      </w:r>
      <w:r>
        <w:rPr>
          <w:rFonts w:ascii="Times New Roman" w:hAnsi="Times New Roman" w:cs="Times New Roman" w:eastAsiaTheme="minorEastAsia"/>
          <w:color w:val="000000" w:themeColor="text1"/>
          <w:sz w:val="24"/>
          <w:szCs w:val="24"/>
          <w:lang w:val="en-US"/>
          <w14:textFill>
            <w14:solidFill>
              <w14:schemeClr w14:val="tx1"/>
            </w14:solidFill>
          </w14:textFill>
        </w:rPr>
        <w:t>侧</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70m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红兴隆管理局住宅小区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厂区西侧</w:t>
      </w:r>
      <w:r>
        <w:rPr>
          <w:rFonts w:ascii="Times New Roman" w:hAnsi="Times New Roman" w:cs="Times New Roman" w:eastAsiaTheme="minorEastAsia"/>
          <w:color w:val="000000" w:themeColor="text1"/>
          <w:sz w:val="24"/>
          <w:szCs w:val="24"/>
          <w:lang w:val="en-US"/>
          <w14:textFill>
            <w14:solidFill>
              <w14:schemeClr w14:val="tx1"/>
            </w14:solidFill>
          </w14:textFill>
        </w:rPr>
        <w:t>方向</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46</w:t>
      </w:r>
      <w:r>
        <w:rPr>
          <w:rFonts w:ascii="Times New Roman" w:hAnsi="Times New Roman" w:cs="Times New Roman" w:eastAsiaTheme="minorEastAsia"/>
          <w:color w:val="000000" w:themeColor="text1"/>
          <w:sz w:val="24"/>
          <w:szCs w:val="24"/>
          <w:lang w:val="en-US"/>
          <w14:textFill>
            <w14:solidFill>
              <w14:schemeClr w14:val="tx1"/>
            </w14:solidFill>
          </w14:textFill>
        </w:rPr>
        <w:t>0m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爱林村居民区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厂区南侧为农田；厂区东侧为空地</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本项目200米范围内无声环境保护目标分布。</w:t>
      </w:r>
    </w:p>
    <w:p>
      <w:pPr>
        <w:pStyle w:val="26"/>
        <w:numPr>
          <w:ilvl w:val="0"/>
          <w:numId w:val="7"/>
        </w:numPr>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0" w:num="1"/>
          <w:docGrid w:type="linesAndChars" w:linePitch="312" w:charSpace="-551"/>
        </w:sectPr>
      </w:pPr>
    </w:p>
    <w:p>
      <w:pPr>
        <w:pStyle w:val="3"/>
        <w:ind w:firstLine="878"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89" w:name="_Toc162605180"/>
      <w:r>
        <w:rPr>
          <w:rFonts w:ascii="Times New Roman" w:hAnsi="Times New Roman" w:eastAsia="新宋体" w:cstheme="minorBidi"/>
          <w:color w:val="000000" w:themeColor="text1"/>
          <w:szCs w:val="24"/>
          <w:lang w:val="en-US" w:bidi="ar-SA"/>
          <w14:textFill>
            <w14:solidFill>
              <w14:schemeClr w14:val="tx1"/>
            </w14:solidFill>
          </w14:textFill>
        </w:rPr>
        <w:t>5环境影响预测及评价</w:t>
      </w:r>
      <w:bookmarkEnd w:id="189"/>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190" w:name="_Toc351986972"/>
      <w:bookmarkStart w:id="191" w:name="_Toc312941488"/>
      <w:bookmarkStart w:id="192" w:name="_Toc522540869"/>
      <w:bookmarkStart w:id="193" w:name="_Toc487620396"/>
      <w:bookmarkStart w:id="194" w:name="_Toc162605181"/>
      <w:r>
        <w:rPr>
          <w:rFonts w:ascii="Times New Roman" w:hAnsi="Times New Roman" w:cs="Times New Roman" w:eastAsiaTheme="minorEastAsia"/>
          <w:color w:val="000000" w:themeColor="text1"/>
          <w:szCs w:val="24"/>
          <w:lang w:val="en-US" w:bidi="ar-SA"/>
          <w14:textFill>
            <w14:solidFill>
              <w14:schemeClr w14:val="tx1"/>
            </w14:solidFill>
          </w14:textFill>
        </w:rPr>
        <w:t>5.</w:t>
      </w:r>
      <w:bookmarkEnd w:id="190"/>
      <w:bookmarkEnd w:id="191"/>
      <w:r>
        <w:rPr>
          <w:rFonts w:ascii="Times New Roman" w:hAnsi="Times New Roman" w:cs="Times New Roman" w:eastAsiaTheme="minorEastAsia"/>
          <w:color w:val="000000" w:themeColor="text1"/>
          <w:szCs w:val="24"/>
          <w:lang w:val="en-US" w:bidi="ar-SA"/>
          <w14:textFill>
            <w14:solidFill>
              <w14:schemeClr w14:val="tx1"/>
            </w14:solidFill>
          </w14:textFill>
        </w:rPr>
        <w:t>1施工期环境影响</w:t>
      </w:r>
      <w:bookmarkEnd w:id="192"/>
      <w:bookmarkEnd w:id="193"/>
      <w:bookmarkEnd w:id="194"/>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195" w:name="_Toc8718"/>
      <w:bookmarkStart w:id="196" w:name="_Toc191986985"/>
      <w:bookmarkStart w:id="197" w:name="_Toc158308777"/>
      <w:bookmarkStart w:id="198" w:name="_Toc151170499"/>
      <w:bookmarkStart w:id="199" w:name="_Toc177717551"/>
      <w:bookmarkStart w:id="200" w:name="_Toc176859954"/>
      <w:bookmarkStart w:id="201" w:name="_Toc167689693"/>
      <w:bookmarkStart w:id="202" w:name="_Toc158379378"/>
      <w:bookmarkStart w:id="203" w:name="_Toc196878217"/>
      <w:bookmarkStart w:id="204" w:name="_Toc191976579"/>
      <w:bookmarkStart w:id="205" w:name="_Toc167784912"/>
      <w:r>
        <w:rPr>
          <w:rFonts w:ascii="Times New Roman" w:hAnsi="Times New Roman" w:eastAsia="新宋体" w:cstheme="minorBidi"/>
          <w:color w:val="000000" w:themeColor="text1"/>
          <w:szCs w:val="24"/>
          <w:lang w:val="en-US" w:bidi="ar-SA"/>
          <w14:textFill>
            <w14:solidFill>
              <w14:schemeClr w14:val="tx1"/>
            </w14:solidFill>
          </w14:textFill>
        </w:rPr>
        <w:t xml:space="preserve">5.1.1 </w:t>
      </w:r>
      <w:bookmarkEnd w:id="195"/>
      <w:r>
        <w:rPr>
          <w:rFonts w:ascii="Times New Roman" w:hAnsi="Times New Roman" w:eastAsia="新宋体" w:cstheme="minorBidi"/>
          <w:color w:val="000000" w:themeColor="text1"/>
          <w:szCs w:val="24"/>
          <w:lang w:val="en-US" w:bidi="ar-SA"/>
          <w14:textFill>
            <w14:solidFill>
              <w14:schemeClr w14:val="tx1"/>
            </w14:solidFill>
          </w14:textFill>
        </w:rPr>
        <w:t>施工期废气影响分析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施工期扬尘主要来自现场材料堆放以及原材料的运输。扬尘量的大小与施工现场条件、管理水平、机械化程度及施工季节、土质及天气等诸多因素有关，是一个复杂、以难定量的问题。本评价采用类比法对施工期产生的扬尘进行分析，具体资料见表5-1-1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表5-1-1  建筑施工现场扬尘（TSP）对环境的污染状况</w:t>
      </w:r>
      <w:r>
        <w:rPr>
          <w:rFonts w:hint="eastAsia" w:ascii="Times New Roman" w:hAnsiTheme="minorEastAsia" w:eastAsiaTheme="minorEastAsia"/>
          <w:b/>
          <w:bCs/>
          <w:color w:val="000000" w:themeColor="text1"/>
          <w:szCs w:val="24"/>
          <w14:textFill>
            <w14:solidFill>
              <w14:schemeClr w14:val="tx1"/>
            </w14:solidFill>
          </w14:textFill>
        </w:rPr>
        <w:t xml:space="preserve">  </w:t>
      </w:r>
      <w:r>
        <w:rPr>
          <w:rFonts w:ascii="Times New Roman" w:hAnsiTheme="minorEastAsia" w:eastAsiaTheme="minorEastAsia"/>
          <w:b/>
          <w:bCs/>
          <w:color w:val="000000" w:themeColor="text1"/>
          <w:szCs w:val="24"/>
          <w14:textFill>
            <w14:solidFill>
              <w14:schemeClr w14:val="tx1"/>
            </w14:solidFill>
          </w14:textFill>
        </w:rPr>
        <w:t>单位mg/m</w:t>
      </w:r>
      <w:r>
        <w:rPr>
          <w:rFonts w:ascii="Times New Roman" w:hAnsiTheme="minorEastAsia" w:eastAsiaTheme="minorEastAsia"/>
          <w:b/>
          <w:bCs/>
          <w:color w:val="000000" w:themeColor="text1"/>
          <w:szCs w:val="24"/>
          <w:vertAlign w:val="superscript"/>
          <w14:textFill>
            <w14:solidFill>
              <w14:schemeClr w14:val="tx1"/>
            </w14:solidFill>
          </w14:textFill>
        </w:rPr>
        <w:t>3</w:t>
      </w:r>
    </w:p>
    <w:tbl>
      <w:tblPr>
        <w:tblStyle w:val="70"/>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789"/>
        <w:gridCol w:w="904"/>
        <w:gridCol w:w="845"/>
        <w:gridCol w:w="844"/>
        <w:gridCol w:w="889"/>
        <w:gridCol w:w="950"/>
        <w:gridCol w:w="834"/>
        <w:gridCol w:w="146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1789" w:type="dxa"/>
            <w:vMerge w:val="restart"/>
            <w:tcBorders>
              <w:top w:val="single" w:color="000000" w:sz="12" w:space="0"/>
              <w:left w:val="nil"/>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防尘措施</w:t>
            </w:r>
          </w:p>
        </w:tc>
        <w:tc>
          <w:tcPr>
            <w:tcW w:w="5266" w:type="dxa"/>
            <w:gridSpan w:val="6"/>
            <w:tcBorders>
              <w:top w:val="single" w:color="000000" w:sz="12"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工地下风向距离</w:t>
            </w:r>
          </w:p>
        </w:tc>
        <w:tc>
          <w:tcPr>
            <w:tcW w:w="1467" w:type="dxa"/>
            <w:vMerge w:val="restart"/>
            <w:tcBorders>
              <w:top w:val="single" w:color="000000" w:sz="12" w:space="0"/>
              <w:left w:val="single" w:color="000000" w:sz="4" w:space="0"/>
              <w:bottom w:val="single" w:color="000000"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工地上风向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（对照点）</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1789" w:type="dxa"/>
            <w:vMerge w:val="continue"/>
            <w:tcBorders>
              <w:top w:val="single" w:color="000000" w:sz="12" w:space="0"/>
              <w:left w:val="nil"/>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04" w:type="dxa"/>
            <w:tcBorders>
              <w:top w:val="single" w:color="000000" w:sz="4"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20m</w:t>
            </w:r>
          </w:p>
        </w:tc>
        <w:tc>
          <w:tcPr>
            <w:tcW w:w="845" w:type="dxa"/>
            <w:tcBorders>
              <w:top w:val="single" w:color="000000" w:sz="4"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50m</w:t>
            </w:r>
          </w:p>
        </w:tc>
        <w:tc>
          <w:tcPr>
            <w:tcW w:w="844" w:type="dxa"/>
            <w:tcBorders>
              <w:top w:val="single" w:color="000000" w:sz="4"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100m</w:t>
            </w:r>
          </w:p>
        </w:tc>
        <w:tc>
          <w:tcPr>
            <w:tcW w:w="889" w:type="dxa"/>
            <w:tcBorders>
              <w:top w:val="single" w:color="000000" w:sz="4"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150m</w:t>
            </w:r>
          </w:p>
        </w:tc>
        <w:tc>
          <w:tcPr>
            <w:tcW w:w="950" w:type="dxa"/>
            <w:tcBorders>
              <w:top w:val="single" w:color="000000" w:sz="4"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200m</w:t>
            </w:r>
          </w:p>
        </w:tc>
        <w:tc>
          <w:tcPr>
            <w:tcW w:w="834" w:type="dxa"/>
            <w:tcBorders>
              <w:top w:val="single" w:color="000000" w:sz="4"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250m</w:t>
            </w:r>
          </w:p>
        </w:tc>
        <w:tc>
          <w:tcPr>
            <w:tcW w:w="1467" w:type="dxa"/>
            <w:vMerge w:val="continue"/>
            <w:tcBorders>
              <w:top w:val="single" w:color="000000" w:sz="12" w:space="0"/>
              <w:left w:val="single" w:color="000000" w:sz="4" w:space="0"/>
              <w:bottom w:val="single" w:color="000000"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1789" w:type="dxa"/>
            <w:tcBorders>
              <w:top w:val="single" w:color="000000" w:sz="4" w:space="0"/>
              <w:left w:val="nil"/>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无防护措施</w:t>
            </w:r>
          </w:p>
        </w:tc>
        <w:tc>
          <w:tcPr>
            <w:tcW w:w="904" w:type="dxa"/>
            <w:tcBorders>
              <w:top w:val="single" w:color="000000" w:sz="4"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1.303</w:t>
            </w:r>
          </w:p>
        </w:tc>
        <w:tc>
          <w:tcPr>
            <w:tcW w:w="845" w:type="dxa"/>
            <w:tcBorders>
              <w:top w:val="single" w:color="000000" w:sz="4"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0.722</w:t>
            </w:r>
          </w:p>
        </w:tc>
        <w:tc>
          <w:tcPr>
            <w:tcW w:w="844" w:type="dxa"/>
            <w:tcBorders>
              <w:top w:val="single" w:color="000000" w:sz="4"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0.402</w:t>
            </w:r>
          </w:p>
        </w:tc>
        <w:tc>
          <w:tcPr>
            <w:tcW w:w="889" w:type="dxa"/>
            <w:tcBorders>
              <w:top w:val="single" w:color="000000" w:sz="4"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0.311</w:t>
            </w:r>
          </w:p>
        </w:tc>
        <w:tc>
          <w:tcPr>
            <w:tcW w:w="950" w:type="dxa"/>
            <w:tcBorders>
              <w:top w:val="single" w:color="000000" w:sz="4"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0.270</w:t>
            </w:r>
          </w:p>
        </w:tc>
        <w:tc>
          <w:tcPr>
            <w:tcW w:w="834" w:type="dxa"/>
            <w:tcBorders>
              <w:top w:val="single" w:color="000000" w:sz="4"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0.210</w:t>
            </w:r>
          </w:p>
        </w:tc>
        <w:tc>
          <w:tcPr>
            <w:tcW w:w="1467" w:type="dxa"/>
            <w:vMerge w:val="restart"/>
            <w:tcBorders>
              <w:top w:val="single" w:color="000000" w:sz="4" w:space="0"/>
              <w:left w:val="single" w:color="000000" w:sz="4" w:space="0"/>
              <w:bottom w:val="single" w:color="000000"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0.204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54" w:hRule="exact"/>
          <w:jc w:val="center"/>
        </w:trPr>
        <w:tc>
          <w:tcPr>
            <w:tcW w:w="1789" w:type="dxa"/>
            <w:tcBorders>
              <w:top w:val="single" w:color="000000" w:sz="4" w:space="0"/>
              <w:left w:val="nil"/>
              <w:bottom w:val="single" w:color="000000" w:sz="12"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有（围金属板）</w:t>
            </w:r>
          </w:p>
        </w:tc>
        <w:tc>
          <w:tcPr>
            <w:tcW w:w="904" w:type="dxa"/>
            <w:tcBorders>
              <w:top w:val="single" w:color="000000" w:sz="4" w:space="0"/>
              <w:left w:val="single" w:color="000000" w:sz="4" w:space="0"/>
              <w:bottom w:val="single" w:color="000000" w:sz="12"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0.824</w:t>
            </w:r>
          </w:p>
        </w:tc>
        <w:tc>
          <w:tcPr>
            <w:tcW w:w="845" w:type="dxa"/>
            <w:tcBorders>
              <w:top w:val="single" w:color="000000" w:sz="4" w:space="0"/>
              <w:left w:val="single" w:color="000000" w:sz="4" w:space="0"/>
              <w:bottom w:val="single" w:color="000000" w:sz="12"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0.298</w:t>
            </w:r>
          </w:p>
        </w:tc>
        <w:tc>
          <w:tcPr>
            <w:tcW w:w="844" w:type="dxa"/>
            <w:tcBorders>
              <w:top w:val="single" w:color="000000" w:sz="4" w:space="0"/>
              <w:left w:val="single" w:color="000000" w:sz="4" w:space="0"/>
              <w:bottom w:val="single" w:color="000000" w:sz="12"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0.235</w:t>
            </w:r>
          </w:p>
        </w:tc>
        <w:tc>
          <w:tcPr>
            <w:tcW w:w="889" w:type="dxa"/>
            <w:tcBorders>
              <w:top w:val="single" w:color="000000" w:sz="4" w:space="0"/>
              <w:left w:val="single" w:color="000000" w:sz="4" w:space="0"/>
              <w:bottom w:val="single" w:color="000000" w:sz="12"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0.221</w:t>
            </w:r>
          </w:p>
        </w:tc>
        <w:tc>
          <w:tcPr>
            <w:tcW w:w="950" w:type="dxa"/>
            <w:tcBorders>
              <w:top w:val="single" w:color="000000" w:sz="4" w:space="0"/>
              <w:left w:val="single" w:color="000000" w:sz="4" w:space="0"/>
              <w:bottom w:val="single" w:color="000000" w:sz="12"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0.215</w:t>
            </w:r>
          </w:p>
        </w:tc>
        <w:tc>
          <w:tcPr>
            <w:tcW w:w="834" w:type="dxa"/>
            <w:tcBorders>
              <w:top w:val="single" w:color="000000" w:sz="4" w:space="0"/>
              <w:left w:val="single" w:color="000000" w:sz="4" w:space="0"/>
              <w:bottom w:val="single" w:color="000000" w:sz="12"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0.206</w:t>
            </w:r>
          </w:p>
        </w:tc>
        <w:tc>
          <w:tcPr>
            <w:tcW w:w="1467" w:type="dxa"/>
            <w:vMerge w:val="continue"/>
            <w:tcBorders>
              <w:top w:val="single" w:color="000000" w:sz="4" w:space="0"/>
              <w:left w:val="single" w:color="000000" w:sz="4" w:space="0"/>
              <w:bottom w:val="single" w:color="000000"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由表5-1-1可以看出，在无任何防尘措施的情况下，施工现场对周围环境的影响较严重，污染范围在200m范围内，TSP最大污染物浓度是对照点TSP浓度值的6.39倍；而在有防尘措施的情况下，污染范围降至20m范围内，最高污染浓度是对照点的4.04倍，最大污染浓度较无防尘措施降低了0.479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施工扬尘对环境有一定影响，其影响将在1.0mg/m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以上，通过在施工区域周围设置2.5m高金属档板后，扬尘（TSP）浓度低于0.824mg/m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，低于《大气污染物综合排放标准》（GB16297-1996）中规定的颗粒物无组织排放监控浓度限值的要求。本项目施工区域20m范围在厂区范围内，因此，施工期间所产生的扬尘对周围的影响是可以接受的。</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206" w:name="_Toc13618"/>
      <w:r>
        <w:rPr>
          <w:rFonts w:ascii="Times New Roman" w:hAnsi="Times New Roman" w:eastAsia="新宋体" w:cstheme="minorBidi"/>
          <w:color w:val="000000" w:themeColor="text1"/>
          <w:szCs w:val="24"/>
          <w:lang w:val="en-US" w:bidi="ar-SA"/>
          <w14:textFill>
            <w14:solidFill>
              <w14:schemeClr w14:val="tx1"/>
            </w14:solidFill>
          </w14:textFill>
        </w:rPr>
        <w:t xml:space="preserve">5.1.2 </w:t>
      </w:r>
      <w:bookmarkEnd w:id="206"/>
      <w:r>
        <w:rPr>
          <w:rFonts w:ascii="Times New Roman" w:hAnsi="Times New Roman" w:eastAsia="新宋体" w:cstheme="minorBidi"/>
          <w:color w:val="000000" w:themeColor="text1"/>
          <w:szCs w:val="24"/>
          <w:lang w:val="en-US" w:bidi="ar-SA"/>
          <w14:textFill>
            <w14:solidFill>
              <w14:schemeClr w14:val="tx1"/>
            </w14:solidFill>
          </w14:textFill>
        </w:rPr>
        <w:t>施工期废水影响分析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土建施工砂石骨料冲洗、混凝土养生将产生工业废水，这部分废水主要污染因子为SS，经沉淀后可重复利用，不外排，因此，不会对地表水环境产生影响。</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本项目施工期施工人员不入住施工现场，将产生少量生活污水，主要污染因子为COD、氨氮和SS等。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施工期</w:t>
      </w:r>
      <w:r>
        <w:rPr>
          <w:rFonts w:ascii="Times New Roman" w:hAnsi="Times New Roman" w:cs="Times New Roman" w:eastAsiaTheme="minorEastAsia"/>
          <w:color w:val="000000" w:themeColor="text1"/>
          <w:sz w:val="24"/>
          <w:szCs w:val="24"/>
          <w:lang w:val="en-US"/>
          <w14:textFill>
            <w14:solidFill>
              <w14:schemeClr w14:val="tx1"/>
            </w14:solidFill>
          </w14:textFill>
        </w:rPr>
        <w:t>生活污水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排入</w:t>
      </w:r>
      <w:r>
        <w:rPr>
          <w:rFonts w:ascii="Times New Roman" w:hAnsi="Times New Roman" w:cs="Times New Roman" w:eastAsiaTheme="minorEastAsia"/>
          <w:color w:val="000000" w:themeColor="text1"/>
          <w:sz w:val="24"/>
          <w:szCs w:val="24"/>
          <w:lang w:val="en-US"/>
          <w14:textFill>
            <w14:solidFill>
              <w14:schemeClr w14:val="tx1"/>
            </w14:solidFill>
          </w14:textFill>
        </w:rPr>
        <w:t>防渗化粪池</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，定期清运至黑龙江红兴隆农垦清洁污水处理有限公司（集中污水处理厂）进行处理</w:t>
      </w:r>
      <w:r>
        <w:rPr>
          <w:rFonts w:ascii="Times New Roman" w:hAnsi="Times New Roman" w:cs="Times New Roman" w:eastAsiaTheme="minorEastAsia"/>
          <w:color w:val="000000" w:themeColor="text1"/>
          <w:sz w:val="24"/>
          <w:szCs w:val="24"/>
          <w:lang w:val="en-US"/>
          <w14:textFill>
            <w14:solidFill>
              <w14:schemeClr w14:val="tx1"/>
            </w14:solidFill>
          </w14:textFill>
        </w:rPr>
        <w:t>，对地表水环境影响是可以接受的。</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5.1.</w:t>
      </w:r>
      <w:bookmarkEnd w:id="196"/>
      <w:bookmarkEnd w:id="197"/>
      <w:bookmarkEnd w:id="198"/>
      <w:bookmarkEnd w:id="199"/>
      <w:bookmarkEnd w:id="200"/>
      <w:bookmarkEnd w:id="201"/>
      <w:bookmarkEnd w:id="202"/>
      <w:bookmarkEnd w:id="203"/>
      <w:bookmarkEnd w:id="204"/>
      <w:bookmarkEnd w:id="205"/>
      <w:bookmarkStart w:id="207" w:name="_Toc176859956"/>
      <w:bookmarkStart w:id="208" w:name="_Toc158308779"/>
      <w:bookmarkStart w:id="209" w:name="_Toc177717553"/>
      <w:bookmarkStart w:id="210" w:name="_Toc191976581"/>
      <w:bookmarkStart w:id="211" w:name="_Toc191986987"/>
      <w:bookmarkStart w:id="212" w:name="_Toc158379380"/>
      <w:bookmarkStart w:id="213" w:name="_Toc167689695"/>
      <w:bookmarkStart w:id="214" w:name="_Toc151170501"/>
      <w:bookmarkStart w:id="215" w:name="_Toc167784914"/>
      <w:bookmarkStart w:id="216" w:name="_Toc196878219"/>
      <w:r>
        <w:rPr>
          <w:rFonts w:ascii="Times New Roman" w:hAnsi="Times New Roman" w:eastAsia="新宋体" w:cstheme="minorBidi"/>
          <w:color w:val="000000" w:themeColor="text1"/>
          <w:szCs w:val="24"/>
          <w:lang w:val="en-US" w:bidi="ar-SA"/>
          <w14:textFill>
            <w14:solidFill>
              <w14:schemeClr w14:val="tx1"/>
            </w14:solidFill>
          </w14:textFill>
        </w:rPr>
        <w:t>3施工期间噪声影响分析</w:t>
      </w:r>
      <w:bookmarkEnd w:id="207"/>
      <w:bookmarkEnd w:id="208"/>
      <w:bookmarkEnd w:id="209"/>
      <w:bookmarkEnd w:id="210"/>
      <w:bookmarkEnd w:id="211"/>
      <w:bookmarkEnd w:id="212"/>
      <w:bookmarkEnd w:id="213"/>
      <w:bookmarkEnd w:id="214"/>
      <w:bookmarkEnd w:id="215"/>
      <w:bookmarkEnd w:id="216"/>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217" w:name="_Toc176859959"/>
      <w:bookmarkStart w:id="218" w:name="_Toc177717556"/>
      <w:bookmarkStart w:id="219" w:name="_Toc158308782"/>
      <w:bookmarkStart w:id="220" w:name="_Toc167784917"/>
      <w:bookmarkStart w:id="221" w:name="_Toc196878222"/>
      <w:bookmarkStart w:id="222" w:name="_Toc191986990"/>
      <w:bookmarkStart w:id="223" w:name="_Toc151170504"/>
      <w:bookmarkStart w:id="224" w:name="_Toc191976584"/>
      <w:bookmarkStart w:id="225" w:name="_Toc167689698"/>
      <w:bookmarkStart w:id="226" w:name="_Toc158379383"/>
      <w:r>
        <w:rPr>
          <w:rFonts w:ascii="Times New Roman" w:hAnsi="Times New Roman" w:cs="Times New Roman" w:eastAsiaTheme="minorEastAsia"/>
          <w:color w:val="000000" w:themeColor="text1"/>
          <w:sz w:val="24"/>
          <w:szCs w:val="24"/>
          <w:lang w:val="en-US"/>
          <w14:textFill>
            <w14:solidFill>
              <w14:schemeClr w14:val="tx1"/>
            </w14:solidFill>
          </w14:textFill>
        </w:rPr>
        <w:t>1、施工期噪声源调查</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施工期噪声主要是建筑材料运输汽车噪声和施工机械噪声，施工期施工设备噪声值见表5-1-2。</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表5-1-2 施工机械噪声源源强</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495"/>
        <w:gridCol w:w="1814"/>
        <w:gridCol w:w="1812"/>
        <w:gridCol w:w="1914"/>
        <w:gridCol w:w="139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4" w:hRule="atLeast"/>
          <w:jc w:val="center"/>
        </w:trPr>
        <w:tc>
          <w:tcPr>
            <w:tcW w:w="887"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1076"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设备名称</w:t>
            </w:r>
          </w:p>
        </w:tc>
        <w:tc>
          <w:tcPr>
            <w:tcW w:w="1075"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型号</w:t>
            </w:r>
          </w:p>
        </w:tc>
        <w:tc>
          <w:tcPr>
            <w:tcW w:w="1135"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测点距离(m)</w:t>
            </w:r>
          </w:p>
        </w:tc>
        <w:tc>
          <w:tcPr>
            <w:tcW w:w="827"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声级值dB(A)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4" w:hRule="atLeast"/>
          <w:jc w:val="center"/>
        </w:trPr>
        <w:tc>
          <w:tcPr>
            <w:tcW w:w="887"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076"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汽车</w:t>
            </w:r>
          </w:p>
        </w:tc>
        <w:tc>
          <w:tcPr>
            <w:tcW w:w="1075"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卡玛斯</w:t>
            </w:r>
          </w:p>
        </w:tc>
        <w:tc>
          <w:tcPr>
            <w:tcW w:w="1135"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827"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4" w:hRule="atLeast"/>
          <w:jc w:val="center"/>
        </w:trPr>
        <w:tc>
          <w:tcPr>
            <w:tcW w:w="887"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1076"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电锯</w:t>
            </w:r>
          </w:p>
        </w:tc>
        <w:tc>
          <w:tcPr>
            <w:tcW w:w="1075"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φ500</w:t>
            </w:r>
          </w:p>
        </w:tc>
        <w:tc>
          <w:tcPr>
            <w:tcW w:w="1135"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827"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4" w:hRule="atLeast"/>
          <w:jc w:val="center"/>
        </w:trPr>
        <w:tc>
          <w:tcPr>
            <w:tcW w:w="887"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1076"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钻孔机</w:t>
            </w:r>
          </w:p>
        </w:tc>
        <w:tc>
          <w:tcPr>
            <w:tcW w:w="1075"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135"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827"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4" w:hRule="atLeast"/>
          <w:jc w:val="center"/>
        </w:trPr>
        <w:tc>
          <w:tcPr>
            <w:tcW w:w="887"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1076"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电焊机</w:t>
            </w:r>
          </w:p>
        </w:tc>
        <w:tc>
          <w:tcPr>
            <w:tcW w:w="1075"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135"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827" w:type="pct"/>
            <w:tcMar>
              <w:top w:w="15" w:type="dxa"/>
              <w:left w:w="15" w:type="dxa"/>
              <w:bottom w:w="0" w:type="dxa"/>
              <w:right w:w="15" w:type="dxa"/>
            </w:tcMar>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2、预测内容</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本工程施工厂界噪声。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3、预测方法</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噪声源强的预测，主要依据发声设备的噪声类比调查结果及参考资料的数据。噪声在室外空间的传播衰减只考虑噪声随距离的衰减。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4、预测模式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点声源的传播随距离的衰减。</w:t>
      </w:r>
    </w:p>
    <w:p>
      <w:pPr>
        <w:ind w:firstLine="180"/>
        <w:rPr>
          <w:color w:val="000000" w:themeColor="text1"/>
          <w:sz w:val="28"/>
          <w:szCs w:val="28"/>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60288" behindDoc="1" locked="0" layoutInCell="1" allowOverlap="1">
            <wp:simplePos x="0" y="0"/>
            <wp:positionH relativeFrom="column">
              <wp:posOffset>1200150</wp:posOffset>
            </wp:positionH>
            <wp:positionV relativeFrom="paragraph">
              <wp:posOffset>4445</wp:posOffset>
            </wp:positionV>
            <wp:extent cx="1800225" cy="317500"/>
            <wp:effectExtent l="19050" t="0" r="9525" b="0"/>
            <wp:wrapNone/>
            <wp:docPr id="235"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303"/>
                    <pic:cNvPicPr>
                      <a:picLocks noChangeAspect="1" noChangeArrowheads="1"/>
                    </pic:cNvPicPr>
                  </pic:nvPicPr>
                  <pic:blipFill>
                    <a:blip r:embed="rId56" cstate="print"/>
                    <a:srcRect/>
                    <a:stretch>
                      <a:fillRect/>
                    </a:stretch>
                  </pic:blipFill>
                  <pic:spPr>
                    <a:xfrm>
                      <a:off x="0" y="0"/>
                      <a:ext cx="1800225" cy="317500"/>
                    </a:xfrm>
                    <a:prstGeom prst="rect">
                      <a:avLst/>
                    </a:prstGeom>
                    <a:noFill/>
                    <a:ln w="9525">
                      <a:noFill/>
                      <a:miter lim="800000"/>
                      <a:headEnd/>
                      <a:tailEnd/>
                    </a:ln>
                  </pic:spPr>
                </pic:pic>
              </a:graphicData>
            </a:graphic>
          </wp:anchor>
        </w:drawing>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式中：LP(r)——预测点r处的声压级，dB；</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LP（r0）——声源参考点r0处的声压级，dB；</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r—预测点；r0—声源参考点。</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（5）预测结果</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根据施工机械的噪声源强，通过类比调查，将预测的结果列于表5-1-3。</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表5-1-3 单台设备随距离衰减噪声值   dB（A）</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75"/>
        <w:gridCol w:w="851"/>
        <w:gridCol w:w="960"/>
        <w:gridCol w:w="750"/>
        <w:gridCol w:w="846"/>
        <w:gridCol w:w="960"/>
        <w:gridCol w:w="960"/>
        <w:gridCol w:w="1063"/>
        <w:gridCol w:w="9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4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设备名称</w:t>
            </w:r>
          </w:p>
        </w:tc>
        <w:tc>
          <w:tcPr>
            <w:tcW w:w="49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5m</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10m</w:t>
            </w:r>
          </w:p>
        </w:tc>
        <w:tc>
          <w:tcPr>
            <w:tcW w:w="43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20m</w:t>
            </w:r>
          </w:p>
        </w:tc>
        <w:tc>
          <w:tcPr>
            <w:tcW w:w="49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30m</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40m</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80m</w:t>
            </w:r>
          </w:p>
        </w:tc>
        <w:tc>
          <w:tcPr>
            <w:tcW w:w="61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150m</w:t>
            </w:r>
          </w:p>
        </w:tc>
        <w:tc>
          <w:tcPr>
            <w:tcW w:w="55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4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汽车</w:t>
            </w:r>
          </w:p>
        </w:tc>
        <w:tc>
          <w:tcPr>
            <w:tcW w:w="49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84</w:t>
            </w:r>
          </w:p>
        </w:tc>
        <w:tc>
          <w:tcPr>
            <w:tcW w:w="43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78</w:t>
            </w:r>
          </w:p>
        </w:tc>
        <w:tc>
          <w:tcPr>
            <w:tcW w:w="49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74.5</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72</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68</w:t>
            </w:r>
          </w:p>
        </w:tc>
        <w:tc>
          <w:tcPr>
            <w:tcW w:w="61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62.5</w:t>
            </w:r>
          </w:p>
        </w:tc>
        <w:tc>
          <w:tcPr>
            <w:tcW w:w="55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59.9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4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电锯</w:t>
            </w:r>
          </w:p>
        </w:tc>
        <w:tc>
          <w:tcPr>
            <w:tcW w:w="49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87</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81</w:t>
            </w:r>
          </w:p>
        </w:tc>
        <w:tc>
          <w:tcPr>
            <w:tcW w:w="43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75</w:t>
            </w:r>
          </w:p>
        </w:tc>
        <w:tc>
          <w:tcPr>
            <w:tcW w:w="49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71.5</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69</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65</w:t>
            </w:r>
          </w:p>
        </w:tc>
        <w:tc>
          <w:tcPr>
            <w:tcW w:w="61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59.5</w:t>
            </w:r>
          </w:p>
        </w:tc>
        <w:tc>
          <w:tcPr>
            <w:tcW w:w="55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56.9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4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钻孔机</w:t>
            </w:r>
          </w:p>
        </w:tc>
        <w:tc>
          <w:tcPr>
            <w:tcW w:w="49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92</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86</w:t>
            </w:r>
          </w:p>
        </w:tc>
        <w:tc>
          <w:tcPr>
            <w:tcW w:w="43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w:t>
            </w:r>
          </w:p>
        </w:tc>
        <w:tc>
          <w:tcPr>
            <w:tcW w:w="49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76.5</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74</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c>
          <w:tcPr>
            <w:tcW w:w="61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64.5</w:t>
            </w:r>
          </w:p>
        </w:tc>
        <w:tc>
          <w:tcPr>
            <w:tcW w:w="55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5" w:hRule="atLeast"/>
          <w:jc w:val="center"/>
        </w:trPr>
        <w:tc>
          <w:tcPr>
            <w:tcW w:w="74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电焊机</w:t>
            </w:r>
          </w:p>
        </w:tc>
        <w:tc>
          <w:tcPr>
            <w:tcW w:w="49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84</w:t>
            </w:r>
          </w:p>
        </w:tc>
        <w:tc>
          <w:tcPr>
            <w:tcW w:w="43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78</w:t>
            </w:r>
          </w:p>
        </w:tc>
        <w:tc>
          <w:tcPr>
            <w:tcW w:w="49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74.5</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72</w:t>
            </w:r>
          </w:p>
        </w:tc>
        <w:tc>
          <w:tcPr>
            <w:tcW w:w="5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68</w:t>
            </w:r>
          </w:p>
        </w:tc>
        <w:tc>
          <w:tcPr>
            <w:tcW w:w="61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62.5</w:t>
            </w:r>
          </w:p>
        </w:tc>
        <w:tc>
          <w:tcPr>
            <w:tcW w:w="55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59.9</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根据单台设备在场界处噪声值预测不同施工阶段场界噪声，预测时按施工机械距场界平均距离50m计算，计算结果见表5-1-4。</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表5-1-4 施工现场场界噪声预测值</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85"/>
        <w:gridCol w:w="3693"/>
        <w:gridCol w:w="23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预测时段</w:t>
            </w:r>
          </w:p>
        </w:tc>
        <w:tc>
          <w:tcPr>
            <w:tcW w:w="21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预测值dB（A）</w:t>
            </w:r>
          </w:p>
        </w:tc>
        <w:tc>
          <w:tcPr>
            <w:tcW w:w="13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标准值dB（A）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基础</w:t>
            </w:r>
          </w:p>
        </w:tc>
        <w:tc>
          <w:tcPr>
            <w:tcW w:w="21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65</w:t>
            </w:r>
          </w:p>
        </w:tc>
        <w:tc>
          <w:tcPr>
            <w:tcW w:w="135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结构</w:t>
            </w:r>
          </w:p>
        </w:tc>
        <w:tc>
          <w:tcPr>
            <w:tcW w:w="21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62</w:t>
            </w:r>
          </w:p>
        </w:tc>
        <w:tc>
          <w:tcPr>
            <w:tcW w:w="135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1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装修</w:t>
            </w:r>
          </w:p>
        </w:tc>
        <w:tc>
          <w:tcPr>
            <w:tcW w:w="214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60</w:t>
            </w:r>
          </w:p>
        </w:tc>
        <w:tc>
          <w:tcPr>
            <w:tcW w:w="135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施工期土方的运出及建筑材料的运进，将使区域道路车流量增多，经估算运输车辆将增加50台次/d，均系高吨位货车，其声级值可达85dB（A）以上，为避免道路两侧居民及企事业单位将受到这些高噪声干扰，因此要严格禁止夜间22:00～6:00运输施工材料，避免增加夜间交通噪声幅度，同时还要避开车流高峰期，以免造成交通阻塞，在选择运输路线上应避免穿越村庄。</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5.1.4施工期固体废物影响分析</w:t>
      </w:r>
      <w:bookmarkEnd w:id="217"/>
      <w:bookmarkEnd w:id="218"/>
      <w:bookmarkEnd w:id="219"/>
      <w:bookmarkEnd w:id="220"/>
      <w:bookmarkEnd w:id="221"/>
      <w:bookmarkEnd w:id="222"/>
      <w:bookmarkEnd w:id="223"/>
      <w:bookmarkEnd w:id="224"/>
      <w:bookmarkEnd w:id="225"/>
      <w:bookmarkEnd w:id="226"/>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（1）施工人员的生活垃圾</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施工人员生活垃圾产生量按每人每日0.5kg计，施工人员平均按10人计，共产生生活垃圾5kg/d，集中收集。生活垃圾要及时清运到厂区环卫部门指定的地方堆放。由市政环卫部门统一处理。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（2）施工垃圾</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施工期垃圾为废弃建筑材料拆产生总量约为2t，由市政环卫部门统一清运。</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227" w:name="_Toc162605182"/>
      <w:r>
        <w:rPr>
          <w:rFonts w:ascii="Times New Roman" w:hAnsi="Times New Roman" w:cs="Times New Roman" w:eastAsiaTheme="minorEastAsia"/>
          <w:color w:val="000000" w:themeColor="text1"/>
          <w:szCs w:val="24"/>
          <w:lang w:val="en-US" w:bidi="ar-SA"/>
          <w14:textFill>
            <w14:solidFill>
              <w14:schemeClr w14:val="tx1"/>
            </w14:solidFill>
          </w14:textFill>
        </w:rPr>
        <w:t>5.2大气环境影响预测及评价</w:t>
      </w:r>
      <w:bookmarkEnd w:id="227"/>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5.2.1环境空气影响预测与评价</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228" w:name="_Toc2023"/>
      <w:bookmarkStart w:id="229" w:name="_Toc30652"/>
      <w:r>
        <w:rPr>
          <w:rFonts w:ascii="Times New Roman" w:hAnsi="Times New Roman" w:cs="Times New Roman" w:eastAsiaTheme="minorEastAsia"/>
          <w:color w:val="000000" w:themeColor="text1"/>
          <w:sz w:val="24"/>
          <w:szCs w:val="24"/>
          <w:lang w:val="en-US" w:bidi="ar-SA"/>
          <w14:textFill>
            <w14:solidFill>
              <w14:schemeClr w14:val="tx1"/>
            </w14:solidFill>
          </w14:textFill>
        </w:rPr>
        <w:t xml:space="preserve">5.2.1.1 </w:t>
      </w:r>
      <w:bookmarkEnd w:id="228"/>
      <w:r>
        <w:rPr>
          <w:rFonts w:ascii="Times New Roman" w:hAnsi="Times New Roman" w:cs="Times New Roman" w:eastAsiaTheme="minorEastAsia"/>
          <w:color w:val="000000" w:themeColor="text1"/>
          <w:sz w:val="24"/>
          <w:szCs w:val="24"/>
          <w:lang w:val="en-US" w:bidi="ar-SA"/>
          <w14:textFill>
            <w14:solidFill>
              <w14:schemeClr w14:val="tx1"/>
            </w14:solidFill>
          </w14:textFill>
        </w:rPr>
        <w:t>预测方案</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（1）预测因子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根据《环境影响评价技术导则 大气环境》(HJ2.2-2018)，本次大气预测评价将202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年确定为评价基准年。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根据本项目大气环境影响评价因子，本次评价选取SO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10</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ascii="Times New Roman" w:hAnsi="Times New Roman" w:cs="Times New Roman" w:eastAsiaTheme="minorEastAsia"/>
          <w:color w:val="000000" w:themeColor="text1"/>
          <w:sz w:val="24"/>
          <w:szCs w:val="24"/>
          <w:lang w:val="en-US"/>
          <w14:textFill>
            <w14:solidFill>
              <w14:schemeClr w14:val="tx1"/>
            </w14:solidFill>
          </w14:textFill>
        </w:rPr>
        <w:t>作为预测因子。本项目SO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+NOx</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=14.622</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t/a＜500t/a，根据导则要求不需预测二次污染物 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230" w:name="_Toc379530068"/>
      <w:bookmarkStart w:id="231" w:name="_Toc407350111"/>
      <w:bookmarkStart w:id="232" w:name="_Toc446404738"/>
      <w:bookmarkStart w:id="233" w:name="_Toc382814385"/>
      <w:bookmarkStart w:id="234" w:name="_Toc406416110"/>
      <w:bookmarkStart w:id="235" w:name="_Toc376078367"/>
      <w:bookmarkStart w:id="236" w:name="_Toc455644924"/>
      <w:r>
        <w:rPr>
          <w:rFonts w:ascii="Times New Roman" w:hAnsi="Times New Roman" w:cs="Times New Roman" w:eastAsiaTheme="minorEastAsia"/>
          <w:color w:val="000000" w:themeColor="text1"/>
          <w:sz w:val="24"/>
          <w:szCs w:val="24"/>
          <w:lang w:val="en-US"/>
          <w14:textFill>
            <w14:solidFill>
              <w14:schemeClr w14:val="tx1"/>
            </w14:solidFill>
          </w14:textFill>
        </w:rPr>
        <w:t>（2）预测范围</w:t>
      </w:r>
      <w:bookmarkEnd w:id="230"/>
      <w:bookmarkEnd w:id="231"/>
      <w:bookmarkEnd w:id="232"/>
      <w:bookmarkEnd w:id="233"/>
      <w:bookmarkEnd w:id="234"/>
      <w:bookmarkEnd w:id="235"/>
      <w:bookmarkEnd w:id="236"/>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根据《环境影响评价技术导则大气环境》(HJ2.2-2018)，预测范围应覆盖评价范围，并覆盖各污染物短期浓度贡献值占标率大于10%的区域。</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本项目预测范围为以本项目厂址为中心，以东西向为X坐标轴、南北向为Y坐标轴，边长5km×5km的矩形区域。</w:t>
      </w:r>
      <w:r>
        <w:rPr>
          <w:rFonts w:ascii="Times New Roman" w:hAnsi="Times New Roman" w:cs="Times New Roman" w:eastAsiaTheme="minorEastAsia"/>
          <w:color w:val="000000" w:themeColor="text1"/>
          <w:sz w:val="24"/>
          <w:szCs w:val="24"/>
          <w:lang w:val="en-US"/>
          <w14:textFill>
            <w14:solidFill>
              <w14:schemeClr w14:val="tx1"/>
            </w14:solidFill>
          </w14:textFill>
        </w:rPr>
        <w:t>为准确描述污染源及评价点的位置，定量预测污染程度，对评价区域进行网格化处理。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设置一个计算网格，网格以厂址为中心，相对坐标为（0，0），边长为5km×5km的矩形网格，网格步长为50m。</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237" w:name="_Toc406416111"/>
      <w:bookmarkStart w:id="238" w:name="_Toc379530069"/>
      <w:bookmarkStart w:id="239" w:name="_Toc455644925"/>
      <w:bookmarkStart w:id="240" w:name="_Toc382814386"/>
      <w:bookmarkStart w:id="241" w:name="_Toc376078368"/>
      <w:bookmarkStart w:id="242" w:name="_Toc407350112"/>
      <w:bookmarkStart w:id="243" w:name="_Toc446404739"/>
      <w:r>
        <w:rPr>
          <w:rFonts w:ascii="Times New Roman" w:hAnsi="Times New Roman" w:cs="Times New Roman" w:eastAsiaTheme="minorEastAsia"/>
          <w:color w:val="000000" w:themeColor="text1"/>
          <w:sz w:val="24"/>
          <w:szCs w:val="24"/>
          <w:lang w:val="en-US"/>
          <w14:textFill>
            <w14:solidFill>
              <w14:schemeClr w14:val="tx1"/>
            </w14:solidFill>
          </w14:textFill>
        </w:rPr>
        <w:t>（3）计算点</w:t>
      </w:r>
      <w:bookmarkEnd w:id="237"/>
      <w:bookmarkEnd w:id="238"/>
      <w:bookmarkEnd w:id="239"/>
      <w:bookmarkEnd w:id="240"/>
      <w:bookmarkEnd w:id="241"/>
      <w:bookmarkEnd w:id="242"/>
      <w:bookmarkEnd w:id="243"/>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预测受体即计算点，包括环境空气敏感区、最大落地浓度点及预测范围内的网格点。</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5.2.1.2 气象条件</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（1）风向、风频</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、温度</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集贤一般站2022年气象统计</w:t>
      </w:r>
      <w:r>
        <w:rPr>
          <w:rFonts w:ascii="Times New Roman" w:hAnsi="Times New Roman" w:cs="Times New Roman" w:eastAsiaTheme="minorEastAsia"/>
          <w:color w:val="000000" w:themeColor="text1"/>
          <w:sz w:val="24"/>
          <w:szCs w:val="24"/>
          <w:lang w:val="en-US"/>
          <w14:textFill>
            <w14:solidFill>
              <w14:schemeClr w14:val="tx1"/>
            </w14:solidFill>
          </w14:textFill>
        </w:rPr>
        <w:t>资料，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相关</w:t>
      </w:r>
      <w:r>
        <w:rPr>
          <w:rFonts w:ascii="Times New Roman" w:hAnsi="Times New Roman" w:cs="Times New Roman" w:eastAsiaTheme="minorEastAsia"/>
          <w:color w:val="000000" w:themeColor="text1"/>
          <w:sz w:val="24"/>
          <w:szCs w:val="24"/>
          <w:lang w:val="en-US"/>
          <w14:textFill>
            <w14:solidFill>
              <w14:schemeClr w14:val="tx1"/>
            </w14:solidFill>
          </w14:textFill>
        </w:rPr>
        <w:t>统计见表5-2-1。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表5-2-1  年</w:t>
      </w:r>
      <w:r>
        <w:rPr>
          <w:rFonts w:hint="eastAsia" w:ascii="Times New Roman" w:hAnsiTheme="minorEastAsia" w:eastAsiaTheme="minorEastAsia"/>
          <w:b/>
          <w:bCs/>
          <w:color w:val="000000" w:themeColor="text1"/>
          <w:szCs w:val="24"/>
          <w14:textFill>
            <w14:solidFill>
              <w14:schemeClr w14:val="tx1"/>
            </w14:solidFill>
          </w14:textFill>
        </w:rPr>
        <w:t>平均温度月变化</w:t>
      </w:r>
    </w:p>
    <w:tbl>
      <w:tblPr>
        <w:tblStyle w:val="7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hemeFill="background1"/>
        <w:tblLayout w:type="autofit"/>
        <w:tblCellMar>
          <w:top w:w="0" w:type="dxa"/>
          <w:left w:w="108" w:type="dxa"/>
          <w:bottom w:w="0" w:type="dxa"/>
          <w:right w:w="108" w:type="dxa"/>
        </w:tblCellMar>
      </w:tblPr>
      <w:tblGrid>
        <w:gridCol w:w="913"/>
        <w:gridCol w:w="706"/>
        <w:gridCol w:w="706"/>
        <w:gridCol w:w="611"/>
        <w:gridCol w:w="549"/>
        <w:gridCol w:w="643"/>
        <w:gridCol w:w="643"/>
        <w:gridCol w:w="643"/>
        <w:gridCol w:w="643"/>
        <w:gridCol w:w="643"/>
        <w:gridCol w:w="597"/>
        <w:gridCol w:w="612"/>
        <w:gridCol w:w="7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5" w:hRule="atLeast"/>
        </w:trPr>
        <w:tc>
          <w:tcPr>
            <w:tcW w:w="523"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月份</w:t>
            </w:r>
          </w:p>
        </w:tc>
        <w:tc>
          <w:tcPr>
            <w:tcW w:w="406"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1月</w:t>
            </w:r>
          </w:p>
        </w:tc>
        <w:tc>
          <w:tcPr>
            <w:tcW w:w="406"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2月</w:t>
            </w:r>
          </w:p>
        </w:tc>
        <w:tc>
          <w:tcPr>
            <w:tcW w:w="352"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3月</w:t>
            </w:r>
          </w:p>
        </w:tc>
        <w:tc>
          <w:tcPr>
            <w:tcW w:w="316"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4月</w:t>
            </w:r>
          </w:p>
        </w:tc>
        <w:tc>
          <w:tcPr>
            <w:tcW w:w="370"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5月</w:t>
            </w:r>
          </w:p>
        </w:tc>
        <w:tc>
          <w:tcPr>
            <w:tcW w:w="370"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6月</w:t>
            </w:r>
          </w:p>
        </w:tc>
        <w:tc>
          <w:tcPr>
            <w:tcW w:w="370"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7月</w:t>
            </w:r>
          </w:p>
        </w:tc>
        <w:tc>
          <w:tcPr>
            <w:tcW w:w="370"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8月</w:t>
            </w:r>
          </w:p>
        </w:tc>
        <w:tc>
          <w:tcPr>
            <w:tcW w:w="370"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9月</w:t>
            </w:r>
          </w:p>
        </w:tc>
        <w:tc>
          <w:tcPr>
            <w:tcW w:w="370"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10月</w:t>
            </w:r>
          </w:p>
        </w:tc>
        <w:tc>
          <w:tcPr>
            <w:tcW w:w="370"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11月</w:t>
            </w:r>
          </w:p>
        </w:tc>
        <w:tc>
          <w:tcPr>
            <w:tcW w:w="406"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shd w:val="clear" w:color="auto" w:fill="FFFFFF" w:themeFill="background1"/>
          <w:tblCellMar>
            <w:top w:w="0" w:type="dxa"/>
            <w:left w:w="108" w:type="dxa"/>
            <w:bottom w:w="0" w:type="dxa"/>
            <w:right w:w="108" w:type="dxa"/>
          </w:tblCellMar>
        </w:tblPrEx>
        <w:trPr>
          <w:trHeight w:val="285" w:hRule="atLeast"/>
        </w:trPr>
        <w:tc>
          <w:tcPr>
            <w:tcW w:w="523"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温度(</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w:t>
            </w:r>
          </w:p>
        </w:tc>
        <w:tc>
          <w:tcPr>
            <w:tcW w:w="406"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-18.31</w:t>
            </w:r>
          </w:p>
        </w:tc>
        <w:tc>
          <w:tcPr>
            <w:tcW w:w="406"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-12.96</w:t>
            </w:r>
          </w:p>
        </w:tc>
        <w:tc>
          <w:tcPr>
            <w:tcW w:w="352"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-0.72</w:t>
            </w:r>
          </w:p>
        </w:tc>
        <w:tc>
          <w:tcPr>
            <w:tcW w:w="316"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8.71</w:t>
            </w:r>
          </w:p>
        </w:tc>
        <w:tc>
          <w:tcPr>
            <w:tcW w:w="370"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15.28</w:t>
            </w:r>
          </w:p>
        </w:tc>
        <w:tc>
          <w:tcPr>
            <w:tcW w:w="370"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21.23</w:t>
            </w:r>
          </w:p>
        </w:tc>
        <w:tc>
          <w:tcPr>
            <w:tcW w:w="370"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26.02</w:t>
            </w:r>
          </w:p>
        </w:tc>
        <w:tc>
          <w:tcPr>
            <w:tcW w:w="370"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22.19</w:t>
            </w:r>
          </w:p>
        </w:tc>
        <w:tc>
          <w:tcPr>
            <w:tcW w:w="370"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16.18</w:t>
            </w:r>
          </w:p>
        </w:tc>
        <w:tc>
          <w:tcPr>
            <w:tcW w:w="370"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7.69</w:t>
            </w:r>
          </w:p>
        </w:tc>
        <w:tc>
          <w:tcPr>
            <w:tcW w:w="370"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-2.53</w:t>
            </w:r>
          </w:p>
        </w:tc>
        <w:tc>
          <w:tcPr>
            <w:tcW w:w="406" w:type="pct"/>
            <w:shd w:val="clear" w:color="auto" w:fill="FFFFFF" w:themeFill="background1"/>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-14.89</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续</w:t>
      </w:r>
      <w:r>
        <w:rPr>
          <w:rFonts w:ascii="Times New Roman" w:hAnsiTheme="minorEastAsia" w:eastAsiaTheme="minorEastAsia"/>
          <w:b/>
          <w:bCs/>
          <w:color w:val="000000" w:themeColor="text1"/>
          <w:szCs w:val="24"/>
          <w14:textFill>
            <w14:solidFill>
              <w14:schemeClr w14:val="tx1"/>
            </w14:solidFill>
          </w14:textFill>
        </w:rPr>
        <w:t xml:space="preserve">表5-2-1  </w:t>
      </w:r>
      <w:r>
        <w:rPr>
          <w:rFonts w:hint="eastAsia" w:ascii="Times New Roman" w:hAnsiTheme="minorEastAsia" w:eastAsiaTheme="minorEastAsia"/>
          <w:b/>
          <w:bCs/>
          <w:color w:val="000000" w:themeColor="text1"/>
          <w:szCs w:val="24"/>
          <w14:textFill>
            <w14:solidFill>
              <w14:schemeClr w14:val="tx1"/>
            </w14:solidFill>
          </w14:textFill>
        </w:rPr>
        <w:t>季小时平均风速的日变化</w:t>
      </w:r>
    </w:p>
    <w:tbl>
      <w:tblPr>
        <w:tblStyle w:val="70"/>
        <w:tblW w:w="5000" w:type="pct"/>
        <w:tblInd w:w="0" w:type="dxa"/>
        <w:tblLayout w:type="autofit"/>
        <w:tblCellMar>
          <w:top w:w="0" w:type="dxa"/>
          <w:left w:w="108" w:type="dxa"/>
          <w:bottom w:w="0" w:type="dxa"/>
          <w:right w:w="108" w:type="dxa"/>
        </w:tblCellMar>
      </w:tblPr>
      <w:tblGrid>
        <w:gridCol w:w="1856"/>
        <w:gridCol w:w="563"/>
        <w:gridCol w:w="563"/>
        <w:gridCol w:w="563"/>
        <w:gridCol w:w="563"/>
        <w:gridCol w:w="563"/>
        <w:gridCol w:w="563"/>
        <w:gridCol w:w="563"/>
        <w:gridCol w:w="563"/>
        <w:gridCol w:w="564"/>
        <w:gridCol w:w="564"/>
        <w:gridCol w:w="564"/>
        <w:gridCol w:w="564"/>
      </w:tblGrid>
      <w:tr>
        <w:tblPrEx>
          <w:tblCellMar>
            <w:top w:w="0" w:type="dxa"/>
            <w:left w:w="108" w:type="dxa"/>
            <w:bottom w:w="0" w:type="dxa"/>
            <w:right w:w="108" w:type="dxa"/>
          </w:tblCellMar>
        </w:tblPrEx>
        <w:trPr>
          <w:trHeight w:val="900" w:hRule="atLeast"/>
        </w:trPr>
        <w:tc>
          <w:tcPr>
            <w:tcW w:w="1078" w:type="pct"/>
            <w:tcBorders>
              <w:top w:val="single" w:color="auto" w:sz="12" w:space="0"/>
              <w:bottom w:val="single" w:color="auto" w:sz="4" w:space="0"/>
              <w:right w:val="single" w:color="auto" w:sz="4" w:space="0"/>
              <w:tl2br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风速(m/s)  小时(h)</w:t>
            </w:r>
          </w:p>
        </w:tc>
        <w:tc>
          <w:tcPr>
            <w:tcW w:w="32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32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32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32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32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32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w:t>
            </w:r>
          </w:p>
        </w:tc>
        <w:tc>
          <w:tcPr>
            <w:tcW w:w="32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w:t>
            </w:r>
          </w:p>
        </w:tc>
        <w:tc>
          <w:tcPr>
            <w:tcW w:w="32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w:t>
            </w:r>
          </w:p>
        </w:tc>
        <w:tc>
          <w:tcPr>
            <w:tcW w:w="32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w:t>
            </w:r>
          </w:p>
        </w:tc>
        <w:tc>
          <w:tcPr>
            <w:tcW w:w="32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p>
        </w:tc>
        <w:tc>
          <w:tcPr>
            <w:tcW w:w="32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w:t>
            </w:r>
          </w:p>
        </w:tc>
        <w:tc>
          <w:tcPr>
            <w:tcW w:w="327" w:type="pct"/>
            <w:tcBorders>
              <w:top w:val="single" w:color="auto" w:sz="12"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p>
        </w:tc>
      </w:tr>
      <w:tr>
        <w:tblPrEx>
          <w:tblCellMar>
            <w:top w:w="0" w:type="dxa"/>
            <w:left w:w="108" w:type="dxa"/>
            <w:bottom w:w="0" w:type="dxa"/>
            <w:right w:w="108" w:type="dxa"/>
          </w:tblCellMar>
        </w:tblPrEx>
        <w:trPr>
          <w:trHeight w:val="285" w:hRule="atLeast"/>
        </w:trPr>
        <w:tc>
          <w:tcPr>
            <w:tcW w:w="1078"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春季</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2.18</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2.32</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2.24</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2.12</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2.04</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2.52</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2.81</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3.38</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3.41</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3.54</w:t>
            </w:r>
          </w:p>
        </w:tc>
        <w:tc>
          <w:tcPr>
            <w:tcW w:w="327"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3.61</w:t>
            </w:r>
          </w:p>
        </w:tc>
      </w:tr>
      <w:tr>
        <w:tblPrEx>
          <w:tblCellMar>
            <w:top w:w="0" w:type="dxa"/>
            <w:left w:w="108" w:type="dxa"/>
            <w:bottom w:w="0" w:type="dxa"/>
            <w:right w:w="108" w:type="dxa"/>
          </w:tblCellMar>
        </w:tblPrEx>
        <w:trPr>
          <w:trHeight w:val="285" w:hRule="atLeast"/>
        </w:trPr>
        <w:tc>
          <w:tcPr>
            <w:tcW w:w="1078"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夏季</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1.57</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1.54</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1.51</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1.42</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1.53</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1.77</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1.93</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2.33</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2.41</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2.61</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2.72</w:t>
            </w:r>
          </w:p>
        </w:tc>
        <w:tc>
          <w:tcPr>
            <w:tcW w:w="327"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2.60</w:t>
            </w:r>
          </w:p>
        </w:tc>
      </w:tr>
      <w:tr>
        <w:tblPrEx>
          <w:tblCellMar>
            <w:top w:w="0" w:type="dxa"/>
            <w:left w:w="108" w:type="dxa"/>
            <w:bottom w:w="0" w:type="dxa"/>
            <w:right w:w="108" w:type="dxa"/>
          </w:tblCellMar>
        </w:tblPrEx>
        <w:trPr>
          <w:trHeight w:val="285" w:hRule="atLeast"/>
        </w:trPr>
        <w:tc>
          <w:tcPr>
            <w:tcW w:w="1078"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秋季</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1.85</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1.93</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1.87</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1.84</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1.84</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1.86</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2.04</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2.37</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2.74</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2.90</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3.09</w:t>
            </w:r>
          </w:p>
        </w:tc>
        <w:tc>
          <w:tcPr>
            <w:tcW w:w="327"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3.08</w:t>
            </w:r>
          </w:p>
        </w:tc>
      </w:tr>
      <w:tr>
        <w:tblPrEx>
          <w:tblCellMar>
            <w:top w:w="0" w:type="dxa"/>
            <w:left w:w="108" w:type="dxa"/>
            <w:bottom w:w="0" w:type="dxa"/>
            <w:right w:w="108" w:type="dxa"/>
          </w:tblCellMar>
        </w:tblPrEx>
        <w:trPr>
          <w:trHeight w:val="285" w:hRule="atLeast"/>
        </w:trPr>
        <w:tc>
          <w:tcPr>
            <w:tcW w:w="1078"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冬季</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2.07</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2.05</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2.04</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2.05</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1.98</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1.97</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2.02</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2.20</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2.52</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2.81</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3.10</w:t>
            </w:r>
          </w:p>
        </w:tc>
        <w:tc>
          <w:tcPr>
            <w:tcW w:w="327"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3.05</w:t>
            </w:r>
          </w:p>
        </w:tc>
      </w:tr>
      <w:tr>
        <w:tblPrEx>
          <w:tblCellMar>
            <w:top w:w="0" w:type="dxa"/>
            <w:left w:w="108" w:type="dxa"/>
            <w:bottom w:w="0" w:type="dxa"/>
            <w:right w:w="108" w:type="dxa"/>
          </w:tblCellMar>
        </w:tblPrEx>
        <w:trPr>
          <w:trHeight w:val="855" w:hRule="atLeast"/>
        </w:trPr>
        <w:tc>
          <w:tcPr>
            <w:tcW w:w="1078" w:type="pct"/>
            <w:tcBorders>
              <w:top w:val="single" w:color="auto" w:sz="4" w:space="0"/>
              <w:bottom w:val="single" w:color="auto" w:sz="4" w:space="0"/>
              <w:right w:val="single" w:color="auto" w:sz="4" w:space="0"/>
              <w:tl2br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风速(m/s)  小时(h)</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16</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17</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19</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21</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22</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23</w:t>
            </w:r>
          </w:p>
        </w:tc>
        <w:tc>
          <w:tcPr>
            <w:tcW w:w="327"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w:t>
            </w:r>
          </w:p>
        </w:tc>
      </w:tr>
      <w:tr>
        <w:tblPrEx>
          <w:tblCellMar>
            <w:top w:w="0" w:type="dxa"/>
            <w:left w:w="108" w:type="dxa"/>
            <w:bottom w:w="0" w:type="dxa"/>
            <w:right w:w="108" w:type="dxa"/>
          </w:tblCellMar>
        </w:tblPrEx>
        <w:trPr>
          <w:trHeight w:val="285" w:hRule="atLeast"/>
        </w:trPr>
        <w:tc>
          <w:tcPr>
            <w:tcW w:w="1078"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春季</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3.75</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3.68</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3.63</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3.39</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2.89</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2.62</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2.41</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2.40</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2.37</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2.23</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2.30</w:t>
            </w:r>
          </w:p>
        </w:tc>
        <w:tc>
          <w:tcPr>
            <w:tcW w:w="327"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2.23</w:t>
            </w:r>
          </w:p>
        </w:tc>
      </w:tr>
      <w:tr>
        <w:tblPrEx>
          <w:tblCellMar>
            <w:top w:w="0" w:type="dxa"/>
            <w:left w:w="108" w:type="dxa"/>
            <w:bottom w:w="0" w:type="dxa"/>
            <w:right w:w="108" w:type="dxa"/>
          </w:tblCellMar>
        </w:tblPrEx>
        <w:trPr>
          <w:trHeight w:val="285" w:hRule="atLeast"/>
        </w:trPr>
        <w:tc>
          <w:tcPr>
            <w:tcW w:w="1078"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夏季</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2.60</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2.56</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2.50</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2.42</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2.18</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1.93</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1.76</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1.62</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1.84</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1.79</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1.74</w:t>
            </w:r>
          </w:p>
        </w:tc>
        <w:tc>
          <w:tcPr>
            <w:tcW w:w="327"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1.73</w:t>
            </w:r>
          </w:p>
        </w:tc>
      </w:tr>
      <w:tr>
        <w:tblPrEx>
          <w:tblCellMar>
            <w:top w:w="0" w:type="dxa"/>
            <w:left w:w="108" w:type="dxa"/>
            <w:bottom w:w="0" w:type="dxa"/>
            <w:right w:w="108" w:type="dxa"/>
          </w:tblCellMar>
        </w:tblPrEx>
        <w:trPr>
          <w:trHeight w:val="285" w:hRule="atLeast"/>
        </w:trPr>
        <w:tc>
          <w:tcPr>
            <w:tcW w:w="1078"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秋季</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3.10</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2.86</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2.78</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2.31</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2.02</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1.86</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1.88</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1.93</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1.91</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1.96</w:t>
            </w:r>
          </w:p>
        </w:tc>
        <w:tc>
          <w:tcPr>
            <w:tcW w:w="32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1.97</w:t>
            </w:r>
          </w:p>
        </w:tc>
        <w:tc>
          <w:tcPr>
            <w:tcW w:w="327"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1.85</w:t>
            </w:r>
          </w:p>
        </w:tc>
      </w:tr>
      <w:tr>
        <w:tblPrEx>
          <w:tblCellMar>
            <w:top w:w="0" w:type="dxa"/>
            <w:left w:w="108" w:type="dxa"/>
            <w:bottom w:w="0" w:type="dxa"/>
            <w:right w:w="108" w:type="dxa"/>
          </w:tblCellMar>
        </w:tblPrEx>
        <w:trPr>
          <w:trHeight w:val="285" w:hRule="atLeast"/>
        </w:trPr>
        <w:tc>
          <w:tcPr>
            <w:tcW w:w="1078" w:type="pct"/>
            <w:tcBorders>
              <w:top w:val="single" w:color="auto" w:sz="4" w:space="0"/>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冬季</w:t>
            </w:r>
          </w:p>
        </w:tc>
        <w:tc>
          <w:tcPr>
            <w:tcW w:w="32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3.10</w:t>
            </w:r>
          </w:p>
        </w:tc>
        <w:tc>
          <w:tcPr>
            <w:tcW w:w="32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2.86</w:t>
            </w:r>
          </w:p>
        </w:tc>
        <w:tc>
          <w:tcPr>
            <w:tcW w:w="32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2.53</w:t>
            </w:r>
          </w:p>
        </w:tc>
        <w:tc>
          <w:tcPr>
            <w:tcW w:w="32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2.27</w:t>
            </w:r>
          </w:p>
        </w:tc>
        <w:tc>
          <w:tcPr>
            <w:tcW w:w="32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2.07</w:t>
            </w:r>
          </w:p>
        </w:tc>
        <w:tc>
          <w:tcPr>
            <w:tcW w:w="32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1.94</w:t>
            </w:r>
          </w:p>
        </w:tc>
        <w:tc>
          <w:tcPr>
            <w:tcW w:w="32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2.16</w:t>
            </w:r>
          </w:p>
        </w:tc>
        <w:tc>
          <w:tcPr>
            <w:tcW w:w="32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2.19</w:t>
            </w:r>
          </w:p>
        </w:tc>
        <w:tc>
          <w:tcPr>
            <w:tcW w:w="32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2.20</w:t>
            </w:r>
          </w:p>
        </w:tc>
        <w:tc>
          <w:tcPr>
            <w:tcW w:w="32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2.07</w:t>
            </w:r>
          </w:p>
        </w:tc>
        <w:tc>
          <w:tcPr>
            <w:tcW w:w="32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2.17</w:t>
            </w:r>
          </w:p>
        </w:tc>
        <w:tc>
          <w:tcPr>
            <w:tcW w:w="327" w:type="pct"/>
            <w:tcBorders>
              <w:top w:val="single" w:color="auto" w:sz="4" w:space="0"/>
              <w:left w:val="nil"/>
              <w:bottom w:val="single" w:color="auto" w:sz="12"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2.15</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续</w:t>
      </w:r>
      <w:r>
        <w:rPr>
          <w:rFonts w:ascii="Times New Roman" w:hAnsiTheme="minorEastAsia" w:eastAsiaTheme="minorEastAsia"/>
          <w:b/>
          <w:bCs/>
          <w:color w:val="000000" w:themeColor="text1"/>
          <w:szCs w:val="24"/>
          <w14:textFill>
            <w14:solidFill>
              <w14:schemeClr w14:val="tx1"/>
            </w14:solidFill>
          </w14:textFill>
        </w:rPr>
        <w:t>表5-2-1  年均风频季的变化</w:t>
      </w:r>
    </w:p>
    <w:tbl>
      <w:tblPr>
        <w:tblStyle w:val="70"/>
        <w:tblW w:w="5000" w:type="pct"/>
        <w:tblInd w:w="0" w:type="dxa"/>
        <w:tblLayout w:type="autofit"/>
        <w:tblCellMar>
          <w:top w:w="0" w:type="dxa"/>
          <w:left w:w="108" w:type="dxa"/>
          <w:bottom w:w="0" w:type="dxa"/>
          <w:right w:w="108" w:type="dxa"/>
        </w:tblCellMar>
      </w:tblPr>
      <w:tblGrid>
        <w:gridCol w:w="1099"/>
        <w:gridCol w:w="409"/>
        <w:gridCol w:w="444"/>
        <w:gridCol w:w="409"/>
        <w:gridCol w:w="432"/>
        <w:gridCol w:w="409"/>
        <w:gridCol w:w="413"/>
        <w:gridCol w:w="409"/>
        <w:gridCol w:w="464"/>
        <w:gridCol w:w="464"/>
        <w:gridCol w:w="444"/>
        <w:gridCol w:w="464"/>
        <w:gridCol w:w="487"/>
        <w:gridCol w:w="464"/>
        <w:gridCol w:w="506"/>
        <w:gridCol w:w="409"/>
        <w:gridCol w:w="481"/>
        <w:gridCol w:w="409"/>
      </w:tblGrid>
      <w:tr>
        <w:trPr>
          <w:trHeight w:val="645" w:hRule="atLeast"/>
        </w:trPr>
        <w:tc>
          <w:tcPr>
            <w:tcW w:w="622" w:type="pct"/>
            <w:tcBorders>
              <w:top w:val="single" w:color="auto" w:sz="12" w:space="0"/>
              <w:bottom w:val="single" w:color="auto" w:sz="4" w:space="0"/>
              <w:right w:val="single" w:color="auto" w:sz="4" w:space="0"/>
              <w:tl2br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风频(%)     风向</w:t>
            </w:r>
          </w:p>
        </w:tc>
        <w:tc>
          <w:tcPr>
            <w:tcW w:w="265"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w:t>
            </w:r>
          </w:p>
        </w:tc>
        <w:tc>
          <w:tcPr>
            <w:tcW w:w="265"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NNE</w:t>
            </w:r>
          </w:p>
        </w:tc>
        <w:tc>
          <w:tcPr>
            <w:tcW w:w="234"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NE</w:t>
            </w:r>
          </w:p>
        </w:tc>
        <w:tc>
          <w:tcPr>
            <w:tcW w:w="246"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ENE</w:t>
            </w:r>
          </w:p>
        </w:tc>
        <w:tc>
          <w:tcPr>
            <w:tcW w:w="265"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E</w:t>
            </w:r>
          </w:p>
        </w:tc>
        <w:tc>
          <w:tcPr>
            <w:tcW w:w="236"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ESE</w:t>
            </w:r>
          </w:p>
        </w:tc>
        <w:tc>
          <w:tcPr>
            <w:tcW w:w="234"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SE</w:t>
            </w:r>
          </w:p>
        </w:tc>
        <w:tc>
          <w:tcPr>
            <w:tcW w:w="234"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SSE</w:t>
            </w:r>
          </w:p>
        </w:tc>
        <w:tc>
          <w:tcPr>
            <w:tcW w:w="265"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w:t>
            </w:r>
          </w:p>
        </w:tc>
        <w:tc>
          <w:tcPr>
            <w:tcW w:w="265"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SSW</w:t>
            </w:r>
          </w:p>
        </w:tc>
        <w:tc>
          <w:tcPr>
            <w:tcW w:w="265"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SW</w:t>
            </w:r>
          </w:p>
        </w:tc>
        <w:tc>
          <w:tcPr>
            <w:tcW w:w="27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WSW</w:t>
            </w:r>
          </w:p>
        </w:tc>
        <w:tc>
          <w:tcPr>
            <w:tcW w:w="265"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w:t>
            </w:r>
          </w:p>
        </w:tc>
        <w:tc>
          <w:tcPr>
            <w:tcW w:w="288"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WNW</w:t>
            </w:r>
          </w:p>
        </w:tc>
        <w:tc>
          <w:tcPr>
            <w:tcW w:w="265"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NW</w:t>
            </w:r>
          </w:p>
        </w:tc>
        <w:tc>
          <w:tcPr>
            <w:tcW w:w="274"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NNW</w:t>
            </w:r>
          </w:p>
        </w:tc>
        <w:tc>
          <w:tcPr>
            <w:tcW w:w="234" w:type="pct"/>
            <w:tcBorders>
              <w:top w:val="single" w:color="auto" w:sz="12"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w:t>
            </w:r>
          </w:p>
        </w:tc>
      </w:tr>
      <w:tr>
        <w:tblPrEx>
          <w:tblCellMar>
            <w:top w:w="0" w:type="dxa"/>
            <w:left w:w="108" w:type="dxa"/>
            <w:bottom w:w="0" w:type="dxa"/>
            <w:right w:w="108" w:type="dxa"/>
          </w:tblCellMar>
        </w:tblPrEx>
        <w:trPr>
          <w:trHeight w:val="285" w:hRule="atLeast"/>
        </w:trPr>
        <w:tc>
          <w:tcPr>
            <w:tcW w:w="622"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一月</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4.03</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1.61</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2.15</w:t>
            </w:r>
          </w:p>
        </w:tc>
        <w:tc>
          <w:tcPr>
            <w:tcW w:w="24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3.63</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2.55</w:t>
            </w:r>
          </w:p>
        </w:tc>
        <w:tc>
          <w:tcPr>
            <w:tcW w:w="23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1.08</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0.67</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7.26</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4.70</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3.49</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7.53</w:t>
            </w:r>
          </w:p>
        </w:tc>
        <w:tc>
          <w:tcPr>
            <w:tcW w:w="27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17.20</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26.75</w:t>
            </w:r>
          </w:p>
        </w:tc>
        <w:tc>
          <w:tcPr>
            <w:tcW w:w="28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6.72</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3.63</w:t>
            </w:r>
          </w:p>
        </w:tc>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4.44</w:t>
            </w:r>
          </w:p>
        </w:tc>
        <w:tc>
          <w:tcPr>
            <w:tcW w:w="234"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2.55</w:t>
            </w:r>
          </w:p>
        </w:tc>
      </w:tr>
      <w:tr>
        <w:tblPrEx>
          <w:tblCellMar>
            <w:top w:w="0" w:type="dxa"/>
            <w:left w:w="108" w:type="dxa"/>
            <w:bottom w:w="0" w:type="dxa"/>
            <w:right w:w="108" w:type="dxa"/>
          </w:tblCellMar>
        </w:tblPrEx>
        <w:trPr>
          <w:trHeight w:val="285" w:hRule="atLeast"/>
        </w:trPr>
        <w:tc>
          <w:tcPr>
            <w:tcW w:w="622"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二月</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3.87</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0.89</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2.38</w:t>
            </w:r>
          </w:p>
        </w:tc>
        <w:tc>
          <w:tcPr>
            <w:tcW w:w="24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4.02</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3.13</w:t>
            </w:r>
          </w:p>
        </w:tc>
        <w:tc>
          <w:tcPr>
            <w:tcW w:w="23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0.74</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1.19</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4.76</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4.46</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2.23</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5.51</w:t>
            </w:r>
          </w:p>
        </w:tc>
        <w:tc>
          <w:tcPr>
            <w:tcW w:w="27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13.39</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25.89</w:t>
            </w:r>
          </w:p>
        </w:tc>
        <w:tc>
          <w:tcPr>
            <w:tcW w:w="28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14.29</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7.29</w:t>
            </w:r>
          </w:p>
        </w:tc>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3.87</w:t>
            </w:r>
          </w:p>
        </w:tc>
        <w:tc>
          <w:tcPr>
            <w:tcW w:w="234"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2.08</w:t>
            </w:r>
          </w:p>
        </w:tc>
      </w:tr>
      <w:tr>
        <w:tblPrEx>
          <w:tblCellMar>
            <w:top w:w="0" w:type="dxa"/>
            <w:left w:w="108" w:type="dxa"/>
            <w:bottom w:w="0" w:type="dxa"/>
            <w:right w:w="108" w:type="dxa"/>
          </w:tblCellMar>
        </w:tblPrEx>
        <w:trPr>
          <w:trHeight w:val="285" w:hRule="atLeast"/>
        </w:trPr>
        <w:tc>
          <w:tcPr>
            <w:tcW w:w="622"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三月</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3.36</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1.08</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2.15</w:t>
            </w:r>
          </w:p>
        </w:tc>
        <w:tc>
          <w:tcPr>
            <w:tcW w:w="24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3.36</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7.12</w:t>
            </w:r>
          </w:p>
        </w:tc>
        <w:tc>
          <w:tcPr>
            <w:tcW w:w="23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3.09</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1.88</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11.69</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11.02</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2.82</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10.35</w:t>
            </w:r>
          </w:p>
        </w:tc>
        <w:tc>
          <w:tcPr>
            <w:tcW w:w="27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9.41</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11.56</w:t>
            </w:r>
          </w:p>
        </w:tc>
        <w:tc>
          <w:tcPr>
            <w:tcW w:w="28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8.60</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6.18</w:t>
            </w:r>
          </w:p>
        </w:tc>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4.17</w:t>
            </w:r>
          </w:p>
        </w:tc>
        <w:tc>
          <w:tcPr>
            <w:tcW w:w="234"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2.15</w:t>
            </w:r>
          </w:p>
        </w:tc>
      </w:tr>
      <w:tr>
        <w:tblPrEx>
          <w:tblCellMar>
            <w:top w:w="0" w:type="dxa"/>
            <w:left w:w="108" w:type="dxa"/>
            <w:bottom w:w="0" w:type="dxa"/>
            <w:right w:w="108" w:type="dxa"/>
          </w:tblCellMar>
        </w:tblPrEx>
        <w:trPr>
          <w:trHeight w:val="285" w:hRule="atLeast"/>
        </w:trPr>
        <w:tc>
          <w:tcPr>
            <w:tcW w:w="622"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四月</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3.06</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1.53</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1.81</w:t>
            </w:r>
          </w:p>
        </w:tc>
        <w:tc>
          <w:tcPr>
            <w:tcW w:w="24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3.19</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2.64</w:t>
            </w:r>
          </w:p>
        </w:tc>
        <w:tc>
          <w:tcPr>
            <w:tcW w:w="23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1.53</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2.36</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12.92</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9.31</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3.06</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7.08</w:t>
            </w:r>
          </w:p>
        </w:tc>
        <w:tc>
          <w:tcPr>
            <w:tcW w:w="27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9.17</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12.78</w:t>
            </w:r>
          </w:p>
        </w:tc>
        <w:tc>
          <w:tcPr>
            <w:tcW w:w="28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12.50</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9.86</w:t>
            </w:r>
          </w:p>
        </w:tc>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5.56</w:t>
            </w:r>
          </w:p>
        </w:tc>
        <w:tc>
          <w:tcPr>
            <w:tcW w:w="234"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1.67</w:t>
            </w:r>
          </w:p>
        </w:tc>
      </w:tr>
      <w:tr>
        <w:tblPrEx>
          <w:tblCellMar>
            <w:top w:w="0" w:type="dxa"/>
            <w:left w:w="108" w:type="dxa"/>
            <w:bottom w:w="0" w:type="dxa"/>
            <w:right w:w="108" w:type="dxa"/>
          </w:tblCellMar>
        </w:tblPrEx>
        <w:trPr>
          <w:trHeight w:val="285" w:hRule="atLeast"/>
        </w:trPr>
        <w:tc>
          <w:tcPr>
            <w:tcW w:w="622"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五月</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3.09</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2.15</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3.90</w:t>
            </w:r>
          </w:p>
        </w:tc>
        <w:tc>
          <w:tcPr>
            <w:tcW w:w="24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6.32</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5.38</w:t>
            </w:r>
          </w:p>
        </w:tc>
        <w:tc>
          <w:tcPr>
            <w:tcW w:w="23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3.09</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3.49</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12.77</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9.68</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6.59</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15.99</w:t>
            </w:r>
          </w:p>
        </w:tc>
        <w:tc>
          <w:tcPr>
            <w:tcW w:w="27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6.45</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4.30</w:t>
            </w:r>
          </w:p>
        </w:tc>
        <w:tc>
          <w:tcPr>
            <w:tcW w:w="28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4.70</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4.30</w:t>
            </w:r>
          </w:p>
        </w:tc>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3.76</w:t>
            </w:r>
          </w:p>
        </w:tc>
        <w:tc>
          <w:tcPr>
            <w:tcW w:w="234"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4.03</w:t>
            </w:r>
          </w:p>
        </w:tc>
      </w:tr>
      <w:tr>
        <w:tblPrEx>
          <w:tblCellMar>
            <w:top w:w="0" w:type="dxa"/>
            <w:left w:w="108" w:type="dxa"/>
            <w:bottom w:w="0" w:type="dxa"/>
            <w:right w:w="108" w:type="dxa"/>
          </w:tblCellMar>
        </w:tblPrEx>
        <w:trPr>
          <w:trHeight w:val="285" w:hRule="atLeast"/>
        </w:trPr>
        <w:tc>
          <w:tcPr>
            <w:tcW w:w="622"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六月</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3.19</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1.67</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2.22</w:t>
            </w:r>
          </w:p>
        </w:tc>
        <w:tc>
          <w:tcPr>
            <w:tcW w:w="24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6.67</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6.39</w:t>
            </w:r>
          </w:p>
        </w:tc>
        <w:tc>
          <w:tcPr>
            <w:tcW w:w="23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5.00</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4.72</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13.47</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15.14</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9.17</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9.72</w:t>
            </w:r>
          </w:p>
        </w:tc>
        <w:tc>
          <w:tcPr>
            <w:tcW w:w="27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3.89</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4.72</w:t>
            </w:r>
          </w:p>
        </w:tc>
        <w:tc>
          <w:tcPr>
            <w:tcW w:w="28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3.06</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2.92</w:t>
            </w:r>
          </w:p>
        </w:tc>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3.61</w:t>
            </w:r>
          </w:p>
        </w:tc>
        <w:tc>
          <w:tcPr>
            <w:tcW w:w="234"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4.44</w:t>
            </w:r>
          </w:p>
        </w:tc>
      </w:tr>
      <w:tr>
        <w:tblPrEx>
          <w:tblCellMar>
            <w:top w:w="0" w:type="dxa"/>
            <w:left w:w="108" w:type="dxa"/>
            <w:bottom w:w="0" w:type="dxa"/>
            <w:right w:w="108" w:type="dxa"/>
          </w:tblCellMar>
        </w:tblPrEx>
        <w:trPr>
          <w:trHeight w:val="285" w:hRule="atLeast"/>
        </w:trPr>
        <w:tc>
          <w:tcPr>
            <w:tcW w:w="622"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七月</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3.09</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2.02</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3.49</w:t>
            </w:r>
          </w:p>
        </w:tc>
        <w:tc>
          <w:tcPr>
            <w:tcW w:w="24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5.38</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4.44</w:t>
            </w:r>
          </w:p>
        </w:tc>
        <w:tc>
          <w:tcPr>
            <w:tcW w:w="23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3.49</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5.24</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14.92</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17.74</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5.11</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9.95</w:t>
            </w:r>
          </w:p>
        </w:tc>
        <w:tc>
          <w:tcPr>
            <w:tcW w:w="27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3.09</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4.84</w:t>
            </w:r>
          </w:p>
        </w:tc>
        <w:tc>
          <w:tcPr>
            <w:tcW w:w="28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4.44</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2.42</w:t>
            </w:r>
          </w:p>
        </w:tc>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3.76</w:t>
            </w:r>
          </w:p>
        </w:tc>
        <w:tc>
          <w:tcPr>
            <w:tcW w:w="234"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6.59</w:t>
            </w:r>
          </w:p>
        </w:tc>
      </w:tr>
      <w:tr>
        <w:tblPrEx>
          <w:tblCellMar>
            <w:top w:w="0" w:type="dxa"/>
            <w:left w:w="108" w:type="dxa"/>
            <w:bottom w:w="0" w:type="dxa"/>
            <w:right w:w="108" w:type="dxa"/>
          </w:tblCellMar>
        </w:tblPrEx>
        <w:trPr>
          <w:trHeight w:val="285" w:hRule="atLeast"/>
        </w:trPr>
        <w:tc>
          <w:tcPr>
            <w:tcW w:w="622"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八月</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2.69</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2.82</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8.06</w:t>
            </w:r>
          </w:p>
        </w:tc>
        <w:tc>
          <w:tcPr>
            <w:tcW w:w="24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6.59</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6.05</w:t>
            </w:r>
          </w:p>
        </w:tc>
        <w:tc>
          <w:tcPr>
            <w:tcW w:w="23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3.90</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6.85</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9.14</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18.82</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5.65</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9.68</w:t>
            </w:r>
          </w:p>
        </w:tc>
        <w:tc>
          <w:tcPr>
            <w:tcW w:w="27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6.72</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2.96</w:t>
            </w:r>
          </w:p>
        </w:tc>
        <w:tc>
          <w:tcPr>
            <w:tcW w:w="28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4.44</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2.82</w:t>
            </w:r>
          </w:p>
        </w:tc>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1.61</w:t>
            </w:r>
          </w:p>
        </w:tc>
        <w:tc>
          <w:tcPr>
            <w:tcW w:w="234"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1.21</w:t>
            </w:r>
          </w:p>
        </w:tc>
      </w:tr>
      <w:tr>
        <w:tblPrEx>
          <w:tblCellMar>
            <w:top w:w="0" w:type="dxa"/>
            <w:left w:w="108" w:type="dxa"/>
            <w:bottom w:w="0" w:type="dxa"/>
            <w:right w:w="108" w:type="dxa"/>
          </w:tblCellMar>
        </w:tblPrEx>
        <w:trPr>
          <w:trHeight w:val="285" w:hRule="atLeast"/>
        </w:trPr>
        <w:tc>
          <w:tcPr>
            <w:tcW w:w="622"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九月</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3.33</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3.61</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5.83</w:t>
            </w:r>
          </w:p>
        </w:tc>
        <w:tc>
          <w:tcPr>
            <w:tcW w:w="24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6.11</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5.28</w:t>
            </w:r>
          </w:p>
        </w:tc>
        <w:tc>
          <w:tcPr>
            <w:tcW w:w="23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3.61</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2.50</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11.94</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17.64</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4.58</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10.00</w:t>
            </w:r>
          </w:p>
        </w:tc>
        <w:tc>
          <w:tcPr>
            <w:tcW w:w="27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5.00</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4.17</w:t>
            </w:r>
          </w:p>
        </w:tc>
        <w:tc>
          <w:tcPr>
            <w:tcW w:w="28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5.00</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2.92</w:t>
            </w:r>
          </w:p>
        </w:tc>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4.03</w:t>
            </w:r>
          </w:p>
        </w:tc>
        <w:tc>
          <w:tcPr>
            <w:tcW w:w="234"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4.44</w:t>
            </w:r>
          </w:p>
        </w:tc>
      </w:tr>
      <w:tr>
        <w:tblPrEx>
          <w:tblCellMar>
            <w:top w:w="0" w:type="dxa"/>
            <w:left w:w="108" w:type="dxa"/>
            <w:bottom w:w="0" w:type="dxa"/>
            <w:right w:w="108" w:type="dxa"/>
          </w:tblCellMar>
        </w:tblPrEx>
        <w:trPr>
          <w:trHeight w:val="285" w:hRule="atLeast"/>
        </w:trPr>
        <w:tc>
          <w:tcPr>
            <w:tcW w:w="622"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十月</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2.02</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0.67</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0.54</w:t>
            </w:r>
          </w:p>
        </w:tc>
        <w:tc>
          <w:tcPr>
            <w:tcW w:w="24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0.54</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1.21</w:t>
            </w:r>
          </w:p>
        </w:tc>
        <w:tc>
          <w:tcPr>
            <w:tcW w:w="23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0.27</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1.34</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7.66</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14.38</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4.97</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11.29</w:t>
            </w:r>
          </w:p>
        </w:tc>
        <w:tc>
          <w:tcPr>
            <w:tcW w:w="27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17.61</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17.47</w:t>
            </w:r>
          </w:p>
        </w:tc>
        <w:tc>
          <w:tcPr>
            <w:tcW w:w="28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9.14</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5.78</w:t>
            </w:r>
          </w:p>
        </w:tc>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3.90</w:t>
            </w:r>
          </w:p>
        </w:tc>
        <w:tc>
          <w:tcPr>
            <w:tcW w:w="234"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1.21</w:t>
            </w:r>
          </w:p>
        </w:tc>
      </w:tr>
      <w:tr>
        <w:tblPrEx>
          <w:tblCellMar>
            <w:top w:w="0" w:type="dxa"/>
            <w:left w:w="108" w:type="dxa"/>
            <w:bottom w:w="0" w:type="dxa"/>
            <w:right w:w="108" w:type="dxa"/>
          </w:tblCellMar>
        </w:tblPrEx>
        <w:trPr>
          <w:trHeight w:val="285" w:hRule="atLeast"/>
        </w:trPr>
        <w:tc>
          <w:tcPr>
            <w:tcW w:w="622"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十一月</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4.72</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0.69</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1.67</w:t>
            </w:r>
          </w:p>
        </w:tc>
        <w:tc>
          <w:tcPr>
            <w:tcW w:w="24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3.19</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4.03</w:t>
            </w:r>
          </w:p>
        </w:tc>
        <w:tc>
          <w:tcPr>
            <w:tcW w:w="23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1.53</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1.67</w:t>
            </w:r>
          </w:p>
        </w:tc>
        <w:tc>
          <w:tcPr>
            <w:tcW w:w="23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5.97</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7.78</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3.61</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6.53</w:t>
            </w:r>
          </w:p>
        </w:tc>
        <w:tc>
          <w:tcPr>
            <w:tcW w:w="27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10.83</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27.08</w:t>
            </w:r>
          </w:p>
        </w:tc>
        <w:tc>
          <w:tcPr>
            <w:tcW w:w="28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5.28</w:t>
            </w:r>
          </w:p>
        </w:tc>
        <w:tc>
          <w:tcPr>
            <w:tcW w:w="265"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4.17</w:t>
            </w:r>
          </w:p>
        </w:tc>
        <w:tc>
          <w:tcPr>
            <w:tcW w:w="274"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6.94</w:t>
            </w:r>
          </w:p>
        </w:tc>
        <w:tc>
          <w:tcPr>
            <w:tcW w:w="234"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4.31</w:t>
            </w:r>
          </w:p>
        </w:tc>
      </w:tr>
      <w:tr>
        <w:tblPrEx>
          <w:tblCellMar>
            <w:top w:w="0" w:type="dxa"/>
            <w:left w:w="108" w:type="dxa"/>
            <w:bottom w:w="0" w:type="dxa"/>
            <w:right w:w="108" w:type="dxa"/>
          </w:tblCellMar>
        </w:tblPrEx>
        <w:trPr>
          <w:trHeight w:val="285" w:hRule="atLeast"/>
        </w:trPr>
        <w:tc>
          <w:tcPr>
            <w:tcW w:w="622" w:type="pct"/>
            <w:tcBorders>
              <w:top w:val="single" w:color="auto" w:sz="4" w:space="0"/>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十二月</w:t>
            </w:r>
          </w:p>
        </w:tc>
        <w:tc>
          <w:tcPr>
            <w:tcW w:w="265"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5.11</w:t>
            </w:r>
          </w:p>
        </w:tc>
        <w:tc>
          <w:tcPr>
            <w:tcW w:w="265"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0.40</w:t>
            </w:r>
          </w:p>
        </w:tc>
        <w:tc>
          <w:tcPr>
            <w:tcW w:w="234"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0.67</w:t>
            </w:r>
          </w:p>
        </w:tc>
        <w:tc>
          <w:tcPr>
            <w:tcW w:w="246"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2.96</w:t>
            </w:r>
          </w:p>
        </w:tc>
        <w:tc>
          <w:tcPr>
            <w:tcW w:w="265"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0.81</w:t>
            </w:r>
          </w:p>
        </w:tc>
        <w:tc>
          <w:tcPr>
            <w:tcW w:w="236"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0.27</w:t>
            </w:r>
          </w:p>
        </w:tc>
        <w:tc>
          <w:tcPr>
            <w:tcW w:w="234"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1.34</w:t>
            </w:r>
          </w:p>
        </w:tc>
        <w:tc>
          <w:tcPr>
            <w:tcW w:w="234"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6.72</w:t>
            </w:r>
          </w:p>
        </w:tc>
        <w:tc>
          <w:tcPr>
            <w:tcW w:w="265"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9.81</w:t>
            </w:r>
          </w:p>
        </w:tc>
        <w:tc>
          <w:tcPr>
            <w:tcW w:w="265"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2.15</w:t>
            </w:r>
          </w:p>
        </w:tc>
        <w:tc>
          <w:tcPr>
            <w:tcW w:w="265"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3.36</w:t>
            </w:r>
          </w:p>
        </w:tc>
        <w:tc>
          <w:tcPr>
            <w:tcW w:w="27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9.68</w:t>
            </w:r>
          </w:p>
        </w:tc>
        <w:tc>
          <w:tcPr>
            <w:tcW w:w="265"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27.96</w:t>
            </w:r>
          </w:p>
        </w:tc>
        <w:tc>
          <w:tcPr>
            <w:tcW w:w="288"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14.78</w:t>
            </w:r>
          </w:p>
        </w:tc>
        <w:tc>
          <w:tcPr>
            <w:tcW w:w="265"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4.57</w:t>
            </w:r>
          </w:p>
        </w:tc>
        <w:tc>
          <w:tcPr>
            <w:tcW w:w="274"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5.91</w:t>
            </w:r>
          </w:p>
        </w:tc>
        <w:tc>
          <w:tcPr>
            <w:tcW w:w="234" w:type="pct"/>
            <w:tcBorders>
              <w:top w:val="single" w:color="auto" w:sz="4" w:space="0"/>
              <w:left w:val="nil"/>
              <w:bottom w:val="single" w:color="auto" w:sz="12"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3.49</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续</w:t>
      </w:r>
      <w:r>
        <w:rPr>
          <w:rFonts w:ascii="Times New Roman" w:hAnsiTheme="minorEastAsia" w:eastAsiaTheme="minorEastAsia"/>
          <w:b/>
          <w:bCs/>
          <w:color w:val="000000" w:themeColor="text1"/>
          <w:szCs w:val="24"/>
          <w14:textFill>
            <w14:solidFill>
              <w14:schemeClr w14:val="tx1"/>
            </w14:solidFill>
          </w14:textFill>
        </w:rPr>
        <w:t xml:space="preserve">表5-2-1  </w:t>
      </w:r>
      <w:r>
        <w:rPr>
          <w:rFonts w:hint="eastAsia" w:ascii="Times New Roman" w:hAnsiTheme="minorEastAsia" w:eastAsiaTheme="minorEastAsia"/>
          <w:b/>
          <w:bCs/>
          <w:color w:val="000000" w:themeColor="text1"/>
          <w:szCs w:val="24"/>
          <w14:textFill>
            <w14:solidFill>
              <w14:schemeClr w14:val="tx1"/>
            </w14:solidFill>
          </w14:textFill>
        </w:rPr>
        <w:t>年均风频的季变化及年均风频</w:t>
      </w:r>
    </w:p>
    <w:tbl>
      <w:tblPr>
        <w:tblStyle w:val="70"/>
        <w:tblW w:w="5000" w:type="pct"/>
        <w:tblInd w:w="0" w:type="dxa"/>
        <w:tblLayout w:type="autofit"/>
        <w:tblCellMar>
          <w:top w:w="0" w:type="dxa"/>
          <w:left w:w="108" w:type="dxa"/>
          <w:bottom w:w="0" w:type="dxa"/>
          <w:right w:w="108" w:type="dxa"/>
        </w:tblCellMar>
      </w:tblPr>
      <w:tblGrid>
        <w:gridCol w:w="1099"/>
        <w:gridCol w:w="409"/>
        <w:gridCol w:w="444"/>
        <w:gridCol w:w="409"/>
        <w:gridCol w:w="432"/>
        <w:gridCol w:w="409"/>
        <w:gridCol w:w="413"/>
        <w:gridCol w:w="409"/>
        <w:gridCol w:w="464"/>
        <w:gridCol w:w="464"/>
        <w:gridCol w:w="444"/>
        <w:gridCol w:w="464"/>
        <w:gridCol w:w="487"/>
        <w:gridCol w:w="464"/>
        <w:gridCol w:w="506"/>
        <w:gridCol w:w="409"/>
        <w:gridCol w:w="481"/>
        <w:gridCol w:w="409"/>
      </w:tblGrid>
      <w:tr>
        <w:tblPrEx>
          <w:tblCellMar>
            <w:top w:w="0" w:type="dxa"/>
            <w:left w:w="108" w:type="dxa"/>
            <w:bottom w:w="0" w:type="dxa"/>
            <w:right w:w="108" w:type="dxa"/>
          </w:tblCellMar>
        </w:tblPrEx>
        <w:trPr>
          <w:trHeight w:val="600" w:hRule="atLeast"/>
        </w:trPr>
        <w:tc>
          <w:tcPr>
            <w:tcW w:w="635" w:type="pct"/>
            <w:tcBorders>
              <w:top w:val="single" w:color="auto" w:sz="12" w:space="0"/>
              <w:bottom w:val="single" w:color="auto" w:sz="4" w:space="0"/>
              <w:right w:val="single" w:color="auto" w:sz="4" w:space="0"/>
              <w:tl2br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风频(%)     风向</w:t>
            </w:r>
          </w:p>
        </w:tc>
        <w:tc>
          <w:tcPr>
            <w:tcW w:w="269"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w:t>
            </w:r>
          </w:p>
        </w:tc>
        <w:tc>
          <w:tcPr>
            <w:tcW w:w="256"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NNE</w:t>
            </w:r>
          </w:p>
        </w:tc>
        <w:tc>
          <w:tcPr>
            <w:tcW w:w="23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NE</w:t>
            </w:r>
          </w:p>
        </w:tc>
        <w:tc>
          <w:tcPr>
            <w:tcW w:w="250"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ENE</w:t>
            </w:r>
          </w:p>
        </w:tc>
        <w:tc>
          <w:tcPr>
            <w:tcW w:w="23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E</w:t>
            </w:r>
          </w:p>
        </w:tc>
        <w:tc>
          <w:tcPr>
            <w:tcW w:w="239"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ESE</w:t>
            </w:r>
          </w:p>
        </w:tc>
        <w:tc>
          <w:tcPr>
            <w:tcW w:w="23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SE</w:t>
            </w:r>
          </w:p>
        </w:tc>
        <w:tc>
          <w:tcPr>
            <w:tcW w:w="23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SSE</w:t>
            </w:r>
          </w:p>
        </w:tc>
        <w:tc>
          <w:tcPr>
            <w:tcW w:w="269"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w:t>
            </w:r>
          </w:p>
        </w:tc>
        <w:tc>
          <w:tcPr>
            <w:tcW w:w="269"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SSW</w:t>
            </w:r>
          </w:p>
        </w:tc>
        <w:tc>
          <w:tcPr>
            <w:tcW w:w="269"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SW</w:t>
            </w:r>
          </w:p>
        </w:tc>
        <w:tc>
          <w:tcPr>
            <w:tcW w:w="281"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WSW</w:t>
            </w:r>
          </w:p>
        </w:tc>
        <w:tc>
          <w:tcPr>
            <w:tcW w:w="269"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w:t>
            </w:r>
          </w:p>
        </w:tc>
        <w:tc>
          <w:tcPr>
            <w:tcW w:w="292"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WNW</w:t>
            </w:r>
          </w:p>
        </w:tc>
        <w:tc>
          <w:tcPr>
            <w:tcW w:w="237"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NW</w:t>
            </w:r>
          </w:p>
        </w:tc>
        <w:tc>
          <w:tcPr>
            <w:tcW w:w="278" w:type="pct"/>
            <w:tcBorders>
              <w:top w:val="single" w:color="auto" w:sz="12"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NNW</w:t>
            </w:r>
          </w:p>
        </w:tc>
        <w:tc>
          <w:tcPr>
            <w:tcW w:w="237" w:type="pct"/>
            <w:tcBorders>
              <w:top w:val="single" w:color="auto" w:sz="12"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w:t>
            </w:r>
          </w:p>
        </w:tc>
      </w:tr>
      <w:tr>
        <w:tblPrEx>
          <w:tblCellMar>
            <w:top w:w="0" w:type="dxa"/>
            <w:left w:w="108" w:type="dxa"/>
            <w:bottom w:w="0" w:type="dxa"/>
            <w:right w:w="108" w:type="dxa"/>
          </w:tblCellMar>
        </w:tblPrEx>
        <w:trPr>
          <w:trHeight w:val="285" w:hRule="atLeast"/>
        </w:trPr>
        <w:tc>
          <w:tcPr>
            <w:tcW w:w="635"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春季</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3.17</w:t>
            </w:r>
          </w:p>
        </w:tc>
        <w:tc>
          <w:tcPr>
            <w:tcW w:w="25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1.59</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2.63</w:t>
            </w:r>
          </w:p>
        </w:tc>
        <w:tc>
          <w:tcPr>
            <w:tcW w:w="250"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4.30</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5.07</w:t>
            </w:r>
          </w:p>
        </w:tc>
        <w:tc>
          <w:tcPr>
            <w:tcW w:w="23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2.58</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2.58</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12.45</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10.01</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4.17</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11.19</w:t>
            </w:r>
          </w:p>
        </w:tc>
        <w:tc>
          <w:tcPr>
            <w:tcW w:w="281"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8.33</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9.51</w:t>
            </w:r>
          </w:p>
        </w:tc>
        <w:tc>
          <w:tcPr>
            <w:tcW w:w="292"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8.56</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6.75</w:t>
            </w:r>
          </w:p>
        </w:tc>
        <w:tc>
          <w:tcPr>
            <w:tcW w:w="27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4.48</w:t>
            </w:r>
          </w:p>
        </w:tc>
        <w:tc>
          <w:tcPr>
            <w:tcW w:w="237"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2.63</w:t>
            </w:r>
          </w:p>
        </w:tc>
      </w:tr>
      <w:tr>
        <w:tblPrEx>
          <w:tblCellMar>
            <w:top w:w="0" w:type="dxa"/>
            <w:left w:w="108" w:type="dxa"/>
            <w:bottom w:w="0" w:type="dxa"/>
            <w:right w:w="108" w:type="dxa"/>
          </w:tblCellMar>
        </w:tblPrEx>
        <w:trPr>
          <w:trHeight w:val="285" w:hRule="atLeast"/>
        </w:trPr>
        <w:tc>
          <w:tcPr>
            <w:tcW w:w="635"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夏季</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2.99</w:t>
            </w:r>
          </w:p>
        </w:tc>
        <w:tc>
          <w:tcPr>
            <w:tcW w:w="25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2.17</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4.62</w:t>
            </w:r>
          </w:p>
        </w:tc>
        <w:tc>
          <w:tcPr>
            <w:tcW w:w="250"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6.20</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5.62</w:t>
            </w:r>
          </w:p>
        </w:tc>
        <w:tc>
          <w:tcPr>
            <w:tcW w:w="23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4.12</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5.62</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12.50</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17.26</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6.61</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9.78</w:t>
            </w:r>
          </w:p>
        </w:tc>
        <w:tc>
          <w:tcPr>
            <w:tcW w:w="281"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4.57</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4.17</w:t>
            </w:r>
          </w:p>
        </w:tc>
        <w:tc>
          <w:tcPr>
            <w:tcW w:w="292"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3.99</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2.72</w:t>
            </w:r>
          </w:p>
        </w:tc>
        <w:tc>
          <w:tcPr>
            <w:tcW w:w="27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2.99</w:t>
            </w:r>
          </w:p>
        </w:tc>
        <w:tc>
          <w:tcPr>
            <w:tcW w:w="237"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4.08</w:t>
            </w:r>
          </w:p>
        </w:tc>
      </w:tr>
      <w:tr>
        <w:tblPrEx>
          <w:tblCellMar>
            <w:top w:w="0" w:type="dxa"/>
            <w:left w:w="108" w:type="dxa"/>
            <w:bottom w:w="0" w:type="dxa"/>
            <w:right w:w="108" w:type="dxa"/>
          </w:tblCellMar>
        </w:tblPrEx>
        <w:trPr>
          <w:trHeight w:val="285" w:hRule="atLeast"/>
        </w:trPr>
        <w:tc>
          <w:tcPr>
            <w:tcW w:w="635"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秋季</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3.34</w:t>
            </w:r>
          </w:p>
        </w:tc>
        <w:tc>
          <w:tcPr>
            <w:tcW w:w="25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1.65</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2.66</w:t>
            </w:r>
          </w:p>
        </w:tc>
        <w:tc>
          <w:tcPr>
            <w:tcW w:w="250"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3.25</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3.48</w:t>
            </w:r>
          </w:p>
        </w:tc>
        <w:tc>
          <w:tcPr>
            <w:tcW w:w="23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1.79</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1.83</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8.52</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13.28</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4.40</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9.29</w:t>
            </w:r>
          </w:p>
        </w:tc>
        <w:tc>
          <w:tcPr>
            <w:tcW w:w="281"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11.22</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16.25</w:t>
            </w:r>
          </w:p>
        </w:tc>
        <w:tc>
          <w:tcPr>
            <w:tcW w:w="292"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6.50</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4.30</w:t>
            </w:r>
          </w:p>
        </w:tc>
        <w:tc>
          <w:tcPr>
            <w:tcW w:w="27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4.95</w:t>
            </w:r>
          </w:p>
        </w:tc>
        <w:tc>
          <w:tcPr>
            <w:tcW w:w="237"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3.30</w:t>
            </w:r>
          </w:p>
        </w:tc>
      </w:tr>
      <w:tr>
        <w:tblPrEx>
          <w:tblCellMar>
            <w:top w:w="0" w:type="dxa"/>
            <w:left w:w="108" w:type="dxa"/>
            <w:bottom w:w="0" w:type="dxa"/>
            <w:right w:w="108" w:type="dxa"/>
          </w:tblCellMar>
        </w:tblPrEx>
        <w:trPr>
          <w:trHeight w:val="285" w:hRule="atLeast"/>
        </w:trPr>
        <w:tc>
          <w:tcPr>
            <w:tcW w:w="635" w:type="pct"/>
            <w:tcBorders>
              <w:top w:val="single" w:color="auto" w:sz="4" w:space="0"/>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冬季</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4.35</w:t>
            </w:r>
          </w:p>
        </w:tc>
        <w:tc>
          <w:tcPr>
            <w:tcW w:w="256"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0.97</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1.71</w:t>
            </w:r>
          </w:p>
        </w:tc>
        <w:tc>
          <w:tcPr>
            <w:tcW w:w="250"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3.52</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2.13</w:t>
            </w:r>
          </w:p>
        </w:tc>
        <w:tc>
          <w:tcPr>
            <w:tcW w:w="23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0.69</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1.06</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6.30</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6.39</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2.64</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5.46</w:t>
            </w:r>
          </w:p>
        </w:tc>
        <w:tc>
          <w:tcPr>
            <w:tcW w:w="281"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13.43</w:t>
            </w:r>
          </w:p>
        </w:tc>
        <w:tc>
          <w:tcPr>
            <w:tcW w:w="269"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26.90</w:t>
            </w:r>
          </w:p>
        </w:tc>
        <w:tc>
          <w:tcPr>
            <w:tcW w:w="292"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11.85</w:t>
            </w:r>
          </w:p>
        </w:tc>
        <w:tc>
          <w:tcPr>
            <w:tcW w:w="237"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5.09</w:t>
            </w:r>
          </w:p>
        </w:tc>
        <w:tc>
          <w:tcPr>
            <w:tcW w:w="278" w:type="pct"/>
            <w:tcBorders>
              <w:top w:val="single" w:color="auto" w:sz="4" w:space="0"/>
              <w:left w:val="nil"/>
              <w:bottom w:val="single" w:color="auto" w:sz="4"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4.77</w:t>
            </w:r>
          </w:p>
        </w:tc>
        <w:tc>
          <w:tcPr>
            <w:tcW w:w="237" w:type="pct"/>
            <w:tcBorders>
              <w:top w:val="single" w:color="auto" w:sz="4" w:space="0"/>
              <w:left w:val="nil"/>
              <w:bottom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2.73</w:t>
            </w:r>
          </w:p>
        </w:tc>
      </w:tr>
      <w:tr>
        <w:tblPrEx>
          <w:tblCellMar>
            <w:top w:w="0" w:type="dxa"/>
            <w:left w:w="108" w:type="dxa"/>
            <w:bottom w:w="0" w:type="dxa"/>
            <w:right w:w="108" w:type="dxa"/>
          </w:tblCellMar>
        </w:tblPrEx>
        <w:trPr>
          <w:trHeight w:val="285" w:hRule="atLeast"/>
        </w:trPr>
        <w:tc>
          <w:tcPr>
            <w:tcW w:w="635" w:type="pct"/>
            <w:tcBorders>
              <w:top w:val="single" w:color="auto" w:sz="4" w:space="0"/>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全年</w:t>
            </w:r>
          </w:p>
        </w:tc>
        <w:tc>
          <w:tcPr>
            <w:tcW w:w="269"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3.46</w:t>
            </w:r>
          </w:p>
        </w:tc>
        <w:tc>
          <w:tcPr>
            <w:tcW w:w="256"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1.60</w:t>
            </w:r>
          </w:p>
        </w:tc>
        <w:tc>
          <w:tcPr>
            <w:tcW w:w="23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2.91</w:t>
            </w:r>
          </w:p>
        </w:tc>
        <w:tc>
          <w:tcPr>
            <w:tcW w:w="250"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4.33</w:t>
            </w:r>
          </w:p>
        </w:tc>
        <w:tc>
          <w:tcPr>
            <w:tcW w:w="23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4.09</w:t>
            </w:r>
          </w:p>
        </w:tc>
        <w:tc>
          <w:tcPr>
            <w:tcW w:w="239"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2.31</w:t>
            </w:r>
          </w:p>
        </w:tc>
        <w:tc>
          <w:tcPr>
            <w:tcW w:w="23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2.79</w:t>
            </w:r>
          </w:p>
        </w:tc>
        <w:tc>
          <w:tcPr>
            <w:tcW w:w="23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9.97</w:t>
            </w:r>
          </w:p>
        </w:tc>
        <w:tc>
          <w:tcPr>
            <w:tcW w:w="269"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11.76</w:t>
            </w:r>
          </w:p>
        </w:tc>
        <w:tc>
          <w:tcPr>
            <w:tcW w:w="269"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4.46</w:t>
            </w:r>
          </w:p>
        </w:tc>
        <w:tc>
          <w:tcPr>
            <w:tcW w:w="269"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8.95</w:t>
            </w:r>
          </w:p>
        </w:tc>
        <w:tc>
          <w:tcPr>
            <w:tcW w:w="281"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9.36</w:t>
            </w:r>
          </w:p>
        </w:tc>
        <w:tc>
          <w:tcPr>
            <w:tcW w:w="269"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14.13</w:t>
            </w:r>
          </w:p>
        </w:tc>
        <w:tc>
          <w:tcPr>
            <w:tcW w:w="292"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7.71</w:t>
            </w:r>
          </w:p>
        </w:tc>
        <w:tc>
          <w:tcPr>
            <w:tcW w:w="237"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4.71</w:t>
            </w:r>
          </w:p>
        </w:tc>
        <w:tc>
          <w:tcPr>
            <w:tcW w:w="278" w:type="pct"/>
            <w:tcBorders>
              <w:top w:val="single" w:color="auto" w:sz="4" w:space="0"/>
              <w:left w:val="nil"/>
              <w:bottom w:val="single" w:color="auto" w:sz="12" w:space="0"/>
              <w:right w:val="single" w:color="auto" w:sz="4"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4.29</w:t>
            </w:r>
          </w:p>
        </w:tc>
        <w:tc>
          <w:tcPr>
            <w:tcW w:w="237" w:type="pct"/>
            <w:tcBorders>
              <w:top w:val="single" w:color="auto" w:sz="4" w:space="0"/>
              <w:left w:val="nil"/>
              <w:bottom w:val="single" w:color="auto" w:sz="12" w:space="0"/>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3.18</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（2）风速</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月平均风速变化统计见表5-2-2和图5-2-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表5-2-2  月平均风速变化</w:t>
      </w:r>
      <w:r>
        <w:rPr>
          <w:rFonts w:hint="eastAsia" w:ascii="Times New Roman" w:hAnsiTheme="minorEastAsia" w:eastAsiaTheme="minorEastAsia"/>
          <w:b/>
          <w:bCs/>
          <w:color w:val="000000" w:themeColor="text1"/>
          <w:szCs w:val="24"/>
          <w14:textFill>
            <w14:solidFill>
              <w14:schemeClr w14:val="tx1"/>
            </w14:solidFill>
          </w14:textFill>
        </w:rPr>
        <w:t xml:space="preserve">  </w:t>
      </w:r>
      <w:r>
        <w:rPr>
          <w:rFonts w:ascii="Times New Roman" w:hAnsiTheme="minorEastAsia" w:eastAsiaTheme="minorEastAsia"/>
          <w:b/>
          <w:bCs/>
          <w:color w:val="000000" w:themeColor="text1"/>
          <w:szCs w:val="24"/>
          <w14:textFill>
            <w14:solidFill>
              <w14:schemeClr w14:val="tx1"/>
            </w14:solidFill>
          </w14:textFill>
        </w:rPr>
        <w:t>单位：m/s</w:t>
      </w:r>
    </w:p>
    <w:tbl>
      <w:tblPr>
        <w:tblStyle w:val="7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6"/>
        <w:gridCol w:w="592"/>
        <w:gridCol w:w="593"/>
        <w:gridCol w:w="593"/>
        <w:gridCol w:w="593"/>
        <w:gridCol w:w="593"/>
        <w:gridCol w:w="593"/>
        <w:gridCol w:w="593"/>
        <w:gridCol w:w="593"/>
        <w:gridCol w:w="593"/>
        <w:gridCol w:w="689"/>
        <w:gridCol w:w="689"/>
        <w:gridCol w:w="6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6" w:type="pct"/>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月份</w:t>
            </w:r>
          </w:p>
        </w:tc>
        <w:tc>
          <w:tcPr>
            <w:tcW w:w="344" w:type="pct"/>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1月</w:t>
            </w:r>
          </w:p>
        </w:tc>
        <w:tc>
          <w:tcPr>
            <w:tcW w:w="344" w:type="pct"/>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2月</w:t>
            </w:r>
          </w:p>
        </w:tc>
        <w:tc>
          <w:tcPr>
            <w:tcW w:w="344" w:type="pct"/>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3月</w:t>
            </w:r>
          </w:p>
        </w:tc>
        <w:tc>
          <w:tcPr>
            <w:tcW w:w="344" w:type="pct"/>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4月</w:t>
            </w:r>
          </w:p>
        </w:tc>
        <w:tc>
          <w:tcPr>
            <w:tcW w:w="344" w:type="pct"/>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5月</w:t>
            </w:r>
          </w:p>
        </w:tc>
        <w:tc>
          <w:tcPr>
            <w:tcW w:w="344" w:type="pct"/>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6月</w:t>
            </w:r>
          </w:p>
        </w:tc>
        <w:tc>
          <w:tcPr>
            <w:tcW w:w="344" w:type="pct"/>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7月</w:t>
            </w:r>
          </w:p>
        </w:tc>
        <w:tc>
          <w:tcPr>
            <w:tcW w:w="344" w:type="pct"/>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8月</w:t>
            </w:r>
          </w:p>
        </w:tc>
        <w:tc>
          <w:tcPr>
            <w:tcW w:w="344" w:type="pct"/>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9月</w:t>
            </w:r>
          </w:p>
        </w:tc>
        <w:tc>
          <w:tcPr>
            <w:tcW w:w="400" w:type="pct"/>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10月</w:t>
            </w:r>
          </w:p>
        </w:tc>
        <w:tc>
          <w:tcPr>
            <w:tcW w:w="400" w:type="pct"/>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11月</w:t>
            </w:r>
          </w:p>
        </w:tc>
        <w:tc>
          <w:tcPr>
            <w:tcW w:w="400" w:type="pct"/>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706" w:type="pct"/>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风速(m/s)</w:t>
            </w:r>
          </w:p>
        </w:tc>
        <w:tc>
          <w:tcPr>
            <w:tcW w:w="344" w:type="pct"/>
            <w:shd w:val="clear" w:color="auto" w:fill="auto"/>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2.12 </w:t>
            </w:r>
          </w:p>
        </w:tc>
        <w:tc>
          <w:tcPr>
            <w:tcW w:w="344" w:type="pct"/>
            <w:shd w:val="clear" w:color="auto" w:fill="auto"/>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2.46 </w:t>
            </w:r>
          </w:p>
        </w:tc>
        <w:tc>
          <w:tcPr>
            <w:tcW w:w="344" w:type="pct"/>
            <w:shd w:val="clear" w:color="auto" w:fill="auto"/>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2.56 </w:t>
            </w:r>
          </w:p>
        </w:tc>
        <w:tc>
          <w:tcPr>
            <w:tcW w:w="344" w:type="pct"/>
            <w:shd w:val="clear" w:color="auto" w:fill="auto"/>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3.15 </w:t>
            </w:r>
          </w:p>
        </w:tc>
        <w:tc>
          <w:tcPr>
            <w:tcW w:w="344" w:type="pct"/>
            <w:shd w:val="clear" w:color="auto" w:fill="auto"/>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2.59 </w:t>
            </w:r>
          </w:p>
        </w:tc>
        <w:tc>
          <w:tcPr>
            <w:tcW w:w="344" w:type="pct"/>
            <w:shd w:val="clear" w:color="auto" w:fill="auto"/>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2.21 </w:t>
            </w:r>
          </w:p>
        </w:tc>
        <w:tc>
          <w:tcPr>
            <w:tcW w:w="344" w:type="pct"/>
            <w:shd w:val="clear" w:color="auto" w:fill="auto"/>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1.73 </w:t>
            </w:r>
          </w:p>
        </w:tc>
        <w:tc>
          <w:tcPr>
            <w:tcW w:w="344" w:type="pct"/>
            <w:shd w:val="clear" w:color="auto" w:fill="auto"/>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2.15 </w:t>
            </w:r>
          </w:p>
        </w:tc>
        <w:tc>
          <w:tcPr>
            <w:tcW w:w="344" w:type="pct"/>
            <w:shd w:val="clear" w:color="auto" w:fill="auto"/>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1.84 </w:t>
            </w:r>
          </w:p>
        </w:tc>
        <w:tc>
          <w:tcPr>
            <w:tcW w:w="400" w:type="pct"/>
            <w:shd w:val="clear" w:color="auto" w:fill="auto"/>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2.38 </w:t>
            </w:r>
          </w:p>
        </w:tc>
        <w:tc>
          <w:tcPr>
            <w:tcW w:w="400" w:type="pct"/>
            <w:shd w:val="clear" w:color="auto" w:fill="auto"/>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2.49 </w:t>
            </w:r>
          </w:p>
        </w:tc>
        <w:tc>
          <w:tcPr>
            <w:tcW w:w="400" w:type="pct"/>
            <w:shd w:val="clear" w:color="auto" w:fill="auto"/>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2.38 </w:t>
            </w:r>
          </w:p>
        </w:tc>
      </w:tr>
    </w:tbl>
    <w:p>
      <w:pPr>
        <w:pStyle w:val="26"/>
        <w:ind w:firstLine="180"/>
        <w:rPr>
          <w:snapToGrid w:val="0"/>
          <w:color w:val="000000" w:themeColor="text1"/>
          <w14:textFill>
            <w14:solidFill>
              <w14:schemeClr w14:val="tx1"/>
            </w14:solidFill>
          </w14:textFill>
        </w:rPr>
      </w:pPr>
      <w:r>
        <w:rPr>
          <w:snapToGrid w:val="0"/>
          <w:color w:val="000000" w:themeColor="text1"/>
          <w:lang w:val="en-US" w:bidi="ar-SA"/>
          <w14:textFill>
            <w14:solidFill>
              <w14:schemeClr w14:val="tx1"/>
            </w14:solidFill>
          </w14:textFill>
        </w:rPr>
        <w:drawing>
          <wp:anchor distT="0" distB="0" distL="114300" distR="114300" simplePos="0" relativeHeight="251664384" behindDoc="0" locked="0" layoutInCell="1" allowOverlap="1">
            <wp:simplePos x="0" y="0"/>
            <wp:positionH relativeFrom="column">
              <wp:posOffset>10160</wp:posOffset>
            </wp:positionH>
            <wp:positionV relativeFrom="paragraph">
              <wp:posOffset>10795</wp:posOffset>
            </wp:positionV>
            <wp:extent cx="5334000" cy="2054225"/>
            <wp:effectExtent l="0" t="0" r="0" b="381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5334000" cy="2053960"/>
                    </a:xfrm>
                    <a:prstGeom prst="rect">
                      <a:avLst/>
                    </a:prstGeom>
                  </pic:spPr>
                </pic:pic>
              </a:graphicData>
            </a:graphic>
          </wp:anchor>
        </w:drawing>
      </w:r>
    </w:p>
    <w:p>
      <w:pPr>
        <w:pStyle w:val="89"/>
        <w:ind w:firstLine="180"/>
        <w:rPr>
          <w:snapToGrid w:val="0"/>
          <w:color w:val="000000" w:themeColor="text1"/>
          <w14:textFill>
            <w14:solidFill>
              <w14:schemeClr w14:val="tx1"/>
            </w14:solidFill>
          </w14:textFill>
        </w:rPr>
      </w:pPr>
    </w:p>
    <w:p>
      <w:pPr>
        <w:pStyle w:val="90"/>
        <w:ind w:firstLine="210"/>
        <w:rPr>
          <w:snapToGrid w:val="0"/>
          <w:color w:val="000000" w:themeColor="text1"/>
          <w14:textFill>
            <w14:solidFill>
              <w14:schemeClr w14:val="tx1"/>
            </w14:solidFill>
          </w14:textFill>
        </w:rPr>
      </w:pPr>
    </w:p>
    <w:p>
      <w:pPr>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图5-2-</w:t>
      </w:r>
      <w:r>
        <w:rPr>
          <w:rFonts w:hint="eastAsia" w:ascii="Times New Roman" w:hAnsiTheme="minorEastAsia" w:eastAsiaTheme="minorEastAsia"/>
          <w:b/>
          <w:bCs/>
          <w:color w:val="000000" w:themeColor="text1"/>
          <w:szCs w:val="24"/>
          <w14:textFill>
            <w14:solidFill>
              <w14:schemeClr w14:val="tx1"/>
            </w14:solidFill>
          </w14:textFill>
        </w:rPr>
        <w:t xml:space="preserve">1 </w:t>
      </w:r>
      <w:r>
        <w:rPr>
          <w:rFonts w:ascii="Times New Roman" w:hAnsiTheme="minorEastAsia" w:eastAsiaTheme="minorEastAsia"/>
          <w:b/>
          <w:bCs/>
          <w:color w:val="000000" w:themeColor="text1"/>
          <w:szCs w:val="24"/>
          <w14:textFill>
            <w14:solidFill>
              <w14:schemeClr w14:val="tx1"/>
            </w14:solidFill>
          </w14:textFill>
        </w:rPr>
        <w:t xml:space="preserve"> </w:t>
      </w:r>
      <w:r>
        <w:rPr>
          <w:rFonts w:hint="eastAsia" w:ascii="Times New Roman" w:hAnsiTheme="minorEastAsia" w:eastAsiaTheme="minorEastAsia"/>
          <w:b/>
          <w:bCs/>
          <w:color w:val="000000" w:themeColor="text1"/>
          <w:szCs w:val="24"/>
          <w14:textFill>
            <w14:solidFill>
              <w14:schemeClr w14:val="tx1"/>
            </w14:solidFill>
          </w14:textFill>
        </w:rPr>
        <w:t>年平均温度的月变化</w:t>
      </w:r>
      <w:r>
        <w:rPr>
          <w:rFonts w:ascii="Times New Roman" w:hAnsiTheme="minorEastAsia" w:eastAsiaTheme="minorEastAsia"/>
          <w:b/>
          <w:bCs/>
          <w:color w:val="000000" w:themeColor="text1"/>
          <w:szCs w:val="24"/>
          <w14:textFill>
            <w14:solidFill>
              <w14:schemeClr w14:val="tx1"/>
            </w14:solidFill>
          </w14:textFill>
        </w:rPr>
        <w:t>图</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26"/>
        <w:ind w:firstLine="180"/>
        <w:rPr>
          <w:snapToGrid w:val="0"/>
          <w:color w:val="000000" w:themeColor="text1"/>
          <w14:textFill>
            <w14:solidFill>
              <w14:schemeClr w14:val="tx1"/>
            </w14:solidFill>
          </w14:textFill>
        </w:rPr>
      </w:pPr>
      <w:r>
        <w:rPr>
          <w:snapToGrid w:val="0"/>
          <w:color w:val="000000" w:themeColor="text1"/>
          <w:lang w:val="en-US" w:bidi="ar-SA"/>
          <w14:textFill>
            <w14:solidFill>
              <w14:schemeClr w14:val="tx1"/>
            </w14:solidFill>
          </w14:textFill>
        </w:rPr>
        <w:drawing>
          <wp:anchor distT="0" distB="0" distL="114300" distR="114300" simplePos="0" relativeHeight="251665408" behindDoc="0" locked="0" layoutInCell="1" allowOverlap="1">
            <wp:simplePos x="0" y="0"/>
            <wp:positionH relativeFrom="column">
              <wp:posOffset>47625</wp:posOffset>
            </wp:positionH>
            <wp:positionV relativeFrom="paragraph">
              <wp:posOffset>76200</wp:posOffset>
            </wp:positionV>
            <wp:extent cx="5334000" cy="2055495"/>
            <wp:effectExtent l="0" t="0" r="0" b="254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5334000" cy="2055195"/>
                    </a:xfrm>
                    <a:prstGeom prst="rect">
                      <a:avLst/>
                    </a:prstGeom>
                  </pic:spPr>
                </pic:pic>
              </a:graphicData>
            </a:graphic>
          </wp:anchor>
        </w:drawing>
      </w:r>
    </w:p>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续</w:t>
      </w:r>
      <w:r>
        <w:rPr>
          <w:rFonts w:ascii="Times New Roman" w:hAnsiTheme="minorEastAsia" w:eastAsiaTheme="minorEastAsia"/>
          <w:b/>
          <w:bCs/>
          <w:color w:val="000000" w:themeColor="text1"/>
          <w:szCs w:val="24"/>
          <w14:textFill>
            <w14:solidFill>
              <w14:schemeClr w14:val="tx1"/>
            </w14:solidFill>
          </w14:textFill>
        </w:rPr>
        <w:t>图5-2-</w:t>
      </w:r>
      <w:r>
        <w:rPr>
          <w:rFonts w:hint="eastAsia" w:ascii="Times New Roman" w:hAnsiTheme="minorEastAsia" w:eastAsiaTheme="minorEastAsia"/>
          <w:b/>
          <w:bCs/>
          <w:color w:val="000000" w:themeColor="text1"/>
          <w:szCs w:val="24"/>
          <w14:textFill>
            <w14:solidFill>
              <w14:schemeClr w14:val="tx1"/>
            </w14:solidFill>
          </w14:textFill>
        </w:rPr>
        <w:t xml:space="preserve">1 </w:t>
      </w:r>
      <w:r>
        <w:rPr>
          <w:rFonts w:ascii="Times New Roman" w:hAnsiTheme="minorEastAsia" w:eastAsiaTheme="minorEastAsia"/>
          <w:b/>
          <w:bCs/>
          <w:color w:val="000000" w:themeColor="text1"/>
          <w:szCs w:val="24"/>
          <w14:textFill>
            <w14:solidFill>
              <w14:schemeClr w14:val="tx1"/>
            </w14:solidFill>
          </w14:textFill>
        </w:rPr>
        <w:t xml:space="preserve"> </w:t>
      </w:r>
      <w:r>
        <w:rPr>
          <w:rFonts w:hint="eastAsia" w:ascii="Times New Roman" w:hAnsiTheme="minorEastAsia" w:eastAsiaTheme="minorEastAsia"/>
          <w:b/>
          <w:bCs/>
          <w:color w:val="000000" w:themeColor="text1"/>
          <w:szCs w:val="24"/>
          <w14:textFill>
            <w14:solidFill>
              <w14:schemeClr w14:val="tx1"/>
            </w14:solidFill>
          </w14:textFill>
        </w:rPr>
        <w:t>年平均风速的月变化</w:t>
      </w:r>
      <w:r>
        <w:rPr>
          <w:rFonts w:ascii="Times New Roman" w:hAnsiTheme="minorEastAsia" w:eastAsiaTheme="minorEastAsia"/>
          <w:b/>
          <w:bCs/>
          <w:color w:val="000000" w:themeColor="text1"/>
          <w:szCs w:val="24"/>
          <w14:textFill>
            <w14:solidFill>
              <w14:schemeClr w14:val="tx1"/>
            </w14:solidFill>
          </w14:textFill>
        </w:rPr>
        <w:t>图</w:t>
      </w:r>
    </w:p>
    <w:p>
      <w:pPr>
        <w:pStyle w:val="26"/>
        <w:ind w:firstLine="180"/>
        <w:rPr>
          <w:snapToGrid w:val="0"/>
          <w:color w:val="000000" w:themeColor="text1"/>
          <w14:textFill>
            <w14:solidFill>
              <w14:schemeClr w14:val="tx1"/>
            </w14:solidFill>
          </w14:textFill>
        </w:rPr>
      </w:pPr>
      <w:r>
        <w:rPr>
          <w:snapToGrid w:val="0"/>
          <w:color w:val="000000" w:themeColor="text1"/>
          <w:lang w:val="en-US" w:bidi="ar-SA"/>
          <w14:textFill>
            <w14:solidFill>
              <w14:schemeClr w14:val="tx1"/>
            </w14:solidFill>
          </w14:textFill>
        </w:rPr>
        <w:drawing>
          <wp:anchor distT="0" distB="0" distL="114300" distR="114300" simplePos="0" relativeHeight="251666432" behindDoc="0" locked="0" layoutInCell="1" allowOverlap="1">
            <wp:simplePos x="0" y="0"/>
            <wp:positionH relativeFrom="column">
              <wp:posOffset>123825</wp:posOffset>
            </wp:positionH>
            <wp:positionV relativeFrom="paragraph">
              <wp:posOffset>107950</wp:posOffset>
            </wp:positionV>
            <wp:extent cx="5334000" cy="2228850"/>
            <wp:effectExtent l="0" t="0" r="0" b="635"/>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334000" cy="2228674"/>
                    </a:xfrm>
                    <a:prstGeom prst="rect">
                      <a:avLst/>
                    </a:prstGeom>
                  </pic:spPr>
                </pic:pic>
              </a:graphicData>
            </a:graphic>
          </wp:anchor>
        </w:drawing>
      </w:r>
    </w:p>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1382"/>
        <w:ind w:firstLine="180"/>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续</w:t>
      </w:r>
      <w:r>
        <w:rPr>
          <w:rFonts w:ascii="Times New Roman" w:hAnsiTheme="minorEastAsia" w:eastAsiaTheme="minorEastAsia"/>
          <w:b/>
          <w:bCs/>
          <w:color w:val="000000" w:themeColor="text1"/>
          <w:szCs w:val="24"/>
          <w14:textFill>
            <w14:solidFill>
              <w14:schemeClr w14:val="tx1"/>
            </w14:solidFill>
          </w14:textFill>
        </w:rPr>
        <w:t>图5-2-</w:t>
      </w:r>
      <w:r>
        <w:rPr>
          <w:rFonts w:hint="eastAsia" w:ascii="Times New Roman" w:hAnsiTheme="minorEastAsia" w:eastAsiaTheme="minorEastAsia"/>
          <w:b/>
          <w:bCs/>
          <w:color w:val="000000" w:themeColor="text1"/>
          <w:szCs w:val="24"/>
          <w14:textFill>
            <w14:solidFill>
              <w14:schemeClr w14:val="tx1"/>
            </w14:solidFill>
          </w14:textFill>
        </w:rPr>
        <w:t xml:space="preserve">1 </w:t>
      </w:r>
      <w:r>
        <w:rPr>
          <w:rFonts w:ascii="Times New Roman" w:hAnsiTheme="minorEastAsia" w:eastAsiaTheme="minorEastAsia"/>
          <w:b/>
          <w:bCs/>
          <w:color w:val="000000" w:themeColor="text1"/>
          <w:szCs w:val="24"/>
          <w14:textFill>
            <w14:solidFill>
              <w14:schemeClr w14:val="tx1"/>
            </w14:solidFill>
          </w14:textFill>
        </w:rPr>
        <w:t xml:space="preserve"> </w:t>
      </w:r>
      <w:r>
        <w:rPr>
          <w:rFonts w:hint="eastAsia" w:ascii="Times New Roman" w:hAnsiTheme="minorEastAsia" w:eastAsiaTheme="minorEastAsia"/>
          <w:b/>
          <w:bCs/>
          <w:color w:val="000000" w:themeColor="text1"/>
          <w:szCs w:val="24"/>
          <w14:textFill>
            <w14:solidFill>
              <w14:schemeClr w14:val="tx1"/>
            </w14:solidFill>
          </w14:textFill>
        </w:rPr>
        <w:t>季小时平均风速的日变化</w:t>
      </w:r>
      <w:r>
        <w:rPr>
          <w:rFonts w:ascii="Times New Roman" w:hAnsiTheme="minorEastAsia" w:eastAsiaTheme="minorEastAsia"/>
          <w:b/>
          <w:bCs/>
          <w:color w:val="000000" w:themeColor="text1"/>
          <w:szCs w:val="24"/>
          <w14:textFill>
            <w14:solidFill>
              <w14:schemeClr w14:val="tx1"/>
            </w14:solidFill>
          </w14:textFill>
        </w:rPr>
        <w:t>图</w:t>
      </w:r>
    </w:p>
    <w:p>
      <w:pPr>
        <w:pStyle w:val="89"/>
        <w:ind w:firstLine="180"/>
        <w:rPr>
          <w:color w:val="000000" w:themeColor="text1"/>
          <w14:textFill>
            <w14:solidFill>
              <w14:schemeClr w14:val="tx1"/>
            </w14:solidFill>
          </w14:textFill>
        </w:rPr>
      </w:pPr>
    </w:p>
    <w:p>
      <w:pPr>
        <w:pStyle w:val="90"/>
        <w:ind w:firstLine="210"/>
        <w:rPr>
          <w:color w:val="000000" w:themeColor="text1"/>
          <w14:textFill>
            <w14:solidFill>
              <w14:schemeClr w14:val="tx1"/>
            </w14:solidFill>
          </w14:textFill>
        </w:rPr>
      </w:pPr>
    </w:p>
    <w:p>
      <w:pPr>
        <w:ind w:firstLine="180"/>
        <w:rPr>
          <w:rFonts w:cs="Times New Roman" w:eastAsiaTheme="minorEastAsia"/>
          <w:color w:val="000000" w:themeColor="text1"/>
          <w:sz w:val="28"/>
          <w:szCs w:val="28"/>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5248275" cy="7343775"/>
            <wp:effectExtent l="0" t="0" r="9525"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60"/>
                    <a:stretch>
                      <a:fillRect/>
                    </a:stretch>
                  </pic:blipFill>
                  <pic:spPr>
                    <a:xfrm>
                      <a:off x="0" y="0"/>
                      <a:ext cx="5248275" cy="7343775"/>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续</w:t>
      </w:r>
      <w:r>
        <w:rPr>
          <w:rFonts w:ascii="Times New Roman" w:hAnsiTheme="minorEastAsia" w:eastAsiaTheme="minorEastAsia"/>
          <w:b/>
          <w:bCs/>
          <w:color w:val="000000" w:themeColor="text1"/>
          <w:szCs w:val="24"/>
          <w14:textFill>
            <w14:solidFill>
              <w14:schemeClr w14:val="tx1"/>
            </w14:solidFill>
          </w14:textFill>
        </w:rPr>
        <w:t>图5-2-</w:t>
      </w:r>
      <w:r>
        <w:rPr>
          <w:rFonts w:hint="eastAsia" w:ascii="Times New Roman" w:hAnsiTheme="minorEastAsia" w:eastAsiaTheme="minorEastAsia"/>
          <w:b/>
          <w:bCs/>
          <w:color w:val="000000" w:themeColor="text1"/>
          <w:szCs w:val="24"/>
          <w14:textFill>
            <w14:solidFill>
              <w14:schemeClr w14:val="tx1"/>
            </w14:solidFill>
          </w14:textFill>
        </w:rPr>
        <w:t xml:space="preserve">1 </w:t>
      </w:r>
      <w:r>
        <w:rPr>
          <w:rFonts w:ascii="Times New Roman" w:hAnsiTheme="minorEastAsia" w:eastAsiaTheme="minorEastAsia"/>
          <w:b/>
          <w:bCs/>
          <w:color w:val="000000" w:themeColor="text1"/>
          <w:szCs w:val="24"/>
          <w14:textFill>
            <w14:solidFill>
              <w14:schemeClr w14:val="tx1"/>
            </w14:solidFill>
          </w14:textFill>
        </w:rPr>
        <w:t xml:space="preserve"> </w:t>
      </w:r>
      <w:r>
        <w:rPr>
          <w:rFonts w:hint="eastAsia" w:ascii="Times New Roman" w:hAnsiTheme="minorEastAsia" w:eastAsiaTheme="minorEastAsia"/>
          <w:b/>
          <w:bCs/>
          <w:color w:val="000000" w:themeColor="text1"/>
          <w:szCs w:val="24"/>
          <w14:textFill>
            <w14:solidFill>
              <w14:schemeClr w14:val="tx1"/>
            </w14:solidFill>
          </w14:textFill>
        </w:rPr>
        <w:t>集贤一般站</w:t>
      </w:r>
      <w:r>
        <w:rPr>
          <w:rFonts w:ascii="Times New Roman" w:hAnsiTheme="minorEastAsia" w:eastAsiaTheme="minorEastAsia"/>
          <w:b/>
          <w:bCs/>
          <w:color w:val="000000" w:themeColor="text1"/>
          <w:szCs w:val="24"/>
          <w14:textFill>
            <w14:solidFill>
              <w14:schemeClr w14:val="tx1"/>
            </w14:solidFill>
          </w14:textFill>
        </w:rPr>
        <w:t>20</w:t>
      </w:r>
      <w:r>
        <w:rPr>
          <w:rFonts w:hint="eastAsia" w:ascii="Times New Roman" w:hAnsiTheme="minorEastAsia" w:eastAsiaTheme="minorEastAsia"/>
          <w:b/>
          <w:bCs/>
          <w:color w:val="000000" w:themeColor="text1"/>
          <w:szCs w:val="24"/>
          <w14:textFill>
            <w14:solidFill>
              <w14:schemeClr w14:val="tx1"/>
            </w14:solidFill>
          </w14:textFill>
        </w:rPr>
        <w:t>22</w:t>
      </w:r>
      <w:r>
        <w:rPr>
          <w:rFonts w:ascii="Times New Roman" w:hAnsiTheme="minorEastAsia" w:eastAsiaTheme="minorEastAsia"/>
          <w:b/>
          <w:bCs/>
          <w:color w:val="000000" w:themeColor="text1"/>
          <w:szCs w:val="24"/>
          <w14:textFill>
            <w14:solidFill>
              <w14:schemeClr w14:val="tx1"/>
            </w14:solidFill>
          </w14:textFill>
        </w:rPr>
        <w:t>年度风玫瑰图</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5.2.1.3预测内容和预测情景</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本项目预测情景为“新增70MW燃煤热水锅炉”正常排放情况下短期浓度及长期浓度的最大浓度贡献值占标率；</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“新增70MW -原有2台70MW燃煤热水锅炉”</w:t>
      </w:r>
      <w:r>
        <w:rPr>
          <w:rFonts w:ascii="Times New Roman" w:hAnsi="Times New Roman" w:cs="Times New Roman" w:eastAsiaTheme="minorEastAsia"/>
          <w:color w:val="000000" w:themeColor="text1"/>
          <w:sz w:val="24"/>
          <w:szCs w:val="24"/>
          <w:lang w:val="en-US"/>
          <w14:textFill>
            <w14:solidFill>
              <w14:schemeClr w14:val="tx1"/>
            </w14:solidFill>
          </w14:textFill>
        </w:rPr>
        <w:t>叠加现状浓度后的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短期浓度、长期浓度（</w:t>
      </w:r>
      <w:r>
        <w:rPr>
          <w:rFonts w:ascii="Times New Roman" w:hAnsi="Times New Roman" w:cs="Times New Roman" w:eastAsiaTheme="minorEastAsia"/>
          <w:color w:val="000000" w:themeColor="text1"/>
          <w:sz w:val="24"/>
          <w:szCs w:val="24"/>
          <w:lang w:val="en-US"/>
          <w14:textFill>
            <w14:solidFill>
              <w14:schemeClr w14:val="tx1"/>
            </w14:solidFill>
          </w14:textFill>
        </w:rPr>
        <w:t>保证率日平均质量浓度和年平均质量浓度</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达标情况”；</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“新增70MW燃煤热水锅炉”非正常排放情况下1h平均质量浓度的最大浓度贡献值占标率；</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“新增70MW -原有2台70MW燃煤热水锅炉”</w:t>
      </w:r>
      <w:r>
        <w:rPr>
          <w:rFonts w:ascii="Times New Roman" w:hAnsi="Times New Roman" w:cs="Times New Roman" w:eastAsiaTheme="minorEastAsia"/>
          <w:color w:val="000000" w:themeColor="text1"/>
          <w:sz w:val="24"/>
          <w:szCs w:val="24"/>
          <w:lang w:val="en-US"/>
          <w14:textFill>
            <w14:solidFill>
              <w14:schemeClr w14:val="tx1"/>
            </w14:solidFill>
          </w14:textFill>
        </w:rPr>
        <w:t>正常排放下，大气环境防护距离情况</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本项目大气预测情景组合见表5-2-3。</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表5-2-3 大气环境影响预测情景组合一览表</w:t>
      </w:r>
    </w:p>
    <w:tbl>
      <w:tblPr>
        <w:tblStyle w:val="7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9"/>
        <w:gridCol w:w="2356"/>
        <w:gridCol w:w="1843"/>
        <w:gridCol w:w="1417"/>
        <w:gridCol w:w="22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评价对象</w:t>
            </w:r>
          </w:p>
        </w:tc>
        <w:tc>
          <w:tcPr>
            <w:tcW w:w="235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w:t>
            </w:r>
          </w:p>
        </w:tc>
        <w:tc>
          <w:tcPr>
            <w:tcW w:w="18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污染源排放形式</w:t>
            </w:r>
          </w:p>
        </w:tc>
        <w:tc>
          <w:tcPr>
            <w:tcW w:w="141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预测内容</w:t>
            </w:r>
          </w:p>
        </w:tc>
        <w:tc>
          <w:tcPr>
            <w:tcW w:w="227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达标区评价项目</w:t>
            </w:r>
          </w:p>
        </w:tc>
        <w:tc>
          <w:tcPr>
            <w:tcW w:w="235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新增污染源</w:t>
            </w:r>
          </w:p>
        </w:tc>
        <w:tc>
          <w:tcPr>
            <w:tcW w:w="18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正常排放</w:t>
            </w:r>
          </w:p>
        </w:tc>
        <w:tc>
          <w:tcPr>
            <w:tcW w:w="141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短期浓度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长期浓度</w:t>
            </w:r>
          </w:p>
        </w:tc>
        <w:tc>
          <w:tcPr>
            <w:tcW w:w="227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最大浓度占标率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35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新增污染源</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“以新带老”污染源</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区域削减污染源（如有）</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其他在建、拟建污染源（如有）</w:t>
            </w:r>
          </w:p>
        </w:tc>
        <w:tc>
          <w:tcPr>
            <w:tcW w:w="18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正常排放</w:t>
            </w:r>
          </w:p>
        </w:tc>
        <w:tc>
          <w:tcPr>
            <w:tcW w:w="141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短期浓度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长期浓度</w:t>
            </w:r>
          </w:p>
        </w:tc>
        <w:tc>
          <w:tcPr>
            <w:tcW w:w="227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叠加现状浓度后的保证率日平均质量浓度和年平均质量浓度的</w:t>
            </w:r>
            <w:r>
              <w:rPr>
                <w:rFonts w:hint="eastAsia" w:ascii="Times New Roman" w:eastAsiaTheme="minorEastAsia"/>
                <w:color w:val="000000" w:themeColor="text1"/>
                <w:sz w:val="21"/>
                <w:szCs w:val="21"/>
                <w14:textFill>
                  <w14:solidFill>
                    <w14:schemeClr w14:val="tx1"/>
                  </w14:solidFill>
                </w14:textFill>
              </w:rPr>
              <w:t>达标情况</w:t>
            </w:r>
            <w:r>
              <w:rPr>
                <w:rFonts w:ascii="Times New Roman" w:eastAsiaTheme="minorEastAsia"/>
                <w:color w:val="000000" w:themeColor="text1"/>
                <w:sz w:val="21"/>
                <w:szCs w:val="21"/>
                <w14:textFill>
                  <w14:solidFill>
                    <w14:schemeClr w14:val="tx1"/>
                  </w14:solidFill>
                </w14:textFill>
              </w:rPr>
              <w:t>；评价年平均质量浓度的变化标率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35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新增污染源</w:t>
            </w:r>
          </w:p>
        </w:tc>
        <w:tc>
          <w:tcPr>
            <w:tcW w:w="18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非正常排放</w:t>
            </w:r>
          </w:p>
        </w:tc>
        <w:tc>
          <w:tcPr>
            <w:tcW w:w="141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1h平均质量浓度</w:t>
            </w:r>
          </w:p>
        </w:tc>
        <w:tc>
          <w:tcPr>
            <w:tcW w:w="227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最大浓度占标率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大气环境防护距离</w:t>
            </w:r>
          </w:p>
        </w:tc>
        <w:tc>
          <w:tcPr>
            <w:tcW w:w="235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新增污染源</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“以新带老”污染源（如有）</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项目全厂现有污染源</w:t>
            </w:r>
          </w:p>
        </w:tc>
        <w:tc>
          <w:tcPr>
            <w:tcW w:w="184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正常排放</w:t>
            </w:r>
          </w:p>
        </w:tc>
        <w:tc>
          <w:tcPr>
            <w:tcW w:w="141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短期浓度</w:t>
            </w:r>
          </w:p>
        </w:tc>
        <w:tc>
          <w:tcPr>
            <w:tcW w:w="227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大气环境防护距离</w:t>
            </w:r>
          </w:p>
        </w:tc>
      </w:tr>
    </w:tbl>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5.2.1.4 预测模式的选择</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本次评价采用《环境影响评价技术导则——大气环境》（HJ2.2-2018）推荐模式清单中的AERMOD模式进行预测。</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5.2.1.5 AERMOD选用的预测参数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预测地面气象资料输入集贤一般站（50880）202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年1月1日至202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年12月31日（全年）地面逐时气象资料，其中包括温度、风速、风向、云量。按AERMET参数格式生成地面逐时气象文件。</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高空数据是采用大气环境影响评价数值模式WRF模拟生成。模式计算过程中把全国共划分为189×159个网格，分辨率为27km×27km。模式采用的原始数据有地形高度、土地利用、陆地-水体标志、植被组成等数据，数据源主要为美国的USGS数据。模式采用美国国家环境预报中心（NCEP）的再分析数据作为模型输入场和边界场。</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本评价大气环境影响预测中观测气象数据来源及数据基本信息见</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续</w:t>
      </w:r>
      <w:r>
        <w:rPr>
          <w:rFonts w:ascii="Times New Roman" w:hAnsi="Times New Roman" w:cs="Times New Roman" w:eastAsiaTheme="minorEastAsia"/>
          <w:color w:val="000000" w:themeColor="text1"/>
          <w:sz w:val="24"/>
          <w:szCs w:val="24"/>
          <w:lang w:val="en-US"/>
          <w14:textFill>
            <w14:solidFill>
              <w14:schemeClr w14:val="tx1"/>
            </w14:solidFill>
          </w14:textFill>
        </w:rPr>
        <w:t>表5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，模拟高空气象数据信息见表5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续</w:t>
      </w:r>
      <w:r>
        <w:rPr>
          <w:rFonts w:ascii="Times New Roman" w:hAnsiTheme="minorEastAsia" w:eastAsiaTheme="minorEastAsia"/>
          <w:b/>
          <w:bCs/>
          <w:color w:val="000000" w:themeColor="text1"/>
          <w:szCs w:val="24"/>
          <w14:textFill>
            <w14:solidFill>
              <w14:schemeClr w14:val="tx1"/>
            </w14:solidFill>
          </w14:textFill>
        </w:rPr>
        <w:t>表5</w:t>
      </w:r>
      <w:r>
        <w:rPr>
          <w:rFonts w:hint="eastAsia" w:ascii="Times New Roman" w:hAnsiTheme="minorEastAsia" w:eastAsiaTheme="minorEastAsia"/>
          <w:b/>
          <w:bCs/>
          <w:color w:val="000000" w:themeColor="text1"/>
          <w:szCs w:val="24"/>
          <w14:textFill>
            <w14:solidFill>
              <w14:schemeClr w14:val="tx1"/>
            </w14:solidFill>
          </w14:textFill>
        </w:rPr>
        <w:t>-</w:t>
      </w:r>
      <w:r>
        <w:rPr>
          <w:rFonts w:ascii="Times New Roman" w:hAnsiTheme="minorEastAsia" w:eastAsiaTheme="minorEastAsia"/>
          <w:b/>
          <w:bCs/>
          <w:color w:val="000000" w:themeColor="text1"/>
          <w:szCs w:val="24"/>
          <w14:textFill>
            <w14:solidFill>
              <w14:schemeClr w14:val="tx1"/>
            </w14:solidFill>
          </w14:textFill>
        </w:rPr>
        <w:t>2-</w:t>
      </w:r>
      <w:r>
        <w:rPr>
          <w:rFonts w:hint="eastAsia" w:ascii="Times New Roman" w:hAnsiTheme="minorEastAsia" w:eastAsiaTheme="minorEastAsia"/>
          <w:b/>
          <w:bCs/>
          <w:color w:val="000000" w:themeColor="text1"/>
          <w:szCs w:val="24"/>
          <w14:textFill>
            <w14:solidFill>
              <w14:schemeClr w14:val="tx1"/>
            </w14:solidFill>
          </w14:textFill>
        </w:rPr>
        <w:t xml:space="preserve">3 </w:t>
      </w:r>
      <w:r>
        <w:rPr>
          <w:rFonts w:ascii="Times New Roman" w:hAnsiTheme="minorEastAsia" w:eastAsiaTheme="minorEastAsia"/>
          <w:b/>
          <w:bCs/>
          <w:color w:val="000000" w:themeColor="text1"/>
          <w:szCs w:val="24"/>
          <w14:textFill>
            <w14:solidFill>
              <w14:schemeClr w14:val="tx1"/>
            </w14:solidFill>
          </w14:textFill>
        </w:rPr>
        <w:t>观测气象数据信息</w:t>
      </w:r>
    </w:p>
    <w:tbl>
      <w:tblPr>
        <w:tblStyle w:val="70"/>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1"/>
        <w:gridCol w:w="923"/>
        <w:gridCol w:w="769"/>
        <w:gridCol w:w="1117"/>
        <w:gridCol w:w="996"/>
        <w:gridCol w:w="808"/>
        <w:gridCol w:w="740"/>
        <w:gridCol w:w="709"/>
        <w:gridCol w:w="14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气象站名称</w:t>
            </w:r>
          </w:p>
        </w:tc>
        <w:tc>
          <w:tcPr>
            <w:tcW w:w="92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气象站编号</w:t>
            </w:r>
          </w:p>
        </w:tc>
        <w:tc>
          <w:tcPr>
            <w:tcW w:w="76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气象站等级</w:t>
            </w:r>
          </w:p>
        </w:tc>
        <w:tc>
          <w:tcPr>
            <w:tcW w:w="2113"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经纬度°</w:t>
            </w:r>
          </w:p>
        </w:tc>
        <w:tc>
          <w:tcPr>
            <w:tcW w:w="80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相对</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距离</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w:t>
            </w:r>
          </w:p>
        </w:tc>
        <w:tc>
          <w:tcPr>
            <w:tcW w:w="740"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海拔</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高度/m</w:t>
            </w:r>
          </w:p>
        </w:tc>
        <w:tc>
          <w:tcPr>
            <w:tcW w:w="70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数据</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年份</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w:t>
            </w:r>
          </w:p>
        </w:tc>
        <w:tc>
          <w:tcPr>
            <w:tcW w:w="149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气象要素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6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11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经度</w:t>
            </w:r>
          </w:p>
        </w:tc>
        <w:tc>
          <w:tcPr>
            <w:tcW w:w="99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纬度</w:t>
            </w:r>
          </w:p>
        </w:tc>
        <w:tc>
          <w:tcPr>
            <w:tcW w:w="80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4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9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6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集贤气象站</w:t>
            </w:r>
          </w:p>
        </w:tc>
        <w:tc>
          <w:tcPr>
            <w:tcW w:w="92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50880</w:t>
            </w:r>
          </w:p>
        </w:tc>
        <w:tc>
          <w:tcPr>
            <w:tcW w:w="76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一般站</w:t>
            </w:r>
          </w:p>
        </w:tc>
        <w:tc>
          <w:tcPr>
            <w:tcW w:w="111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131.12</w:t>
            </w:r>
          </w:p>
        </w:tc>
        <w:tc>
          <w:tcPr>
            <w:tcW w:w="99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46.73</w:t>
            </w:r>
          </w:p>
        </w:tc>
        <w:tc>
          <w:tcPr>
            <w:tcW w:w="80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34.1</w:t>
            </w:r>
          </w:p>
        </w:tc>
        <w:tc>
          <w:tcPr>
            <w:tcW w:w="74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102.3</w:t>
            </w:r>
          </w:p>
        </w:tc>
        <w:tc>
          <w:tcPr>
            <w:tcW w:w="70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w:t>
            </w:r>
            <w:r>
              <w:rPr>
                <w:rFonts w:hint="eastAsia" w:ascii="Times New Roman" w:eastAsiaTheme="minorEastAsia"/>
                <w:color w:val="000000" w:themeColor="text1"/>
                <w:sz w:val="21"/>
                <w:szCs w:val="21"/>
                <w14:textFill>
                  <w14:solidFill>
                    <w14:schemeClr w14:val="tx1"/>
                  </w14:solidFill>
                </w14:textFill>
              </w:rPr>
              <w:t>2</w:t>
            </w:r>
          </w:p>
        </w:tc>
        <w:tc>
          <w:tcPr>
            <w:tcW w:w="149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温度、风速、</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风向、总云量、低云量</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w:t>
      </w:r>
      <w:r>
        <w:rPr>
          <w:rFonts w:hint="eastAsia" w:ascii="Times New Roman" w:hAnsiTheme="minorEastAsia" w:eastAsiaTheme="minorEastAsia"/>
          <w:b/>
          <w:bCs/>
          <w:color w:val="000000" w:themeColor="text1"/>
          <w:szCs w:val="24"/>
          <w14:textFill>
            <w14:solidFill>
              <w14:schemeClr w14:val="tx1"/>
            </w14:solidFill>
          </w14:textFill>
        </w:rPr>
        <w:t>-</w:t>
      </w:r>
      <w:r>
        <w:rPr>
          <w:rFonts w:ascii="Times New Roman" w:hAnsiTheme="minorEastAsia" w:eastAsiaTheme="minorEastAsia"/>
          <w:b/>
          <w:bCs/>
          <w:color w:val="000000" w:themeColor="text1"/>
          <w:szCs w:val="24"/>
          <w14:textFill>
            <w14:solidFill>
              <w14:schemeClr w14:val="tx1"/>
            </w14:solidFill>
          </w14:textFill>
        </w:rPr>
        <w:t>2-</w:t>
      </w:r>
      <w:r>
        <w:rPr>
          <w:rFonts w:hint="eastAsia" w:ascii="Times New Roman" w:hAnsiTheme="minorEastAsia" w:eastAsiaTheme="minorEastAsia"/>
          <w:b/>
          <w:bCs/>
          <w:color w:val="000000" w:themeColor="text1"/>
          <w:szCs w:val="24"/>
          <w14:textFill>
            <w14:solidFill>
              <w14:schemeClr w14:val="tx1"/>
            </w14:solidFill>
          </w14:textFill>
        </w:rPr>
        <w:t xml:space="preserve">4 </w:t>
      </w:r>
      <w:r>
        <w:rPr>
          <w:rFonts w:ascii="Times New Roman" w:hAnsiTheme="minorEastAsia" w:eastAsiaTheme="minorEastAsia"/>
          <w:b/>
          <w:bCs/>
          <w:color w:val="000000" w:themeColor="text1"/>
          <w:szCs w:val="24"/>
          <w14:textFill>
            <w14:solidFill>
              <w14:schemeClr w14:val="tx1"/>
            </w14:solidFill>
          </w14:textFill>
        </w:rPr>
        <w:t>模式高空气象数据表</w:t>
      </w:r>
    </w:p>
    <w:tbl>
      <w:tblPr>
        <w:tblStyle w:val="70"/>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4"/>
        <w:gridCol w:w="919"/>
        <w:gridCol w:w="1422"/>
        <w:gridCol w:w="2784"/>
        <w:gridCol w:w="23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923" w:type="dxa"/>
            <w:gridSpan w:val="2"/>
            <w:tcBorders>
              <w:top w:val="single" w:color="auto" w:sz="12" w:space="0"/>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经纬度°</w:t>
            </w:r>
          </w:p>
        </w:tc>
        <w:tc>
          <w:tcPr>
            <w:tcW w:w="1422" w:type="dxa"/>
            <w:vMerge w:val="restart"/>
            <w:tcBorders>
              <w:top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数据年份/年</w:t>
            </w:r>
          </w:p>
        </w:tc>
        <w:tc>
          <w:tcPr>
            <w:tcW w:w="2784" w:type="dxa"/>
            <w:vMerge w:val="restart"/>
            <w:tcBorders>
              <w:top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模拟气象要素</w:t>
            </w:r>
          </w:p>
        </w:tc>
        <w:tc>
          <w:tcPr>
            <w:tcW w:w="2393" w:type="dxa"/>
            <w:vMerge w:val="restart"/>
            <w:tcBorders>
              <w:top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模拟方式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4" w:type="dxa"/>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经度</w:t>
            </w:r>
          </w:p>
        </w:tc>
        <w:tc>
          <w:tcPr>
            <w:tcW w:w="91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纬度</w:t>
            </w:r>
          </w:p>
        </w:tc>
        <w:tc>
          <w:tcPr>
            <w:tcW w:w="142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78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393" w:type="dxa"/>
            <w:vMerge w:val="continue"/>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04" w:type="dxa"/>
            <w:tcBorders>
              <w:left w:val="nil"/>
              <w:bottom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131.11</w:t>
            </w:r>
          </w:p>
        </w:tc>
        <w:tc>
          <w:tcPr>
            <w:tcW w:w="919" w:type="dxa"/>
            <w:tcBorders>
              <w:bottom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46.74</w:t>
            </w:r>
          </w:p>
        </w:tc>
        <w:tc>
          <w:tcPr>
            <w:tcW w:w="1422" w:type="dxa"/>
            <w:tcBorders>
              <w:bottom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w:t>
            </w:r>
            <w:r>
              <w:rPr>
                <w:rFonts w:hint="eastAsia" w:ascii="Times New Roman" w:eastAsiaTheme="minorEastAsia"/>
                <w:color w:val="000000" w:themeColor="text1"/>
                <w:sz w:val="21"/>
                <w:szCs w:val="21"/>
                <w14:textFill>
                  <w14:solidFill>
                    <w14:schemeClr w14:val="tx1"/>
                  </w14:solidFill>
                </w14:textFill>
              </w:rPr>
              <w:t>2</w:t>
            </w:r>
          </w:p>
        </w:tc>
        <w:tc>
          <w:tcPr>
            <w:tcW w:w="2784" w:type="dxa"/>
            <w:tcBorders>
              <w:bottom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大气压、高度、干球温度、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露点温度、风向、风速</w:t>
            </w:r>
          </w:p>
        </w:tc>
        <w:tc>
          <w:tcPr>
            <w:tcW w:w="2393" w:type="dxa"/>
            <w:tcBorders>
              <w:bottom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中尺度数值模式MM5模拟生成</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本项目厂址距离集贤县一般站为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34.1</w:t>
      </w:r>
      <w:r>
        <w:rPr>
          <w:rFonts w:ascii="Times New Roman" w:hAnsi="Times New Roman" w:cs="Times New Roman" w:eastAsiaTheme="minorEastAsia"/>
          <w:color w:val="000000" w:themeColor="text1"/>
          <w:sz w:val="24"/>
          <w:szCs w:val="24"/>
          <w:lang w:val="en-US"/>
          <w14:textFill>
            <w14:solidFill>
              <w14:schemeClr w14:val="tx1"/>
            </w14:solidFill>
          </w14:textFill>
        </w:rPr>
        <w:t>km≤50km，高空探测占距项目距离为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35.03</w:t>
      </w:r>
      <w:r>
        <w:rPr>
          <w:rFonts w:ascii="Times New Roman" w:hAnsi="Times New Roman" w:cs="Times New Roman" w:eastAsiaTheme="minorEastAsia"/>
          <w:color w:val="000000" w:themeColor="text1"/>
          <w:sz w:val="24"/>
          <w:szCs w:val="24"/>
          <w:lang w:val="en-US"/>
          <w14:textFill>
            <w14:solidFill>
              <w14:schemeClr w14:val="tx1"/>
            </w14:solidFill>
          </w14:textFill>
        </w:rPr>
        <w:t>km≤50km，该气象站的气象数据可以作为本项目大气预测气象数据。</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本项目与</w:t>
      </w:r>
      <w:r>
        <w:rPr>
          <w:rFonts w:ascii="Times New Roman" w:hAnsi="Times New Roman" w:cs="Times New Roman" w:eastAsiaTheme="minorEastAsia"/>
          <w:color w:val="000000" w:themeColor="text1"/>
          <w:sz w:val="24"/>
          <w:szCs w:val="24"/>
          <w:lang w:val="en-US"/>
          <w14:textFill>
            <w14:solidFill>
              <w14:schemeClr w14:val="tx1"/>
            </w14:solidFill>
          </w14:textFill>
        </w:rPr>
        <w:t>集贤县一般站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位置关系图见图5-2-2。</w:t>
      </w:r>
    </w:p>
    <w:p>
      <w:pPr>
        <w:pStyle w:val="89"/>
        <w:ind w:firstLine="180"/>
        <w:rPr>
          <w:color w:val="000000" w:themeColor="text1"/>
          <w:lang w:val="en-US"/>
          <w14:textFill>
            <w14:solidFill>
              <w14:schemeClr w14:val="tx1"/>
            </w14:solidFill>
          </w14:textFill>
        </w:rPr>
      </w:pPr>
    </w:p>
    <w:p>
      <w:pPr>
        <w:pStyle w:val="89"/>
        <w:ind w:firstLine="180"/>
        <w:rPr>
          <w:rFonts w:ascii="Times New Roman" w:hAnsiTheme="minorEastAsia" w:eastAsiaTheme="minorEastAsia"/>
          <w:snapToGrid w:val="0"/>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02272" behindDoc="0" locked="0" layoutInCell="1" allowOverlap="1">
            <wp:simplePos x="0" y="0"/>
            <wp:positionH relativeFrom="column">
              <wp:posOffset>4275455</wp:posOffset>
            </wp:positionH>
            <wp:positionV relativeFrom="paragraph">
              <wp:posOffset>141605</wp:posOffset>
            </wp:positionV>
            <wp:extent cx="934720" cy="876300"/>
            <wp:effectExtent l="0" t="0" r="0" b="0"/>
            <wp:wrapNone/>
            <wp:docPr id="7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12"/>
                    <pic:cNvPicPr>
                      <a:picLocks noChangeAspect="1"/>
                    </pic:cNvPicPr>
                  </pic:nvPicPr>
                  <pic:blipFill>
                    <a:blip r:embed="rId26"/>
                    <a:stretch>
                      <a:fillRect/>
                    </a:stretch>
                  </pic:blipFill>
                  <pic:spPr>
                    <a:xfrm>
                      <a:off x="0" y="0"/>
                      <a:ext cx="934720" cy="876300"/>
                    </a:xfrm>
                    <a:prstGeom prst="rect">
                      <a:avLst/>
                    </a:prstGeom>
                    <a:noFill/>
                    <a:ln>
                      <a:noFill/>
                    </a:ln>
                  </pic:spPr>
                </pic:pic>
              </a:graphicData>
            </a:graphic>
          </wp:anchor>
        </w:drawing>
      </w:r>
      <w:r>
        <w:rPr>
          <w:color w:val="000000" w:themeColor="text1"/>
          <w:lang w:val="en-US" w:bidi="ar-SA"/>
          <w14:textFill>
            <w14:solidFill>
              <w14:schemeClr w14:val="tx1"/>
            </w14:solidFill>
          </w14:textFill>
        </w:rPr>
        <w:drawing>
          <wp:anchor distT="0" distB="0" distL="114300" distR="114300" simplePos="0" relativeHeight="251667456" behindDoc="0" locked="0" layoutInCell="1" allowOverlap="1">
            <wp:simplePos x="0" y="0"/>
            <wp:positionH relativeFrom="column">
              <wp:posOffset>4543425</wp:posOffset>
            </wp:positionH>
            <wp:positionV relativeFrom="paragraph">
              <wp:posOffset>142240</wp:posOffset>
            </wp:positionV>
            <wp:extent cx="673735" cy="657225"/>
            <wp:effectExtent l="0" t="0" r="0" b="9525"/>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673735" cy="657225"/>
                    </a:xfrm>
                    <a:prstGeom prst="rect">
                      <a:avLst/>
                    </a:prstGeom>
                  </pic:spPr>
                </pic:pic>
              </a:graphicData>
            </a:graphic>
          </wp:anchor>
        </w:drawing>
      </w:r>
      <w:r>
        <w:rPr>
          <w:color w:val="000000" w:themeColor="text1"/>
          <w:lang w:val="en-US" w:bidi="ar-SA"/>
          <w14:textFill>
            <w14:solidFill>
              <w14:schemeClr w14:val="tx1"/>
            </w14:solidFill>
          </w14:textFill>
        </w:rPr>
        <w:drawing>
          <wp:inline distT="0" distB="0" distL="0" distR="0">
            <wp:extent cx="5334000" cy="3155950"/>
            <wp:effectExtent l="0" t="0" r="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62"/>
                    <a:stretch>
                      <a:fillRect/>
                    </a:stretch>
                  </pic:blipFill>
                  <pic:spPr>
                    <a:xfrm>
                      <a:off x="0" y="0"/>
                      <a:ext cx="5334000" cy="3155950"/>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5-2-</w:t>
      </w:r>
      <w:r>
        <w:rPr>
          <w:rFonts w:hint="eastAsia" w:ascii="Times New Roman" w:hAnsiTheme="minorEastAsia" w:eastAsiaTheme="minorEastAsia"/>
          <w:b/>
          <w:bCs/>
          <w:color w:val="000000" w:themeColor="text1"/>
          <w:szCs w:val="24"/>
          <w14:textFill>
            <w14:solidFill>
              <w14:schemeClr w14:val="tx1"/>
            </w14:solidFill>
          </w14:textFill>
        </w:rPr>
        <w:t>2</w:t>
      </w:r>
      <w:r>
        <w:rPr>
          <w:rFonts w:ascii="Times New Roman" w:hAnsiTheme="minorEastAsia" w:eastAsiaTheme="minorEastAsia"/>
          <w:b/>
          <w:bCs/>
          <w:color w:val="000000" w:themeColor="text1"/>
          <w:szCs w:val="24"/>
          <w14:textFill>
            <w14:solidFill>
              <w14:schemeClr w14:val="tx1"/>
            </w14:solidFill>
          </w14:textFill>
        </w:rPr>
        <w:t xml:space="preserve">  </w:t>
      </w:r>
      <w:r>
        <w:rPr>
          <w:rFonts w:hint="eastAsia" w:ascii="Times New Roman" w:hAnsiTheme="minorEastAsia" w:eastAsiaTheme="minorEastAsia"/>
          <w:b/>
          <w:bCs/>
          <w:color w:val="000000" w:themeColor="text1"/>
          <w:szCs w:val="24"/>
          <w14:textFill>
            <w14:solidFill>
              <w14:schemeClr w14:val="tx1"/>
            </w14:solidFill>
          </w14:textFill>
        </w:rPr>
        <w:t>本项目与</w:t>
      </w:r>
      <w:r>
        <w:rPr>
          <w:rFonts w:ascii="Times New Roman" w:hAnsiTheme="minorEastAsia" w:eastAsiaTheme="minorEastAsia"/>
          <w:b/>
          <w:bCs/>
          <w:color w:val="000000" w:themeColor="text1"/>
          <w:szCs w:val="24"/>
          <w14:textFill>
            <w14:solidFill>
              <w14:schemeClr w14:val="tx1"/>
            </w14:solidFill>
          </w14:textFill>
        </w:rPr>
        <w:t>集贤县一般站</w:t>
      </w:r>
      <w:r>
        <w:rPr>
          <w:rFonts w:hint="eastAsia" w:ascii="Times New Roman" w:hAnsiTheme="minorEastAsia" w:eastAsiaTheme="minorEastAsia"/>
          <w:b/>
          <w:bCs/>
          <w:color w:val="000000" w:themeColor="text1"/>
          <w:szCs w:val="24"/>
          <w14:textFill>
            <w14:solidFill>
              <w14:schemeClr w14:val="tx1"/>
            </w14:solidFill>
          </w14:textFill>
        </w:rPr>
        <w:t>位置关系</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表5-2-5 AERMET中选用的地表参数</w:t>
      </w:r>
    </w:p>
    <w:tbl>
      <w:tblPr>
        <w:tblStyle w:val="70"/>
        <w:tblW w:w="85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4"/>
        <w:gridCol w:w="1265"/>
        <w:gridCol w:w="2049"/>
        <w:gridCol w:w="1416"/>
        <w:gridCol w:w="1265"/>
        <w:gridCol w:w="12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扇区</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时段</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正午反照率</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BOWEN</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粗糙度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0-90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冬季(12，1，2月)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0.6</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0-90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春季(3，4，5月)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0.18</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0.4</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0-90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夏季(6，7，8月)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0.18</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0.8</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0-90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秋季(9，10，11月)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90-180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冬季(12，1，2月)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0.6</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90-180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春季(3，4，5月)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0.18</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0.4</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90-180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夏季(6，7，8月)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0.18</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0.8</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90-180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秋季(9，10，11月)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180-270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冬季(12，1，2月)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0.6</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180-270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春季(3，4，5月)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0.18</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0.4</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180-270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夏季(6，7，8月)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0.18</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0.8</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180-270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秋季(9，10，11月)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270-360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冬季(12，1，2月)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0.6</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270-360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春季(3，4，5月)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0.18</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0.4</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270-360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夏季(6，7，8月)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0.18</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0.8</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1264"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16</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270-360</w:t>
            </w:r>
          </w:p>
        </w:tc>
        <w:tc>
          <w:tcPr>
            <w:tcW w:w="2049"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秋季(9，10，11月)</w:t>
            </w:r>
          </w:p>
        </w:tc>
        <w:tc>
          <w:tcPr>
            <w:tcW w:w="1416"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w:t>
            </w:r>
          </w:p>
        </w:tc>
        <w:tc>
          <w:tcPr>
            <w:tcW w:w="1265"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263" w:type="dxa"/>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0.01</w:t>
            </w:r>
          </w:p>
        </w:tc>
      </w:tr>
    </w:tbl>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5.2.1.6 污染源调查与计算清单</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叠加</w:t>
      </w:r>
      <w:r>
        <w:rPr>
          <w:rFonts w:ascii="Times New Roman" w:hAnsi="Times New Roman" w:cs="Times New Roman" w:eastAsiaTheme="minorEastAsia"/>
          <w:color w:val="000000" w:themeColor="text1"/>
          <w:sz w:val="24"/>
          <w:szCs w:val="24"/>
          <w:lang w:val="en-US"/>
          <w14:textFill>
            <w14:solidFill>
              <w14:schemeClr w14:val="tx1"/>
            </w14:solidFill>
          </w14:textFill>
        </w:rPr>
        <w:t>预测情景为：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“新建70MW锅炉污染物排放量”，削减原有2台70MW锅炉的排放量，叠加现状浓度。</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sectPr>
          <w:pgSz w:w="11906" w:h="16838"/>
          <w:pgMar w:top="1440" w:right="1800" w:bottom="1440" w:left="1706" w:header="851" w:footer="992" w:gutter="0"/>
          <w:pgBorders>
            <w:top w:val="none" w:sz="0" w:space="0"/>
            <w:left w:val="none" w:sz="0" w:space="0"/>
            <w:bottom w:val="none" w:sz="0" w:space="0"/>
            <w:right w:val="none" w:sz="0" w:space="0"/>
          </w:pgBorders>
          <w:cols w:space="720" w:num="1"/>
          <w:docGrid w:type="lines" w:linePitch="326" w:charSpace="0"/>
        </w:sectPr>
      </w:pP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1、正常排放污染源强</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表5-2-6正常排放点源参数表</w:t>
      </w:r>
    </w:p>
    <w:tbl>
      <w:tblPr>
        <w:tblStyle w:val="70"/>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3"/>
        <w:gridCol w:w="556"/>
        <w:gridCol w:w="791"/>
        <w:gridCol w:w="785"/>
        <w:gridCol w:w="1103"/>
        <w:gridCol w:w="799"/>
        <w:gridCol w:w="799"/>
        <w:gridCol w:w="1060"/>
        <w:gridCol w:w="799"/>
        <w:gridCol w:w="870"/>
        <w:gridCol w:w="811"/>
        <w:gridCol w:w="799"/>
        <w:gridCol w:w="799"/>
        <w:gridCol w:w="797"/>
        <w:gridCol w:w="799"/>
        <w:gridCol w:w="795"/>
        <w:gridCol w:w="7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编号</w:t>
            </w:r>
          </w:p>
        </w:tc>
        <w:tc>
          <w:tcPr>
            <w:tcW w:w="19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名称</w:t>
            </w:r>
          </w:p>
        </w:tc>
        <w:tc>
          <w:tcPr>
            <w:tcW w:w="556"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排气筒底部中心坐标（°）</w:t>
            </w:r>
          </w:p>
        </w:tc>
        <w:tc>
          <w:tcPr>
            <w:tcW w:w="389"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排气筒底部海拔高度/m</w:t>
            </w:r>
          </w:p>
        </w:tc>
        <w:tc>
          <w:tcPr>
            <w:tcW w:w="282"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排气筒高度/m</w:t>
            </w:r>
          </w:p>
        </w:tc>
        <w:tc>
          <w:tcPr>
            <w:tcW w:w="282"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排气筒出口内径/m</w:t>
            </w:r>
          </w:p>
        </w:tc>
        <w:tc>
          <w:tcPr>
            <w:tcW w:w="37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烟气流速/（m3/h）</w:t>
            </w:r>
          </w:p>
        </w:tc>
        <w:tc>
          <w:tcPr>
            <w:tcW w:w="282"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烟气温度/</w:t>
            </w:r>
            <w:r>
              <w:rPr>
                <w:rFonts w:hint="eastAsia" w:ascii="Times New Roman" w:eastAsiaTheme="minorEastAsia"/>
                <w:color w:val="000000" w:themeColor="text1"/>
                <w:sz w:val="21"/>
                <w:szCs w:val="21"/>
                <w14:textFill>
                  <w14:solidFill>
                    <w14:schemeClr w14:val="tx1"/>
                  </w14:solidFill>
                </w14:textFill>
              </w:rPr>
              <w:t>℃</w:t>
            </w:r>
          </w:p>
        </w:tc>
        <w:tc>
          <w:tcPr>
            <w:tcW w:w="30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年排放小时数/h</w:t>
            </w:r>
          </w:p>
        </w:tc>
        <w:tc>
          <w:tcPr>
            <w:tcW w:w="28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w:t>
            </w:r>
          </w:p>
        </w:tc>
        <w:tc>
          <w:tcPr>
            <w:tcW w:w="1685" w:type="pct"/>
            <w:gridSpan w:val="6"/>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经度</w:t>
            </w:r>
          </w:p>
        </w:tc>
        <w:tc>
          <w:tcPr>
            <w:tcW w:w="27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纬度</w:t>
            </w:r>
          </w:p>
        </w:tc>
        <w:tc>
          <w:tcPr>
            <w:tcW w:w="389"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8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8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7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8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0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8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2</w:t>
            </w:r>
          </w:p>
        </w:tc>
        <w:tc>
          <w:tcPr>
            <w:tcW w:w="2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w:t>
            </w:r>
            <w:r>
              <w:rPr>
                <w:rFonts w:ascii="Times New Roman" w:eastAsiaTheme="minorEastAsia"/>
                <w:color w:val="000000" w:themeColor="text1"/>
                <w:sz w:val="21"/>
                <w:szCs w:val="21"/>
                <w:vertAlign w:val="subscript"/>
                <w14:textFill>
                  <w14:solidFill>
                    <w14:schemeClr w14:val="tx1"/>
                  </w14:solidFill>
                </w14:textFill>
              </w:rPr>
              <w:t>10</w:t>
            </w: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w:t>
            </w:r>
            <w:r>
              <w:rPr>
                <w:rFonts w:hint="eastAsia" w:ascii="Times New Roman" w:eastAsiaTheme="minorEastAsia"/>
                <w:color w:val="000000" w:themeColor="text1"/>
                <w:sz w:val="21"/>
                <w:szCs w:val="21"/>
                <w:vertAlign w:val="subscript"/>
                <w14:textFill>
                  <w14:solidFill>
                    <w14:schemeClr w14:val="tx1"/>
                  </w14:solidFill>
                </w14:textFill>
              </w:rPr>
              <w:t>2.5</w:t>
            </w:r>
          </w:p>
        </w:tc>
        <w:tc>
          <w:tcPr>
            <w:tcW w:w="28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汞及其化合物</w:t>
            </w:r>
          </w:p>
        </w:tc>
        <w:tc>
          <w:tcPr>
            <w:tcW w:w="2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NH</w:t>
            </w:r>
            <w:r>
              <w:rPr>
                <w:rFonts w:ascii="Times New Roman" w:eastAsiaTheme="minorEastAsia"/>
                <w:color w:val="000000" w:themeColor="text1"/>
                <w:sz w:val="21"/>
                <w:szCs w:val="21"/>
                <w:vertAlign w:val="subscript"/>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6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（叠加新增）</w:t>
            </w:r>
          </w:p>
        </w:tc>
        <w:tc>
          <w:tcPr>
            <w:tcW w:w="19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烟囱</w:t>
            </w:r>
          </w:p>
        </w:tc>
        <w:tc>
          <w:tcPr>
            <w:tcW w:w="2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131.</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572</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20125</w:t>
            </w:r>
          </w:p>
        </w:tc>
        <w:tc>
          <w:tcPr>
            <w:tcW w:w="27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46.7</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019</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8142</w:t>
            </w:r>
          </w:p>
        </w:tc>
        <w:tc>
          <w:tcPr>
            <w:tcW w:w="38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147</w:t>
            </w: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100</w:t>
            </w: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w:t>
            </w:r>
          </w:p>
        </w:tc>
        <w:tc>
          <w:tcPr>
            <w:tcW w:w="3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80934</w:t>
            </w: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c>
          <w:tcPr>
            <w:tcW w:w="30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2928</w:t>
            </w:r>
          </w:p>
        </w:tc>
        <w:tc>
          <w:tcPr>
            <w:tcW w:w="28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70MW锅炉</w:t>
            </w: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1.756</w:t>
            </w: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3.237</w:t>
            </w:r>
          </w:p>
        </w:tc>
        <w:tc>
          <w:tcPr>
            <w:tcW w:w="2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0.294</w:t>
            </w: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0.191</w:t>
            </w:r>
          </w:p>
        </w:tc>
        <w:tc>
          <w:tcPr>
            <w:tcW w:w="28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0.0012</w:t>
            </w:r>
          </w:p>
        </w:tc>
        <w:tc>
          <w:tcPr>
            <w:tcW w:w="2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36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1#（削减原有2台70MW）</w:t>
            </w:r>
          </w:p>
        </w:tc>
        <w:tc>
          <w:tcPr>
            <w:tcW w:w="19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烟囱</w:t>
            </w:r>
          </w:p>
        </w:tc>
        <w:tc>
          <w:tcPr>
            <w:tcW w:w="27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131.</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572</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20125</w:t>
            </w:r>
          </w:p>
        </w:tc>
        <w:tc>
          <w:tcPr>
            <w:tcW w:w="27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46.7</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019</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8142</w:t>
            </w:r>
          </w:p>
        </w:tc>
        <w:tc>
          <w:tcPr>
            <w:tcW w:w="38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147</w:t>
            </w: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100</w:t>
            </w: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w:t>
            </w:r>
          </w:p>
        </w:tc>
        <w:tc>
          <w:tcPr>
            <w:tcW w:w="3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106331.3</w:t>
            </w: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c>
          <w:tcPr>
            <w:tcW w:w="30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2928</w:t>
            </w:r>
          </w:p>
        </w:tc>
        <w:tc>
          <w:tcPr>
            <w:tcW w:w="28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原有2台70MW锅炉</w:t>
            </w: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40.144</w:t>
            </w: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48.562</w:t>
            </w:r>
          </w:p>
        </w:tc>
        <w:tc>
          <w:tcPr>
            <w:tcW w:w="28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7.902</w:t>
            </w:r>
          </w:p>
        </w:tc>
        <w:tc>
          <w:tcPr>
            <w:tcW w:w="2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5.137</w:t>
            </w:r>
          </w:p>
        </w:tc>
        <w:tc>
          <w:tcPr>
            <w:tcW w:w="28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0.003</w:t>
            </w:r>
          </w:p>
        </w:tc>
        <w:tc>
          <w:tcPr>
            <w:tcW w:w="27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表5-2-7</w:t>
      </w:r>
      <w:r>
        <w:rPr>
          <w:rFonts w:ascii="Times New Roman" w:hAnsiTheme="minorEastAsia" w:eastAsiaTheme="minorEastAsia"/>
          <w:b/>
          <w:bCs/>
          <w:color w:val="000000" w:themeColor="text1"/>
          <w:szCs w:val="24"/>
          <w14:textFill>
            <w14:solidFill>
              <w14:schemeClr w14:val="tx1"/>
            </w14:solidFill>
          </w14:textFill>
        </w:rPr>
        <w:t xml:space="preserve">  正常排放</w:t>
      </w:r>
      <w:r>
        <w:rPr>
          <w:rFonts w:hint="eastAsia" w:ascii="Times New Roman" w:hAnsiTheme="minorEastAsia" w:eastAsiaTheme="minorEastAsia"/>
          <w:b/>
          <w:bCs/>
          <w:color w:val="000000" w:themeColor="text1"/>
          <w:szCs w:val="24"/>
          <w14:textFill>
            <w14:solidFill>
              <w14:schemeClr w14:val="tx1"/>
            </w14:solidFill>
          </w14:textFill>
        </w:rPr>
        <w:t>面</w:t>
      </w:r>
      <w:r>
        <w:rPr>
          <w:rFonts w:ascii="Times New Roman" w:hAnsiTheme="minorEastAsia" w:eastAsiaTheme="minorEastAsia"/>
          <w:b/>
          <w:bCs/>
          <w:color w:val="000000" w:themeColor="text1"/>
          <w:szCs w:val="24"/>
          <w14:textFill>
            <w14:solidFill>
              <w14:schemeClr w14:val="tx1"/>
            </w14:solidFill>
          </w14:textFill>
        </w:rPr>
        <w:t>源参数表</w:t>
      </w:r>
    </w:p>
    <w:tbl>
      <w:tblPr>
        <w:tblStyle w:val="70"/>
        <w:tblW w:w="4999"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4"/>
        <w:gridCol w:w="1528"/>
        <w:gridCol w:w="1593"/>
        <w:gridCol w:w="1482"/>
        <w:gridCol w:w="961"/>
        <w:gridCol w:w="1258"/>
        <w:gridCol w:w="1261"/>
        <w:gridCol w:w="1258"/>
        <w:gridCol w:w="896"/>
        <w:gridCol w:w="24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27" w:type="pct"/>
            <w:vMerge w:val="restart"/>
            <w:tcBorders>
              <w:top w:val="single" w:color="auto" w:sz="12"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污染源名称</w:t>
            </w:r>
          </w:p>
        </w:tc>
        <w:tc>
          <w:tcPr>
            <w:tcW w:w="1101" w:type="pct"/>
            <w:gridSpan w:val="2"/>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坐标（</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w:t>
            </w:r>
          </w:p>
        </w:tc>
        <w:tc>
          <w:tcPr>
            <w:tcW w:w="523" w:type="pct"/>
            <w:vMerge w:val="restar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海拔高度/m</w:t>
            </w:r>
          </w:p>
        </w:tc>
        <w:tc>
          <w:tcPr>
            <w:tcW w:w="1228" w:type="pct"/>
            <w:gridSpan w:val="3"/>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矩形面源/m</w:t>
            </w:r>
          </w:p>
        </w:tc>
        <w:tc>
          <w:tcPr>
            <w:tcW w:w="444" w:type="pct"/>
            <w:vMerge w:val="restart"/>
            <w:tcBorders>
              <w:top w:val="single" w:color="auto" w:sz="12" w:space="0"/>
              <w:left w:val="single" w:color="auto" w:sz="4" w:space="0"/>
              <w:bottom w:val="single" w:color="auto" w:sz="4"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年排放小时数/h</w:t>
            </w:r>
          </w:p>
        </w:tc>
        <w:tc>
          <w:tcPr>
            <w:tcW w:w="316" w:type="pct"/>
            <w:vMerge w:val="restart"/>
            <w:tcBorders>
              <w:top w:val="single" w:color="auto" w:sz="12" w:space="0"/>
              <w:left w:val="single" w:color="auto" w:sz="2" w:space="0"/>
              <w:bottom w:val="single" w:color="auto" w:sz="4"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排放工况</w:t>
            </w:r>
          </w:p>
        </w:tc>
        <w:tc>
          <w:tcPr>
            <w:tcW w:w="861" w:type="pct"/>
            <w:tcBorders>
              <w:top w:val="single" w:color="auto" w:sz="12" w:space="0"/>
              <w:left w:val="single" w:color="auto" w:sz="2"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527" w:type="pct"/>
            <w:vMerge w:val="continue"/>
            <w:tcBorders>
              <w:top w:val="single" w:color="auto" w:sz="12"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经度</w:t>
            </w:r>
          </w:p>
        </w:tc>
        <w:tc>
          <w:tcPr>
            <w:tcW w:w="562"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纬度</w:t>
            </w:r>
          </w:p>
        </w:tc>
        <w:tc>
          <w:tcPr>
            <w:tcW w:w="523" w:type="pct"/>
            <w:vMerge w:val="continue"/>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长度</w:t>
            </w:r>
          </w:p>
        </w:tc>
        <w:tc>
          <w:tcPr>
            <w:tcW w:w="444"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宽度</w:t>
            </w:r>
          </w:p>
        </w:tc>
        <w:tc>
          <w:tcPr>
            <w:tcW w:w="44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有效高度</w:t>
            </w:r>
          </w:p>
        </w:tc>
        <w:tc>
          <w:tcPr>
            <w:tcW w:w="444" w:type="pct"/>
            <w:vMerge w:val="continue"/>
            <w:tcBorders>
              <w:top w:val="single" w:color="auto" w:sz="12" w:space="0"/>
              <w:left w:val="single" w:color="auto" w:sz="4" w:space="0"/>
              <w:bottom w:val="single" w:color="auto" w:sz="4"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16" w:type="pct"/>
            <w:vMerge w:val="continue"/>
            <w:tcBorders>
              <w:top w:val="single" w:color="auto" w:sz="12" w:space="0"/>
              <w:left w:val="single" w:color="auto" w:sz="2" w:space="0"/>
              <w:bottom w:val="single" w:color="auto" w:sz="4"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1" w:type="pct"/>
            <w:tcBorders>
              <w:top w:val="single" w:color="auto" w:sz="4" w:space="0"/>
              <w:left w:val="single" w:color="auto" w:sz="2"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TSP</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527"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储煤场</w:t>
            </w:r>
            <w:r>
              <w:rPr>
                <w:rFonts w:ascii="Times New Roman" w:eastAsiaTheme="minorEastAsia"/>
                <w:color w:val="000000" w:themeColor="text1"/>
                <w:sz w:val="21"/>
                <w:szCs w:val="21"/>
                <w14:textFill>
                  <w14:solidFill>
                    <w14:schemeClr w14:val="tx1"/>
                  </w14:solidFill>
                </w14:textFill>
              </w:rPr>
              <w:t>无组织逸散</w:t>
            </w:r>
          </w:p>
        </w:tc>
        <w:tc>
          <w:tcPr>
            <w:tcW w:w="5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131.57286108</w:t>
            </w:r>
            <w:r>
              <w:rPr>
                <w:rFonts w:hint="eastAsia" w:ascii="Times New Roman" w:eastAsiaTheme="minorEastAsia"/>
                <w:color w:val="000000" w:themeColor="text1"/>
                <w:sz w:val="21"/>
                <w:szCs w:val="21"/>
                <w14:textFill>
                  <w14:solidFill>
                    <w14:schemeClr w14:val="tx1"/>
                  </w14:solidFill>
                </w14:textFill>
              </w:rPr>
              <w:t xml:space="preserve"> </w:t>
            </w:r>
          </w:p>
        </w:tc>
        <w:tc>
          <w:tcPr>
            <w:tcW w:w="562"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46.70153995</w:t>
            </w:r>
          </w:p>
        </w:tc>
        <w:tc>
          <w:tcPr>
            <w:tcW w:w="523"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147</w:t>
            </w:r>
          </w:p>
        </w:tc>
        <w:tc>
          <w:tcPr>
            <w:tcW w:w="339"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277</w:t>
            </w:r>
          </w:p>
        </w:tc>
        <w:tc>
          <w:tcPr>
            <w:tcW w:w="444"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270</w:t>
            </w:r>
          </w:p>
        </w:tc>
        <w:tc>
          <w:tcPr>
            <w:tcW w:w="44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w:t>
            </w:r>
            <w:r>
              <w:rPr>
                <w:rFonts w:ascii="Times New Roman" w:eastAsiaTheme="minorEastAsia"/>
                <w:color w:val="000000" w:themeColor="text1"/>
                <w:sz w:val="21"/>
                <w:szCs w:val="21"/>
                <w14:textFill>
                  <w14:solidFill>
                    <w14:schemeClr w14:val="tx1"/>
                  </w14:solidFill>
                </w14:textFill>
              </w:rPr>
              <w:t>.0</w:t>
            </w:r>
          </w:p>
        </w:tc>
        <w:tc>
          <w:tcPr>
            <w:tcW w:w="444" w:type="pct"/>
            <w:tcBorders>
              <w:top w:val="single" w:color="auto" w:sz="4" w:space="0"/>
              <w:left w:val="single" w:color="auto" w:sz="4" w:space="0"/>
              <w:bottom w:val="single" w:color="auto" w:sz="4"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4392</w:t>
            </w:r>
          </w:p>
        </w:tc>
        <w:tc>
          <w:tcPr>
            <w:tcW w:w="316" w:type="pct"/>
            <w:tcBorders>
              <w:top w:val="single" w:color="auto" w:sz="4" w:space="0"/>
              <w:left w:val="single" w:color="auto" w:sz="2" w:space="0"/>
              <w:bottom w:val="single" w:color="auto" w:sz="4"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正常</w:t>
            </w:r>
          </w:p>
        </w:tc>
        <w:tc>
          <w:tcPr>
            <w:tcW w:w="861" w:type="pct"/>
            <w:tcBorders>
              <w:top w:val="single" w:color="auto" w:sz="4" w:space="0"/>
              <w:left w:val="single" w:color="auto" w:sz="2"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w:t>
            </w:r>
            <w:r>
              <w:rPr>
                <w:rFonts w:hint="eastAsia" w:ascii="Times New Roman" w:eastAsiaTheme="minorEastAsia"/>
                <w:color w:val="000000" w:themeColor="text1"/>
                <w:sz w:val="21"/>
                <w:szCs w:val="21"/>
                <w14:textFill>
                  <w14:solidFill>
                    <w14:schemeClr w14:val="tx1"/>
                  </w14:solidFill>
                </w14:textFill>
              </w:rPr>
              <w:t>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527" w:type="pct"/>
            <w:tcBorders>
              <w:top w:val="single" w:color="auto" w:sz="4" w:space="0"/>
              <w:left w:val="nil"/>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碎煤机室</w:t>
            </w:r>
            <w:r>
              <w:rPr>
                <w:rFonts w:ascii="Times New Roman" w:eastAsiaTheme="minorEastAsia"/>
                <w:color w:val="000000" w:themeColor="text1"/>
                <w:sz w:val="21"/>
                <w:szCs w:val="21"/>
                <w14:textFill>
                  <w14:solidFill>
                    <w14:schemeClr w14:val="tx1"/>
                  </w14:solidFill>
                </w14:textFill>
              </w:rPr>
              <w:t>无组织逸散</w:t>
            </w:r>
          </w:p>
        </w:tc>
        <w:tc>
          <w:tcPr>
            <w:tcW w:w="539"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131.57286</w:t>
            </w:r>
            <w:r>
              <w:rPr>
                <w:rFonts w:hint="eastAsia" w:ascii="Times New Roman" w:eastAsiaTheme="minorEastAsia"/>
                <w:color w:val="000000" w:themeColor="text1"/>
                <w:sz w:val="21"/>
                <w:szCs w:val="21"/>
                <w14:textFill>
                  <w14:solidFill>
                    <w14:schemeClr w14:val="tx1"/>
                  </w14:solidFill>
                </w14:textFill>
              </w:rPr>
              <w:t xml:space="preserve">095 </w:t>
            </w:r>
          </w:p>
        </w:tc>
        <w:tc>
          <w:tcPr>
            <w:tcW w:w="562"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46.70153</w:t>
            </w:r>
            <w:r>
              <w:rPr>
                <w:rFonts w:hint="eastAsia" w:ascii="Times New Roman" w:eastAsiaTheme="minorEastAsia"/>
                <w:color w:val="000000" w:themeColor="text1"/>
                <w:sz w:val="21"/>
                <w:szCs w:val="21"/>
                <w14:textFill>
                  <w14:solidFill>
                    <w14:schemeClr w14:val="tx1"/>
                  </w14:solidFill>
                </w14:textFill>
              </w:rPr>
              <w:t>982</w:t>
            </w:r>
          </w:p>
        </w:tc>
        <w:tc>
          <w:tcPr>
            <w:tcW w:w="523"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147</w:t>
            </w:r>
          </w:p>
        </w:tc>
        <w:tc>
          <w:tcPr>
            <w:tcW w:w="339"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w:t>
            </w:r>
          </w:p>
        </w:tc>
        <w:tc>
          <w:tcPr>
            <w:tcW w:w="444"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w:t>
            </w:r>
          </w:p>
        </w:tc>
        <w:tc>
          <w:tcPr>
            <w:tcW w:w="445"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20.0</w:t>
            </w:r>
          </w:p>
        </w:tc>
        <w:tc>
          <w:tcPr>
            <w:tcW w:w="444" w:type="pct"/>
            <w:tcBorders>
              <w:top w:val="single" w:color="auto" w:sz="4" w:space="0"/>
              <w:left w:val="single" w:color="auto" w:sz="4" w:space="0"/>
              <w:bottom w:val="single" w:color="auto" w:sz="12"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2928</w:t>
            </w:r>
          </w:p>
        </w:tc>
        <w:tc>
          <w:tcPr>
            <w:tcW w:w="316" w:type="pct"/>
            <w:tcBorders>
              <w:top w:val="single" w:color="auto" w:sz="4" w:space="0"/>
              <w:left w:val="single" w:color="auto" w:sz="2" w:space="0"/>
              <w:bottom w:val="single" w:color="auto" w:sz="12" w:space="0"/>
              <w:right w:val="single" w:color="auto" w:sz="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正常</w:t>
            </w:r>
          </w:p>
        </w:tc>
        <w:tc>
          <w:tcPr>
            <w:tcW w:w="861" w:type="pct"/>
            <w:tcBorders>
              <w:top w:val="single" w:color="auto" w:sz="4" w:space="0"/>
              <w:left w:val="single" w:color="auto" w:sz="2" w:space="0"/>
              <w:bottom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0.022</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2、非正常排放污染源强</w:t>
      </w:r>
    </w:p>
    <w:p>
      <w:pPr>
        <w:pStyle w:val="1382"/>
        <w:ind w:firstLine="180"/>
        <w:rPr>
          <w:color w:val="000000" w:themeColor="text1"/>
          <w14:textFill>
            <w14:solidFill>
              <w14:schemeClr w14:val="tx1"/>
            </w14:solidFill>
          </w14:textFill>
        </w:rPr>
      </w:pPr>
    </w:p>
    <w:p>
      <w:pPr>
        <w:pStyle w:val="1382"/>
        <w:ind w:firstLine="180"/>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8</w:t>
      </w:r>
      <w:r>
        <w:rPr>
          <w:rFonts w:ascii="Times New Roman" w:hAnsiTheme="minorEastAsia" w:eastAsiaTheme="minorEastAsia"/>
          <w:b/>
          <w:bCs/>
          <w:color w:val="000000" w:themeColor="text1"/>
          <w:szCs w:val="24"/>
          <w14:textFill>
            <w14:solidFill>
              <w14:schemeClr w14:val="tx1"/>
            </w14:solidFill>
          </w14:textFill>
        </w:rPr>
        <w:t xml:space="preserve"> 非正常排放参数表</w:t>
      </w:r>
    </w:p>
    <w:tbl>
      <w:tblPr>
        <w:tblStyle w:val="7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12"/>
        <w:gridCol w:w="3677"/>
        <w:gridCol w:w="1481"/>
        <w:gridCol w:w="2911"/>
        <w:gridCol w:w="1753"/>
        <w:gridCol w:w="174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1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非正常排放源</w:t>
            </w:r>
          </w:p>
        </w:tc>
        <w:tc>
          <w:tcPr>
            <w:tcW w:w="367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非正常排放原因</w:t>
            </w:r>
          </w:p>
        </w:tc>
        <w:tc>
          <w:tcPr>
            <w:tcW w:w="148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w:t>
            </w:r>
          </w:p>
        </w:tc>
        <w:tc>
          <w:tcPr>
            <w:tcW w:w="291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非正常排放速率/(kg/h)</w:t>
            </w:r>
          </w:p>
        </w:tc>
        <w:tc>
          <w:tcPr>
            <w:tcW w:w="175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单次持续时间/h</w:t>
            </w:r>
          </w:p>
        </w:tc>
        <w:tc>
          <w:tcPr>
            <w:tcW w:w="174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年发生频次/次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12"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烟囱</w:t>
            </w:r>
          </w:p>
        </w:tc>
        <w:tc>
          <w:tcPr>
            <w:tcW w:w="367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脱硫剂供应不足或脱硫塔故障</w:t>
            </w:r>
          </w:p>
        </w:tc>
        <w:tc>
          <w:tcPr>
            <w:tcW w:w="148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p>
        </w:tc>
        <w:tc>
          <w:tcPr>
            <w:tcW w:w="291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17.564</w:t>
            </w:r>
          </w:p>
        </w:tc>
        <w:tc>
          <w:tcPr>
            <w:tcW w:w="175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740"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1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7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脱硝系统故障</w:t>
            </w:r>
          </w:p>
        </w:tc>
        <w:tc>
          <w:tcPr>
            <w:tcW w:w="148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2</w:t>
            </w:r>
          </w:p>
        </w:tc>
        <w:tc>
          <w:tcPr>
            <w:tcW w:w="291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11.331</w:t>
            </w:r>
          </w:p>
        </w:tc>
        <w:tc>
          <w:tcPr>
            <w:tcW w:w="175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74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12"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7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除尘器发生破袋故障</w:t>
            </w:r>
          </w:p>
        </w:tc>
        <w:tc>
          <w:tcPr>
            <w:tcW w:w="148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PM</w:t>
            </w:r>
            <w:r>
              <w:rPr>
                <w:rFonts w:ascii="Times New Roman" w:eastAsiaTheme="minorEastAsia"/>
                <w:color w:val="000000" w:themeColor="text1"/>
                <w:sz w:val="21"/>
                <w:szCs w:val="21"/>
                <w:vertAlign w:val="subscript"/>
                <w14:textFill>
                  <w14:solidFill>
                    <w14:schemeClr w14:val="tx1"/>
                  </w14:solidFill>
                </w14:textFill>
              </w:rPr>
              <w:t>10</w:t>
            </w:r>
          </w:p>
        </w:tc>
        <w:tc>
          <w:tcPr>
            <w:tcW w:w="291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117.724</w:t>
            </w:r>
          </w:p>
        </w:tc>
        <w:tc>
          <w:tcPr>
            <w:tcW w:w="175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74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bl>
    <w:p>
      <w:pPr>
        <w:pStyle w:val="1382"/>
        <w:ind w:firstLine="180"/>
        <w:rPr>
          <w:color w:val="000000" w:themeColor="text1"/>
          <w14:textFill>
            <w14:solidFill>
              <w14:schemeClr w14:val="tx1"/>
            </w14:solidFill>
          </w14:textFill>
        </w:rPr>
        <w:sectPr>
          <w:pgSz w:w="16838" w:h="11906" w:orient="landscape"/>
          <w:pgMar w:top="1800" w:right="1440" w:bottom="1706" w:left="1440" w:header="851" w:footer="992" w:gutter="0"/>
          <w:pgBorders>
            <w:top w:val="none" w:sz="0" w:space="0"/>
            <w:left w:val="none" w:sz="0" w:space="0"/>
            <w:bottom w:val="none" w:sz="0" w:space="0"/>
            <w:right w:val="none" w:sz="0" w:space="0"/>
          </w:pgBorders>
          <w:cols w:space="720" w:num="1"/>
          <w:docGrid w:type="lines" w:linePitch="312" w:charSpace="0"/>
        </w:sectPr>
      </w:pP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5.2.1.7正常工况大气影响预测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各关心点及区域各因子新增污染源最大浓度贡献值</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（1）各关心点及区域内SO</w:t>
      </w:r>
      <w:r>
        <w:rPr>
          <w:rFonts w:ascii="Times New Roman" w:hAnsi="Times New Roman" w:cs="Times New Roman" w:eastAsiaTheme="minorEastAsia"/>
          <w:color w:val="000000" w:themeColor="text1"/>
          <w:kern w:val="0"/>
          <w:sz w:val="21"/>
          <w:szCs w:val="21"/>
          <w:vertAlign w:val="subscript"/>
          <w:lang w:val="en-US" w:bidi="ar-SA"/>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新增污染源最大浓度贡献值</w:t>
      </w:r>
      <w:r>
        <w:rPr>
          <w:rFonts w:ascii="Times New Roman" w:hAnsi="Times New Roman" w:cs="Times New Roman" w:eastAsiaTheme="minorEastAsia"/>
          <w:color w:val="000000" w:themeColor="text1"/>
          <w:sz w:val="24"/>
          <w:szCs w:val="24"/>
          <w:lang w:val="en-US"/>
          <w14:textFill>
            <w14:solidFill>
              <w14:schemeClr w14:val="tx1"/>
            </w14:solidFill>
          </w14:textFill>
        </w:rPr>
        <w:t>达标评价结果见表5-2-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 xml:space="preserve">9  </w:t>
      </w:r>
      <w:r>
        <w:rPr>
          <w:rFonts w:ascii="Times New Roman" w:hAnsiTheme="minorEastAsia" w:eastAsiaTheme="minorEastAsia"/>
          <w:b/>
          <w:bCs/>
          <w:color w:val="000000" w:themeColor="text1"/>
          <w:szCs w:val="24"/>
          <w14:textFill>
            <w14:solidFill>
              <w14:schemeClr w14:val="tx1"/>
            </w14:solidFill>
          </w14:textFill>
        </w:rPr>
        <w:t>SO</w:t>
      </w:r>
      <w:r>
        <w:rPr>
          <w:rFonts w:ascii="Times New Roman" w:eastAsiaTheme="minorEastAsia"/>
          <w:color w:val="000000" w:themeColor="text1"/>
          <w:kern w:val="0"/>
          <w:sz w:val="21"/>
          <w:szCs w:val="21"/>
          <w:vertAlign w:val="subscript"/>
          <w14:textFill>
            <w14:solidFill>
              <w14:schemeClr w14:val="tx1"/>
            </w14:solidFill>
          </w14:textFill>
        </w:rPr>
        <w:t>2</w:t>
      </w:r>
      <w:r>
        <w:rPr>
          <w:rFonts w:hint="eastAsia" w:ascii="Times New Roman" w:hAnsiTheme="minorEastAsia" w:eastAsiaTheme="minorEastAsia"/>
          <w:b/>
          <w:bCs/>
          <w:color w:val="000000" w:themeColor="text1"/>
          <w:szCs w:val="24"/>
          <w14:textFill>
            <w14:solidFill>
              <w14:schemeClr w14:val="tx1"/>
            </w14:solidFill>
          </w14:textFill>
        </w:rPr>
        <w:t>最大浓度贡献值</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1492"/>
        <w:gridCol w:w="1441"/>
        <w:gridCol w:w="1594"/>
        <w:gridCol w:w="1349"/>
        <w:gridCol w:w="1030"/>
        <w:gridCol w:w="10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86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预测点</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平均时段</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最大贡献值</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出现时间</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3.50E-03</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22122010</w:t>
            </w:r>
          </w:p>
        </w:tc>
        <w:tc>
          <w:tcPr>
            <w:tcW w:w="598" w:type="pct"/>
            <w:noWrap/>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0.70</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7.97E-04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221201</w:t>
            </w:r>
          </w:p>
        </w:tc>
        <w:tc>
          <w:tcPr>
            <w:tcW w:w="598" w:type="pct"/>
            <w:noWrap/>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0.53</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7.21E-05</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平均值</w:t>
            </w:r>
          </w:p>
        </w:tc>
        <w:tc>
          <w:tcPr>
            <w:tcW w:w="598" w:type="pct"/>
            <w:noWrap/>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0.12</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2.81E-03</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22020109</w:t>
            </w:r>
          </w:p>
        </w:tc>
        <w:tc>
          <w:tcPr>
            <w:tcW w:w="598" w:type="pct"/>
            <w:noWrap/>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0.56</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5.83E-04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220225</w:t>
            </w:r>
          </w:p>
        </w:tc>
        <w:tc>
          <w:tcPr>
            <w:tcW w:w="598" w:type="pct"/>
            <w:noWrap/>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0.39</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7.83E-05</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平均值</w:t>
            </w:r>
          </w:p>
        </w:tc>
        <w:tc>
          <w:tcPr>
            <w:tcW w:w="598" w:type="pct"/>
            <w:noWrap/>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0.13</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5.76E-03</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22121915</w:t>
            </w:r>
          </w:p>
        </w:tc>
        <w:tc>
          <w:tcPr>
            <w:tcW w:w="598" w:type="pct"/>
            <w:noWrap/>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1.15</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5.30E-04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221216</w:t>
            </w:r>
          </w:p>
        </w:tc>
        <w:tc>
          <w:tcPr>
            <w:tcW w:w="598" w:type="pct"/>
            <w:noWrap/>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0.35</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6.26E-05</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平均值</w:t>
            </w:r>
          </w:p>
        </w:tc>
        <w:tc>
          <w:tcPr>
            <w:tcW w:w="598" w:type="pct"/>
            <w:noWrap/>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0.10</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网格</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6.94E-03</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22121915</w:t>
            </w:r>
          </w:p>
        </w:tc>
        <w:tc>
          <w:tcPr>
            <w:tcW w:w="598" w:type="pct"/>
            <w:noWrap/>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1.39</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7.81E-04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221216</w:t>
            </w:r>
          </w:p>
        </w:tc>
        <w:tc>
          <w:tcPr>
            <w:tcW w:w="598" w:type="pct"/>
            <w:noWrap/>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0.52</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9.27E-05</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平均值</w:t>
            </w:r>
          </w:p>
        </w:tc>
        <w:tc>
          <w:tcPr>
            <w:tcW w:w="598" w:type="pct"/>
            <w:noWrap/>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0.15</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）各关心点及区域内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NO</w:t>
      </w:r>
      <w:r>
        <w:rPr>
          <w:rFonts w:ascii="Times New Roman" w:hAnsi="Times New Roman" w:cs="Times New Roman" w:eastAsiaTheme="minorEastAsia"/>
          <w:color w:val="000000" w:themeColor="text1"/>
          <w:kern w:val="0"/>
          <w:sz w:val="21"/>
          <w:szCs w:val="21"/>
          <w:vertAlign w:val="subscript"/>
          <w:lang w:val="en-US" w:bidi="ar-SA"/>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新增污染源最大浓度贡献值</w:t>
      </w:r>
      <w:r>
        <w:rPr>
          <w:rFonts w:ascii="Times New Roman" w:hAnsi="Times New Roman" w:cs="Times New Roman" w:eastAsiaTheme="minorEastAsia"/>
          <w:color w:val="000000" w:themeColor="text1"/>
          <w:sz w:val="24"/>
          <w:szCs w:val="24"/>
          <w:lang w:val="en-US"/>
          <w14:textFill>
            <w14:solidFill>
              <w14:schemeClr w14:val="tx1"/>
            </w14:solidFill>
          </w14:textFill>
        </w:rPr>
        <w:t>达标评价结果见表5-2-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10  N</w:t>
      </w:r>
      <w:r>
        <w:rPr>
          <w:rFonts w:ascii="Times New Roman" w:hAnsiTheme="minorEastAsia" w:eastAsiaTheme="minorEastAsia"/>
          <w:b/>
          <w:bCs/>
          <w:color w:val="000000" w:themeColor="text1"/>
          <w:szCs w:val="24"/>
          <w14:textFill>
            <w14:solidFill>
              <w14:schemeClr w14:val="tx1"/>
            </w14:solidFill>
          </w14:textFill>
        </w:rPr>
        <w:t>O</w:t>
      </w:r>
      <w:r>
        <w:rPr>
          <w:rFonts w:ascii="Times New Roman" w:eastAsiaTheme="minorEastAsia"/>
          <w:color w:val="000000" w:themeColor="text1"/>
          <w:kern w:val="0"/>
          <w:sz w:val="21"/>
          <w:szCs w:val="21"/>
          <w:vertAlign w:val="subscript"/>
          <w14:textFill>
            <w14:solidFill>
              <w14:schemeClr w14:val="tx1"/>
            </w14:solidFill>
          </w14:textFill>
        </w:rPr>
        <w:t>2</w:t>
      </w:r>
      <w:r>
        <w:rPr>
          <w:rFonts w:hint="eastAsia" w:ascii="Times New Roman" w:hAnsiTheme="minorEastAsia" w:eastAsiaTheme="minorEastAsia"/>
          <w:b/>
          <w:bCs/>
          <w:color w:val="000000" w:themeColor="text1"/>
          <w:szCs w:val="24"/>
          <w14:textFill>
            <w14:solidFill>
              <w14:schemeClr w14:val="tx1"/>
            </w14:solidFill>
          </w14:textFill>
        </w:rPr>
        <w:t>最大浓度贡献值</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1492"/>
        <w:gridCol w:w="1439"/>
        <w:gridCol w:w="1594"/>
        <w:gridCol w:w="1349"/>
        <w:gridCol w:w="1030"/>
        <w:gridCol w:w="10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86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预测点</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平均时段</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最大贡献值</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出现时间</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1.21E-02</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22122010</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6.04</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2.75E-03</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221201</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3.44</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2.49E-04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0.62</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9.70E-03</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22020109</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4.85</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2.01E-03</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220225</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2.52</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2.71E-04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0.68</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1.99E-02</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22121915</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9.95</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1.83E-03</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221216</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2.29</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2.16E-04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0.54</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网格</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w:t>
            </w:r>
            <w:r>
              <w:rPr>
                <w:rFonts w:hint="eastAsia" w:ascii="Times New Roman" w:eastAsiaTheme="minorEastAsia"/>
                <w:color w:val="000000" w:themeColor="text1"/>
                <w:sz w:val="21"/>
                <w:szCs w:val="21"/>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E-02</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22121915</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12.17</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2.70E-03</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221216</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3.37</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3.20E-04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0.80</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）各关心点及区域内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PM</w:t>
      </w:r>
      <w:r>
        <w:rPr>
          <w:rFonts w:hint="eastAsia" w:ascii="Times New Roman" w:hAnsi="Times New Roman" w:cs="Times New Roman" w:eastAsiaTheme="minorEastAsia"/>
          <w:color w:val="000000" w:themeColor="text1"/>
          <w:kern w:val="0"/>
          <w:sz w:val="21"/>
          <w:szCs w:val="21"/>
          <w:vertAlign w:val="subscript"/>
          <w:lang w:val="en-US" w:bidi="ar-SA"/>
          <w14:textFill>
            <w14:solidFill>
              <w14:schemeClr w14:val="tx1"/>
            </w14:solidFill>
          </w14:textFill>
        </w:rPr>
        <w:t>10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新增污染源最大浓度贡献值</w:t>
      </w:r>
      <w:r>
        <w:rPr>
          <w:rFonts w:ascii="Times New Roman" w:hAnsi="Times New Roman" w:cs="Times New Roman" w:eastAsiaTheme="minorEastAsia"/>
          <w:color w:val="000000" w:themeColor="text1"/>
          <w:sz w:val="24"/>
          <w:szCs w:val="24"/>
          <w:lang w:val="en-US"/>
          <w14:textFill>
            <w14:solidFill>
              <w14:schemeClr w14:val="tx1"/>
            </w14:solidFill>
          </w14:textFill>
        </w:rPr>
        <w:t>达标评价结果见表5-2-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11</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11  PM</w:t>
      </w:r>
      <w:r>
        <w:rPr>
          <w:rFonts w:hint="eastAsia" w:ascii="Times New Roman" w:eastAsiaTheme="minorEastAsia"/>
          <w:color w:val="000000" w:themeColor="text1"/>
          <w:kern w:val="0"/>
          <w:sz w:val="21"/>
          <w:szCs w:val="21"/>
          <w:vertAlign w:val="subscript"/>
          <w14:textFill>
            <w14:solidFill>
              <w14:schemeClr w14:val="tx1"/>
            </w14:solidFill>
          </w14:textFill>
        </w:rPr>
        <w:t>10</w:t>
      </w:r>
      <w:r>
        <w:rPr>
          <w:rFonts w:hint="eastAsia" w:ascii="Times New Roman" w:hAnsiTheme="minorEastAsia" w:eastAsiaTheme="minorEastAsia"/>
          <w:b/>
          <w:bCs/>
          <w:color w:val="000000" w:themeColor="text1"/>
          <w:szCs w:val="24"/>
          <w14:textFill>
            <w14:solidFill>
              <w14:schemeClr w14:val="tx1"/>
            </w14:solidFill>
          </w14:textFill>
        </w:rPr>
        <w:t>最大浓度贡献值</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1492"/>
        <w:gridCol w:w="1441"/>
        <w:gridCol w:w="1594"/>
        <w:gridCol w:w="1349"/>
        <w:gridCol w:w="1030"/>
        <w:gridCol w:w="10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86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预测点</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平均时段</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最大贡献值</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出现时间</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6.68E-04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221201</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0.45</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6.04E-05</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0.09</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4.88E-04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220225</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0.33</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6.56E-05</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0.09</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4.44E-04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221216</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0.30</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5.25E-05</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0.07</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网格</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6.54E-04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221216</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0.45</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7.77E-05</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0.11</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）各关心点及区域内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新增污染源最大浓度贡献值</w:t>
      </w:r>
      <w:r>
        <w:rPr>
          <w:rFonts w:ascii="Times New Roman" w:hAnsi="Times New Roman" w:cs="Times New Roman" w:eastAsiaTheme="minorEastAsia"/>
          <w:color w:val="000000" w:themeColor="text1"/>
          <w:sz w:val="24"/>
          <w:szCs w:val="24"/>
          <w:lang w:val="en-US"/>
          <w14:textFill>
            <w14:solidFill>
              <w14:schemeClr w14:val="tx1"/>
            </w14:solidFill>
          </w14:textFill>
        </w:rPr>
        <w:t>达标评价结果见表5-2-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12</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12  PM</w:t>
      </w:r>
      <w:r>
        <w:rPr>
          <w:rFonts w:hint="eastAsia" w:ascii="Times New Roman" w:eastAsiaTheme="minorEastAsia"/>
          <w:color w:val="000000" w:themeColor="text1"/>
          <w:szCs w:val="24"/>
          <w:vertAlign w:val="subscript"/>
          <w:lang w:bidi="zh-CN"/>
          <w14:textFill>
            <w14:solidFill>
              <w14:schemeClr w14:val="tx1"/>
            </w14:solidFill>
          </w14:textFill>
        </w:rPr>
        <w:t>2.5</w:t>
      </w:r>
      <w:r>
        <w:rPr>
          <w:rFonts w:hint="eastAsia" w:ascii="Times New Roman" w:hAnsiTheme="minorEastAsia" w:eastAsiaTheme="minorEastAsia"/>
          <w:b/>
          <w:bCs/>
          <w:color w:val="000000" w:themeColor="text1"/>
          <w:szCs w:val="24"/>
          <w14:textFill>
            <w14:solidFill>
              <w14:schemeClr w14:val="tx1"/>
            </w14:solidFill>
          </w14:textFill>
        </w:rPr>
        <w:t>最大浓度贡献值</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1492"/>
        <w:gridCol w:w="1441"/>
        <w:gridCol w:w="1594"/>
        <w:gridCol w:w="1349"/>
        <w:gridCol w:w="1030"/>
        <w:gridCol w:w="10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374"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86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预测点</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平均时段</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最大贡献值</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出现时间</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3.34E-04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221201</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0.45</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3.02E-05</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0.09</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2.44E-04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220225</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0.33</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3.28E-05</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0.09</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2.22E-04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221216</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0.30</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2.62E-05</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0.07</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网格</w:t>
            </w: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3.27E-04</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221216</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0.45</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3.89E-05</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0.11</w:t>
            </w:r>
          </w:p>
        </w:tc>
        <w:tc>
          <w:tcPr>
            <w:tcW w:w="61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w:t>
      </w:r>
      <w:r>
        <w:rPr>
          <w:rFonts w:ascii="Times New Roman" w:hAnsi="Times New Roman" w:cs="Times New Roman" w:eastAsiaTheme="minorEastAsia"/>
          <w:color w:val="000000" w:themeColor="text1"/>
          <w:sz w:val="24"/>
          <w:szCs w:val="24"/>
          <w:lang w:val="en-US"/>
          <w14:textFill>
            <w14:solidFill>
              <w14:schemeClr w14:val="tx1"/>
            </w14:solidFill>
          </w14:textFill>
        </w:rPr>
        <w:t>）各关心点及区域内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TSP新增污染源最大浓度贡献值</w:t>
      </w:r>
      <w:r>
        <w:rPr>
          <w:rFonts w:ascii="Times New Roman" w:hAnsi="Times New Roman" w:cs="Times New Roman" w:eastAsiaTheme="minorEastAsia"/>
          <w:color w:val="000000" w:themeColor="text1"/>
          <w:sz w:val="24"/>
          <w:szCs w:val="24"/>
          <w:lang w:val="en-US"/>
          <w14:textFill>
            <w14:solidFill>
              <w14:schemeClr w14:val="tx1"/>
            </w14:solidFill>
          </w14:textFill>
        </w:rPr>
        <w:t>达标评价结果见表5-2-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13</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13  TSP最大浓度贡献值</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1492"/>
        <w:gridCol w:w="1439"/>
        <w:gridCol w:w="1594"/>
        <w:gridCol w:w="1349"/>
        <w:gridCol w:w="1030"/>
        <w:gridCol w:w="10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86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预测点</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平均时段</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最大贡献值</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出现时间</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3.03E-06</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221201</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2.40E-07</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3.08E-06</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220225</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2.30E-07</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2.68E-06</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221216</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2.90E-07</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网格</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1.29E-05</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221216</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2.83E-06</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bl>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6</w:t>
      </w:r>
      <w:r>
        <w:rPr>
          <w:rFonts w:ascii="Times New Roman" w:hAnsi="Times New Roman" w:cs="Times New Roman" w:eastAsiaTheme="minorEastAsia"/>
          <w:color w:val="000000" w:themeColor="text1"/>
          <w:sz w:val="24"/>
          <w:szCs w:val="24"/>
          <w:lang w:val="en-US"/>
          <w14:textFill>
            <w14:solidFill>
              <w14:schemeClr w14:val="tx1"/>
            </w14:solidFill>
          </w14:textFill>
        </w:rPr>
        <w:t>）各关心点及区域内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Hg新增污染源最大浓度贡献值</w:t>
      </w:r>
      <w:r>
        <w:rPr>
          <w:rFonts w:ascii="Times New Roman" w:hAnsi="Times New Roman" w:cs="Times New Roman" w:eastAsiaTheme="minorEastAsia"/>
          <w:color w:val="000000" w:themeColor="text1"/>
          <w:sz w:val="24"/>
          <w:szCs w:val="24"/>
          <w:lang w:val="en-US"/>
          <w14:textFill>
            <w14:solidFill>
              <w14:schemeClr w14:val="tx1"/>
            </w14:solidFill>
          </w14:textFill>
        </w:rPr>
        <w:t>达标评价结果见表5-2-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13</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13  Hg最大浓度贡献值</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44"/>
        <w:gridCol w:w="1492"/>
        <w:gridCol w:w="1439"/>
        <w:gridCol w:w="1594"/>
        <w:gridCol w:w="1349"/>
        <w:gridCol w:w="1030"/>
        <w:gridCol w:w="10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86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预测点</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平均时段</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最大贡献值</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出现时间</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0.00028</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221201</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0.00001</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0.02</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0.00013</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220225</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0.00001</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0.02</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0.00017</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221216</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0.00002</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0.02</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866" w:type="pct"/>
            <w:vMerge w:val="restar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网格</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0.00042</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221216</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374"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66" w:type="pct"/>
            <w:vMerge w:val="continue"/>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0.00003</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平均值</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0.06</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w:t>
      </w:r>
      <w:r>
        <w:rPr>
          <w:rFonts w:ascii="Times New Roman" w:hAnsi="Times New Roman" w:cs="Times New Roman" w:eastAsiaTheme="minorEastAsia"/>
          <w:color w:val="000000" w:themeColor="text1"/>
          <w:sz w:val="24"/>
          <w:szCs w:val="24"/>
          <w:lang w:val="en-US"/>
          <w14:textFill>
            <w14:solidFill>
              <w14:schemeClr w14:val="tx1"/>
            </w14:solidFill>
          </w14:textFill>
        </w:rPr>
        <w:t>）各关心点及区域内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新增污染源最大浓度贡献值</w:t>
      </w:r>
      <w:r>
        <w:rPr>
          <w:rFonts w:ascii="Times New Roman" w:hAnsi="Times New Roman" w:cs="Times New Roman" w:eastAsiaTheme="minorEastAsia"/>
          <w:color w:val="000000" w:themeColor="text1"/>
          <w:sz w:val="24"/>
          <w:szCs w:val="24"/>
          <w:lang w:val="en-US"/>
          <w14:textFill>
            <w14:solidFill>
              <w14:schemeClr w14:val="tx1"/>
            </w14:solidFill>
          </w14:textFill>
        </w:rPr>
        <w:t>达标评价结果见表5-2-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13</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13  NH</w:t>
      </w:r>
      <w:r>
        <w:rPr>
          <w:rFonts w:hint="eastAsia" w:ascii="Times New Roman" w:eastAsiaTheme="minorEastAsia"/>
          <w:color w:val="000000" w:themeColor="text1"/>
          <w:szCs w:val="24"/>
          <w:vertAlign w:val="subscript"/>
          <w:lang w:bidi="zh-CN"/>
          <w14:textFill>
            <w14:solidFill>
              <w14:schemeClr w14:val="tx1"/>
            </w14:solidFill>
          </w14:textFill>
        </w:rPr>
        <w:t>3</w:t>
      </w:r>
      <w:r>
        <w:rPr>
          <w:rFonts w:hint="eastAsia" w:ascii="Times New Roman" w:hAnsiTheme="minorEastAsia" w:eastAsiaTheme="minorEastAsia"/>
          <w:b/>
          <w:bCs/>
          <w:color w:val="000000" w:themeColor="text1"/>
          <w:szCs w:val="24"/>
          <w14:textFill>
            <w14:solidFill>
              <w14:schemeClr w14:val="tx1"/>
            </w14:solidFill>
          </w14:textFill>
        </w:rPr>
        <w:t>最大浓度贡献值</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1"/>
        <w:gridCol w:w="1875"/>
        <w:gridCol w:w="1294"/>
        <w:gridCol w:w="1500"/>
        <w:gridCol w:w="1256"/>
        <w:gridCol w:w="1013"/>
        <w:gridCol w:w="10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86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预测点</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平均时段</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最大贡献值</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出现时间</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占标率%</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86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爱林村居民区</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0.34212</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22122010</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0.17</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86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和平村居民区</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0.17408</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22020109</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0.09</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86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红兴隆局直居民区</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0.50797</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22121915</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0.25</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74"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866"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网格</w:t>
            </w:r>
          </w:p>
        </w:tc>
        <w:tc>
          <w:tcPr>
            <w:tcW w:w="83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h平均浓度</w:t>
            </w:r>
          </w:p>
        </w:tc>
        <w:tc>
          <w:tcPr>
            <w:tcW w:w="925"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0.75859</w:t>
            </w:r>
          </w:p>
        </w:tc>
        <w:tc>
          <w:tcPr>
            <w:tcW w:w="783"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22121915</w:t>
            </w:r>
          </w:p>
        </w:tc>
        <w:tc>
          <w:tcPr>
            <w:tcW w:w="598"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0.38</w:t>
            </w:r>
          </w:p>
        </w:tc>
        <w:tc>
          <w:tcPr>
            <w:tcW w:w="619" w:type="pct"/>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根据预测结果，有组织排放“新增70MW燃煤热水锅炉”正常排放情况下</w:t>
      </w:r>
      <w:r>
        <w:rPr>
          <w:rFonts w:ascii="Times New Roman" w:hAnsi="Times New Roman" w:cs="Times New Roman" w:eastAsiaTheme="minorEastAsia"/>
          <w:color w:val="000000" w:themeColor="text1"/>
          <w:sz w:val="24"/>
          <w:szCs w:val="24"/>
          <w:lang w:val="en-US"/>
          <w14:textFill>
            <w14:solidFill>
              <w14:schemeClr w14:val="tx1"/>
            </w14:solidFill>
          </w14:textFill>
        </w:rPr>
        <w:t>各关心点及区域内SO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10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、Hg、NH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新增污染源短期浓度及长期浓度的最大浓度贡献值占标率均达标。无组织排放TSP新增污染源短期浓度及长期浓度的最大浓度贡献值占标率均达标。</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各关心点及区域各因子叠加环境质量现状浓度的达标情况</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（1）各关心点及区域内SO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叠加环境质量现状浓度的</w:t>
      </w:r>
      <w:r>
        <w:rPr>
          <w:rFonts w:ascii="Times New Roman" w:hAnsi="Times New Roman" w:cs="Times New Roman" w:eastAsiaTheme="minorEastAsia"/>
          <w:color w:val="000000" w:themeColor="text1"/>
          <w:sz w:val="24"/>
          <w:szCs w:val="24"/>
          <w:lang w:val="en-US"/>
          <w14:textFill>
            <w14:solidFill>
              <w14:schemeClr w14:val="tx1"/>
            </w14:solidFill>
          </w14:textFill>
        </w:rPr>
        <w:t>达标评价结果见表5-2-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14</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14  SO</w:t>
      </w:r>
      <w:r>
        <w:rPr>
          <w:rFonts w:hint="eastAsia" w:ascii="Times New Roman" w:eastAsiaTheme="minorEastAsia"/>
          <w:color w:val="000000" w:themeColor="text1"/>
          <w:szCs w:val="24"/>
          <w:vertAlign w:val="subscript"/>
          <w:lang w:bidi="zh-CN"/>
          <w14:textFill>
            <w14:solidFill>
              <w14:schemeClr w14:val="tx1"/>
            </w14:solidFill>
          </w14:textFill>
        </w:rPr>
        <w:t>2</w:t>
      </w:r>
      <w:r>
        <w:rPr>
          <w:rFonts w:hint="eastAsia" w:ascii="Times New Roman" w:hAnsiTheme="minorEastAsia" w:eastAsiaTheme="minorEastAsia"/>
          <w:b/>
          <w:bCs/>
          <w:color w:val="000000" w:themeColor="text1"/>
          <w:szCs w:val="24"/>
          <w14:textFill>
            <w14:solidFill>
              <w14:schemeClr w14:val="tx1"/>
            </w14:solidFill>
          </w14:textFill>
        </w:rPr>
        <w:t>叠加环境质量现状浓度后</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83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8"/>
        <w:gridCol w:w="993"/>
        <w:gridCol w:w="992"/>
        <w:gridCol w:w="1303"/>
        <w:gridCol w:w="1107"/>
        <w:gridCol w:w="1275"/>
        <w:gridCol w:w="1225"/>
        <w:gridCol w:w="8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序号</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预测点</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时段</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浓度增量</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现状浓度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叠加后浓度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叠加浓度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占标率(%)</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是否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0.00E+00</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18.67</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-4.13E-04</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1.28E-02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1.24E-02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20.59</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0.00E+00</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18.67</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-4.48E-04</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1.28E-02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1.23E-02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20.53</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0.00E+00</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18.67</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-3.59E-04</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1.28E-02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1.24E-02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20.68</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网格点最大值</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0.00E+00</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18.67</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-4.29E-05</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1.28E-02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1.27E-02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21.21</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bl>
    <w:p>
      <w:pPr>
        <w:pStyle w:val="26"/>
        <w:ind w:firstLine="180"/>
        <w:rPr>
          <w:rFonts w:ascii="Times New Roman" w:cs="Times New Roman" w:hAnsiTheme="minorEastAsia" w:eastAsiaTheme="minorEastAsia"/>
          <w:snapToGrid w:val="0"/>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68480" behindDoc="0" locked="0" layoutInCell="1" allowOverlap="1">
            <wp:simplePos x="0" y="0"/>
            <wp:positionH relativeFrom="column">
              <wp:posOffset>85725</wp:posOffset>
            </wp:positionH>
            <wp:positionV relativeFrom="paragraph">
              <wp:posOffset>120650</wp:posOffset>
            </wp:positionV>
            <wp:extent cx="5334000" cy="2673985"/>
            <wp:effectExtent l="0" t="0" r="0" b="0"/>
            <wp:wrapNone/>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334000" cy="2673791"/>
                    </a:xfrm>
                    <a:prstGeom prst="rect">
                      <a:avLst/>
                    </a:prstGeom>
                  </pic:spPr>
                </pic:pic>
              </a:graphicData>
            </a:graphic>
          </wp:anchor>
        </w:drawing>
      </w:r>
    </w:p>
    <w:p>
      <w:pPr>
        <w:pStyle w:val="26"/>
        <w:ind w:firstLine="180"/>
        <w:rPr>
          <w:snapToGrid w:val="0"/>
          <w:color w:val="000000" w:themeColor="text1"/>
          <w14:textFill>
            <w14:solidFill>
              <w14:schemeClr w14:val="tx1"/>
            </w14:solidFill>
          </w14:textFill>
        </w:rPr>
      </w:pPr>
    </w:p>
    <w:p>
      <w:pPr>
        <w:pStyle w:val="89"/>
        <w:ind w:firstLine="180"/>
        <w:rPr>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89"/>
        <w:ind w:firstLine="180"/>
        <w:rPr>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26"/>
        <w:ind w:firstLine="180"/>
        <w:rPr>
          <w:snapToGrid w:val="0"/>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5-2-</w:t>
      </w:r>
      <w:r>
        <w:rPr>
          <w:rFonts w:hint="eastAsia" w:ascii="Times New Roman" w:hAnsiTheme="minorEastAsia" w:eastAsiaTheme="minorEastAsia"/>
          <w:b/>
          <w:bCs/>
          <w:color w:val="000000" w:themeColor="text1"/>
          <w:szCs w:val="24"/>
          <w14:textFill>
            <w14:solidFill>
              <w14:schemeClr w14:val="tx1"/>
            </w14:solidFill>
          </w14:textFill>
        </w:rPr>
        <w:t>3  SO2叠加环境质量现状浓度后保证率日均浓度分布图</w:t>
      </w:r>
    </w:p>
    <w:p>
      <w:pPr>
        <w:ind w:firstLine="180"/>
        <w:rPr>
          <w:rFonts w:cs="Times New Roman" w:hAnsiTheme="minorEastAsia" w:eastAsiaTheme="minorEastAsia"/>
          <w:snapToGrid w:val="0"/>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5334000" cy="278130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64"/>
                    <a:stretch>
                      <a:fillRect/>
                    </a:stretch>
                  </pic:blipFill>
                  <pic:spPr>
                    <a:xfrm>
                      <a:off x="0" y="0"/>
                      <a:ext cx="5334000" cy="2781829"/>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5-2-</w:t>
      </w:r>
      <w:r>
        <w:rPr>
          <w:rFonts w:hint="eastAsia" w:ascii="Times New Roman" w:hAnsiTheme="minorEastAsia" w:eastAsiaTheme="minorEastAsia"/>
          <w:b/>
          <w:bCs/>
          <w:color w:val="000000" w:themeColor="text1"/>
          <w:szCs w:val="24"/>
          <w14:textFill>
            <w14:solidFill>
              <w14:schemeClr w14:val="tx1"/>
            </w14:solidFill>
          </w14:textFill>
        </w:rPr>
        <w:t>4  SO</w:t>
      </w:r>
      <w:r>
        <w:rPr>
          <w:rFonts w:hint="eastAsia" w:ascii="Times New Roman" w:eastAsiaTheme="minorEastAsia"/>
          <w:color w:val="000000" w:themeColor="text1"/>
          <w:szCs w:val="24"/>
          <w:vertAlign w:val="subscript"/>
          <w:lang w:bidi="zh-CN"/>
          <w14:textFill>
            <w14:solidFill>
              <w14:schemeClr w14:val="tx1"/>
            </w14:solidFill>
          </w14:textFill>
        </w:rPr>
        <w:t>2</w:t>
      </w:r>
      <w:r>
        <w:rPr>
          <w:rFonts w:hint="eastAsia" w:ascii="Times New Roman" w:hAnsiTheme="minorEastAsia" w:eastAsiaTheme="minorEastAsia"/>
          <w:b/>
          <w:bCs/>
          <w:color w:val="000000" w:themeColor="text1"/>
          <w:szCs w:val="24"/>
          <w14:textFill>
            <w14:solidFill>
              <w14:schemeClr w14:val="tx1"/>
            </w14:solidFill>
          </w14:textFill>
        </w:rPr>
        <w:t>叠加环境质量现状浓度后年平均浓度分布图</w:t>
      </w:r>
    </w:p>
    <w:p>
      <w:pPr>
        <w:pStyle w:val="26"/>
        <w:numPr>
          <w:ilvl w:val="0"/>
          <w:numId w:val="7"/>
        </w:numPr>
        <w:spacing w:line="500" w:lineRule="exact"/>
        <w:ind w:firstLine="480" w:firstLineChars="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各关心点及区域内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w:t>
      </w:r>
      <w:r>
        <w:rPr>
          <w:rFonts w:ascii="Times New Roman" w:hAnsi="Times New Roman" w:cs="Times New Roman" w:eastAsiaTheme="minorEastAsia"/>
          <w:color w:val="000000" w:themeColor="text1"/>
          <w:sz w:val="24"/>
          <w:szCs w:val="24"/>
          <w:lang w:val="en-US"/>
          <w14:textFill>
            <w14:solidFill>
              <w14:schemeClr w14:val="tx1"/>
            </w14:solidFill>
          </w14:textFill>
        </w:rPr>
        <w:t>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叠加环境质量现状浓度的</w:t>
      </w:r>
      <w:r>
        <w:rPr>
          <w:rFonts w:ascii="Times New Roman" w:hAnsi="Times New Roman" w:cs="Times New Roman" w:eastAsiaTheme="minorEastAsia"/>
          <w:color w:val="000000" w:themeColor="text1"/>
          <w:sz w:val="24"/>
          <w:szCs w:val="24"/>
          <w:lang w:val="en-US"/>
          <w14:textFill>
            <w14:solidFill>
              <w14:schemeClr w14:val="tx1"/>
            </w14:solidFill>
          </w14:textFill>
        </w:rPr>
        <w:t>达标评价结果见表5-2-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15</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89"/>
        <w:ind w:left="317" w:firstLine="0" w:firstLineChars="0"/>
        <w:rPr>
          <w:color w:val="000000" w:themeColor="text1"/>
          <w:lang w:val="en-US"/>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15  NO</w:t>
      </w:r>
      <w:r>
        <w:rPr>
          <w:rFonts w:hint="eastAsia" w:ascii="Times New Roman" w:eastAsiaTheme="minorEastAsia"/>
          <w:color w:val="000000" w:themeColor="text1"/>
          <w:szCs w:val="24"/>
          <w:vertAlign w:val="subscript"/>
          <w:lang w:bidi="zh-CN"/>
          <w14:textFill>
            <w14:solidFill>
              <w14:schemeClr w14:val="tx1"/>
            </w14:solidFill>
          </w14:textFill>
        </w:rPr>
        <w:t>2</w:t>
      </w:r>
      <w:r>
        <w:rPr>
          <w:rFonts w:hint="eastAsia" w:ascii="Times New Roman" w:hAnsiTheme="minorEastAsia" w:eastAsiaTheme="minorEastAsia"/>
          <w:b/>
          <w:bCs/>
          <w:color w:val="000000" w:themeColor="text1"/>
          <w:szCs w:val="24"/>
          <w14:textFill>
            <w14:solidFill>
              <w14:schemeClr w14:val="tx1"/>
            </w14:solidFill>
          </w14:textFill>
        </w:rPr>
        <w:t>叠加环境质量现状浓度后</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83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8"/>
        <w:gridCol w:w="993"/>
        <w:gridCol w:w="992"/>
        <w:gridCol w:w="1303"/>
        <w:gridCol w:w="1107"/>
        <w:gridCol w:w="1275"/>
        <w:gridCol w:w="1225"/>
        <w:gridCol w:w="8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序号</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预测点</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时段</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浓度增量</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现状浓度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叠加后浓度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叠加浓度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占标率(%)</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是否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-6.80E-04</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3.70E-02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3.63E-02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45.40</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-3.57E-04</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1.46E-02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1.42E-02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35.51</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-3.97E-04</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3.70E-02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3.66E-02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45.75</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-3.88E-04</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1.46E-02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1.42E-02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35.43</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0.00E+00</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3.70E-02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3.70E-02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46.25</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-3.10E-04</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1.46E-02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1.43E-02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35.63</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网格点最大值</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0.00E+00</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3.70E-02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3.70E-02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46.25</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-3.71E-05</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1.46E-02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1.45E-02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36.31</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bl>
    <w:p>
      <w:pPr>
        <w:pStyle w:val="89"/>
        <w:ind w:firstLine="180"/>
        <w:rPr>
          <w:color w:val="000000" w:themeColor="text1"/>
          <w14:textFill>
            <w14:solidFill>
              <w14:schemeClr w14:val="tx1"/>
            </w14:solidFill>
          </w14:textFill>
        </w:rPr>
      </w:pPr>
    </w:p>
    <w:p>
      <w:pPr>
        <w:pStyle w:val="89"/>
        <w:ind w:firstLine="180"/>
        <w:rPr>
          <w:rFonts w:ascii="Times New Roman" w:hAnsiTheme="minorEastAsia" w:eastAsiaTheme="minorEastAsia"/>
          <w:snapToGrid w:val="0"/>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5334000" cy="2774950"/>
            <wp:effectExtent l="0" t="0" r="0" b="635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65"/>
                    <a:stretch>
                      <a:fillRect/>
                    </a:stretch>
                  </pic:blipFill>
                  <pic:spPr>
                    <a:xfrm>
                      <a:off x="0" y="0"/>
                      <a:ext cx="5334000" cy="2775038"/>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5-2-</w:t>
      </w:r>
      <w:r>
        <w:rPr>
          <w:rFonts w:hint="eastAsia" w:ascii="Times New Roman" w:hAnsiTheme="minorEastAsia" w:eastAsiaTheme="minorEastAsia"/>
          <w:b/>
          <w:bCs/>
          <w:color w:val="000000" w:themeColor="text1"/>
          <w:szCs w:val="24"/>
          <w14:textFill>
            <w14:solidFill>
              <w14:schemeClr w14:val="tx1"/>
            </w14:solidFill>
          </w14:textFill>
        </w:rPr>
        <w:t>5  NO</w:t>
      </w:r>
      <w:r>
        <w:rPr>
          <w:rFonts w:hint="eastAsia" w:ascii="Times New Roman" w:eastAsiaTheme="minorEastAsia"/>
          <w:color w:val="000000" w:themeColor="text1"/>
          <w:szCs w:val="24"/>
          <w:vertAlign w:val="subscript"/>
          <w:lang w:bidi="zh-CN"/>
          <w14:textFill>
            <w14:solidFill>
              <w14:schemeClr w14:val="tx1"/>
            </w14:solidFill>
          </w14:textFill>
        </w:rPr>
        <w:t>2</w:t>
      </w:r>
      <w:r>
        <w:rPr>
          <w:rFonts w:hint="eastAsia" w:ascii="Times New Roman" w:hAnsiTheme="minorEastAsia" w:eastAsiaTheme="minorEastAsia"/>
          <w:b/>
          <w:bCs/>
          <w:color w:val="000000" w:themeColor="text1"/>
          <w:szCs w:val="24"/>
          <w14:textFill>
            <w14:solidFill>
              <w14:schemeClr w14:val="tx1"/>
            </w14:solidFill>
          </w14:textFill>
        </w:rPr>
        <w:t>叠加环境质量现状浓度后保证率日均浓度分布图</w:t>
      </w:r>
    </w:p>
    <w:p>
      <w:pPr>
        <w:pStyle w:val="90"/>
        <w:ind w:firstLine="210"/>
        <w:rPr>
          <w:snapToGrid w:val="0"/>
          <w:color w:val="000000" w:themeColor="text1"/>
          <w14:textFill>
            <w14:solidFill>
              <w14:schemeClr w14:val="tx1"/>
            </w14:solidFill>
          </w14:textFill>
        </w:rPr>
      </w:pPr>
    </w:p>
    <w:p>
      <w:pPr>
        <w:ind w:firstLine="18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5334000" cy="2783205"/>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66"/>
                    <a:stretch>
                      <a:fillRect/>
                    </a:stretch>
                  </pic:blipFill>
                  <pic:spPr>
                    <a:xfrm>
                      <a:off x="0" y="0"/>
                      <a:ext cx="5334000" cy="2783681"/>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5-2-</w:t>
      </w:r>
      <w:r>
        <w:rPr>
          <w:rFonts w:hint="eastAsia" w:ascii="Times New Roman" w:hAnsiTheme="minorEastAsia" w:eastAsiaTheme="minorEastAsia"/>
          <w:b/>
          <w:bCs/>
          <w:color w:val="000000" w:themeColor="text1"/>
          <w:szCs w:val="24"/>
          <w14:textFill>
            <w14:solidFill>
              <w14:schemeClr w14:val="tx1"/>
            </w14:solidFill>
          </w14:textFill>
        </w:rPr>
        <w:t>6  NO</w:t>
      </w:r>
      <w:r>
        <w:rPr>
          <w:rFonts w:hint="eastAsia" w:ascii="Times New Roman" w:eastAsiaTheme="minorEastAsia"/>
          <w:color w:val="000000" w:themeColor="text1"/>
          <w:szCs w:val="24"/>
          <w:vertAlign w:val="subscript"/>
          <w:lang w:bidi="zh-CN"/>
          <w14:textFill>
            <w14:solidFill>
              <w14:schemeClr w14:val="tx1"/>
            </w14:solidFill>
          </w14:textFill>
        </w:rPr>
        <w:t>2</w:t>
      </w:r>
      <w:r>
        <w:rPr>
          <w:rFonts w:hint="eastAsia" w:ascii="Times New Roman" w:hAnsiTheme="minorEastAsia" w:eastAsiaTheme="minorEastAsia"/>
          <w:b/>
          <w:bCs/>
          <w:color w:val="000000" w:themeColor="text1"/>
          <w:szCs w:val="24"/>
          <w14:textFill>
            <w14:solidFill>
              <w14:schemeClr w14:val="tx1"/>
            </w14:solidFill>
          </w14:textFill>
        </w:rPr>
        <w:t>叠加环境质量现状浓度后年平均浓度分布图</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）各关心点及区域内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10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叠加环境质量现状浓度的</w:t>
      </w:r>
      <w:r>
        <w:rPr>
          <w:rFonts w:ascii="Times New Roman" w:hAnsi="Times New Roman" w:cs="Times New Roman" w:eastAsiaTheme="minorEastAsia"/>
          <w:color w:val="000000" w:themeColor="text1"/>
          <w:sz w:val="24"/>
          <w:szCs w:val="24"/>
          <w:lang w:val="en-US"/>
          <w14:textFill>
            <w14:solidFill>
              <w14:schemeClr w14:val="tx1"/>
            </w14:solidFill>
          </w14:textFill>
        </w:rPr>
        <w:t>达标评价结果见表5-2-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16</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16  PM</w:t>
      </w:r>
      <w:r>
        <w:rPr>
          <w:rFonts w:hint="eastAsia" w:ascii="Times New Roman" w:eastAsiaTheme="minorEastAsia"/>
          <w:color w:val="000000" w:themeColor="text1"/>
          <w:szCs w:val="24"/>
          <w:vertAlign w:val="subscript"/>
          <w:lang w:bidi="zh-CN"/>
          <w14:textFill>
            <w14:solidFill>
              <w14:schemeClr w14:val="tx1"/>
            </w14:solidFill>
          </w14:textFill>
        </w:rPr>
        <w:t>10</w:t>
      </w:r>
      <w:r>
        <w:rPr>
          <w:rFonts w:hint="eastAsia" w:ascii="Times New Roman" w:hAnsiTheme="minorEastAsia" w:eastAsiaTheme="minorEastAsia"/>
          <w:b/>
          <w:bCs/>
          <w:color w:val="000000" w:themeColor="text1"/>
          <w:szCs w:val="24"/>
          <w14:textFill>
            <w14:solidFill>
              <w14:schemeClr w14:val="tx1"/>
            </w14:solidFill>
          </w14:textFill>
        </w:rPr>
        <w:t>叠加环境质量现状浓度后</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83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8"/>
        <w:gridCol w:w="993"/>
        <w:gridCol w:w="992"/>
        <w:gridCol w:w="1303"/>
        <w:gridCol w:w="1107"/>
        <w:gridCol w:w="1275"/>
        <w:gridCol w:w="1225"/>
        <w:gridCol w:w="8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序号</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预测点</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时段</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浓度增量</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现状浓度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叠加后浓度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叠加浓度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占标率(%)</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是否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-3.87E-05</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1.19E-01</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1.19E-01</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79.31</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-6.09E-05</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4.68E-02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4.68E-02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66.82</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-9.81E-05</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1.19E-01</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1.19E-01</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79.27</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-6.61E-05</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4.68E-02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4.68E-02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66.82</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0.00E+00</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1.19E-01</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1.19E-01</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79.33</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-5.29E-05</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4.68E-02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4.68E-02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66.84</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网格点最大值</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0.00E+00</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1.19E-01</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1.19E-01</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79.33</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-6.33E-06</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4.68E-02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4.68E-02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66.90</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bl>
    <w:p>
      <w:pPr>
        <w:pStyle w:val="90"/>
        <w:ind w:firstLine="210"/>
        <w:rPr>
          <w:color w:val="000000" w:themeColor="text1"/>
          <w14:textFill>
            <w14:solidFill>
              <w14:schemeClr w14:val="tx1"/>
            </w14:solidFill>
          </w14:textFill>
        </w:rPr>
      </w:pPr>
    </w:p>
    <w:p>
      <w:pPr>
        <w:pStyle w:val="90"/>
        <w:ind w:firstLine="21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5334000" cy="2781300"/>
            <wp:effectExtent l="0" t="0" r="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67"/>
                    <a:stretch>
                      <a:fillRect/>
                    </a:stretch>
                  </pic:blipFill>
                  <pic:spPr>
                    <a:xfrm>
                      <a:off x="0" y="0"/>
                      <a:ext cx="5334000" cy="2781829"/>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5-2-</w:t>
      </w:r>
      <w:r>
        <w:rPr>
          <w:rFonts w:hint="eastAsia" w:ascii="Times New Roman" w:hAnsiTheme="minorEastAsia" w:eastAsiaTheme="minorEastAsia"/>
          <w:b/>
          <w:bCs/>
          <w:color w:val="000000" w:themeColor="text1"/>
          <w:szCs w:val="24"/>
          <w14:textFill>
            <w14:solidFill>
              <w14:schemeClr w14:val="tx1"/>
            </w14:solidFill>
          </w14:textFill>
        </w:rPr>
        <w:t>7  PM</w:t>
      </w:r>
      <w:r>
        <w:rPr>
          <w:rFonts w:hint="eastAsia" w:ascii="Times New Roman" w:eastAsiaTheme="minorEastAsia"/>
          <w:color w:val="000000" w:themeColor="text1"/>
          <w:szCs w:val="24"/>
          <w:vertAlign w:val="subscript"/>
          <w:lang w:bidi="zh-CN"/>
          <w14:textFill>
            <w14:solidFill>
              <w14:schemeClr w14:val="tx1"/>
            </w14:solidFill>
          </w14:textFill>
        </w:rPr>
        <w:t>10</w:t>
      </w:r>
      <w:r>
        <w:rPr>
          <w:rFonts w:hint="eastAsia" w:ascii="Times New Roman" w:hAnsiTheme="minorEastAsia" w:eastAsiaTheme="minorEastAsia"/>
          <w:b/>
          <w:bCs/>
          <w:color w:val="000000" w:themeColor="text1"/>
          <w:szCs w:val="24"/>
          <w14:textFill>
            <w14:solidFill>
              <w14:schemeClr w14:val="tx1"/>
            </w14:solidFill>
          </w14:textFill>
        </w:rPr>
        <w:t>叠加环境质量现状浓度后保证率日均浓度分布图（μg/m³）</w:t>
      </w:r>
    </w:p>
    <w:p>
      <w:pPr>
        <w:ind w:firstLine="180"/>
        <w:rPr>
          <w:color w:val="000000" w:themeColor="text1"/>
          <w14:textFill>
            <w14:solidFill>
              <w14:schemeClr w14:val="tx1"/>
            </w14:solidFill>
          </w14:textFill>
        </w:rPr>
      </w:pPr>
    </w:p>
    <w:p>
      <w:pPr>
        <w:pStyle w:val="90"/>
        <w:ind w:firstLine="21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5334000" cy="2754630"/>
            <wp:effectExtent l="0" t="0" r="0" b="762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68"/>
                    <a:stretch>
                      <a:fillRect/>
                    </a:stretch>
                  </pic:blipFill>
                  <pic:spPr>
                    <a:xfrm>
                      <a:off x="0" y="0"/>
                      <a:ext cx="5334000" cy="2754665"/>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5-2-</w:t>
      </w:r>
      <w:r>
        <w:rPr>
          <w:rFonts w:hint="eastAsia" w:ascii="Times New Roman" w:hAnsiTheme="minorEastAsia" w:eastAsiaTheme="minorEastAsia"/>
          <w:b/>
          <w:bCs/>
          <w:color w:val="000000" w:themeColor="text1"/>
          <w:szCs w:val="24"/>
          <w14:textFill>
            <w14:solidFill>
              <w14:schemeClr w14:val="tx1"/>
            </w14:solidFill>
          </w14:textFill>
        </w:rPr>
        <w:t>8  PM</w:t>
      </w:r>
      <w:r>
        <w:rPr>
          <w:rFonts w:hint="eastAsia" w:ascii="Times New Roman" w:eastAsiaTheme="minorEastAsia"/>
          <w:color w:val="000000" w:themeColor="text1"/>
          <w:szCs w:val="24"/>
          <w:vertAlign w:val="subscript"/>
          <w:lang w:bidi="zh-CN"/>
          <w14:textFill>
            <w14:solidFill>
              <w14:schemeClr w14:val="tx1"/>
            </w14:solidFill>
          </w14:textFill>
        </w:rPr>
        <w:t>10</w:t>
      </w:r>
      <w:r>
        <w:rPr>
          <w:rFonts w:hint="eastAsia" w:ascii="Times New Roman" w:hAnsiTheme="minorEastAsia" w:eastAsiaTheme="minorEastAsia"/>
          <w:b/>
          <w:bCs/>
          <w:color w:val="000000" w:themeColor="text1"/>
          <w:szCs w:val="24"/>
          <w14:textFill>
            <w14:solidFill>
              <w14:schemeClr w14:val="tx1"/>
            </w14:solidFill>
          </w14:textFill>
        </w:rPr>
        <w:t>叠加环境质量现状浓度后年平均浓度分布图（μg/m³）</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）各关心点及区域内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叠加环境质量现状浓度的</w:t>
      </w:r>
      <w:r>
        <w:rPr>
          <w:rFonts w:ascii="Times New Roman" w:hAnsi="Times New Roman" w:cs="Times New Roman" w:eastAsiaTheme="minorEastAsia"/>
          <w:color w:val="000000" w:themeColor="text1"/>
          <w:sz w:val="24"/>
          <w:szCs w:val="24"/>
          <w:lang w:val="en-US"/>
          <w14:textFill>
            <w14:solidFill>
              <w14:schemeClr w14:val="tx1"/>
            </w14:solidFill>
          </w14:textFill>
        </w:rPr>
        <w:t>达标评价结果见表5-2-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17</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17  PM</w:t>
      </w:r>
      <w:r>
        <w:rPr>
          <w:rFonts w:hint="eastAsia" w:ascii="Times New Roman" w:eastAsiaTheme="minorEastAsia"/>
          <w:color w:val="000000" w:themeColor="text1"/>
          <w:szCs w:val="24"/>
          <w:vertAlign w:val="subscript"/>
          <w:lang w:bidi="zh-CN"/>
          <w14:textFill>
            <w14:solidFill>
              <w14:schemeClr w14:val="tx1"/>
            </w14:solidFill>
          </w14:textFill>
        </w:rPr>
        <w:t>2.5</w:t>
      </w:r>
      <w:r>
        <w:rPr>
          <w:rFonts w:hint="eastAsia" w:ascii="Times New Roman" w:hAnsiTheme="minorEastAsia" w:eastAsiaTheme="minorEastAsia"/>
          <w:b/>
          <w:bCs/>
          <w:color w:val="000000" w:themeColor="text1"/>
          <w:szCs w:val="24"/>
          <w14:textFill>
            <w14:solidFill>
              <w14:schemeClr w14:val="tx1"/>
            </w14:solidFill>
          </w14:textFill>
        </w:rPr>
        <w:t>叠加环境质量现状浓度后</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83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8"/>
        <w:gridCol w:w="993"/>
        <w:gridCol w:w="992"/>
        <w:gridCol w:w="1303"/>
        <w:gridCol w:w="1107"/>
        <w:gridCol w:w="1275"/>
        <w:gridCol w:w="1225"/>
        <w:gridCol w:w="8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序号</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预测点</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时段</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浓度增量</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现状浓度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叠加后浓度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叠加浓度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占标率(%)</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是否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0.00E+00</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7.28E-02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7.28E-02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97.07</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-3.04E-05</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79.86</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0.00E+00</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7.28E-02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7.28E-02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97.07</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-3.30E-05</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2.79E-02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79.85</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0.00E+00</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7.28E-02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7.28E-02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97.07</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-2.64E-05</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79.87</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56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99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网格点最大值</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保证率日平均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0.00E+00</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7.28E-02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7.28E-02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97.07</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-3.16E-06</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2.80E-02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79.94</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bl>
    <w:p>
      <w:pPr>
        <w:pStyle w:val="90"/>
        <w:ind w:firstLine="21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5334000" cy="2736850"/>
            <wp:effectExtent l="0" t="0" r="0" b="635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69"/>
                    <a:stretch>
                      <a:fillRect/>
                    </a:stretch>
                  </pic:blipFill>
                  <pic:spPr>
                    <a:xfrm>
                      <a:off x="0" y="0"/>
                      <a:ext cx="5334000" cy="2737379"/>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5-2-</w:t>
      </w:r>
      <w:r>
        <w:rPr>
          <w:rFonts w:hint="eastAsia" w:ascii="Times New Roman" w:hAnsiTheme="minorEastAsia" w:eastAsiaTheme="minorEastAsia"/>
          <w:b/>
          <w:bCs/>
          <w:color w:val="000000" w:themeColor="text1"/>
          <w:szCs w:val="24"/>
          <w14:textFill>
            <w14:solidFill>
              <w14:schemeClr w14:val="tx1"/>
            </w14:solidFill>
          </w14:textFill>
        </w:rPr>
        <w:t>7  PM</w:t>
      </w:r>
      <w:r>
        <w:rPr>
          <w:rFonts w:hint="eastAsia" w:ascii="Times New Roman" w:eastAsiaTheme="minorEastAsia"/>
          <w:color w:val="000000" w:themeColor="text1"/>
          <w:szCs w:val="24"/>
          <w:vertAlign w:val="subscript"/>
          <w:lang w:bidi="zh-CN"/>
          <w14:textFill>
            <w14:solidFill>
              <w14:schemeClr w14:val="tx1"/>
            </w14:solidFill>
          </w14:textFill>
        </w:rPr>
        <w:t>2.5</w:t>
      </w:r>
      <w:r>
        <w:rPr>
          <w:rFonts w:hint="eastAsia" w:ascii="Times New Roman" w:hAnsiTheme="minorEastAsia" w:eastAsiaTheme="minorEastAsia"/>
          <w:b/>
          <w:bCs/>
          <w:color w:val="000000" w:themeColor="text1"/>
          <w:szCs w:val="24"/>
          <w14:textFill>
            <w14:solidFill>
              <w14:schemeClr w14:val="tx1"/>
            </w14:solidFill>
          </w14:textFill>
        </w:rPr>
        <w:t>叠加环境质量现状浓度后保证率日均浓度分布图（μg/m³）</w:t>
      </w: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5334000" cy="271081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70"/>
                    <a:stretch>
                      <a:fillRect/>
                    </a:stretch>
                  </pic:blipFill>
                  <pic:spPr>
                    <a:xfrm>
                      <a:off x="0" y="0"/>
                      <a:ext cx="5334000" cy="2710833"/>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5-2-</w:t>
      </w:r>
      <w:r>
        <w:rPr>
          <w:rFonts w:hint="eastAsia" w:ascii="Times New Roman" w:hAnsiTheme="minorEastAsia" w:eastAsiaTheme="minorEastAsia"/>
          <w:b/>
          <w:bCs/>
          <w:color w:val="000000" w:themeColor="text1"/>
          <w:szCs w:val="24"/>
          <w14:textFill>
            <w14:solidFill>
              <w14:schemeClr w14:val="tx1"/>
            </w14:solidFill>
          </w14:textFill>
        </w:rPr>
        <w:t>9  PM</w:t>
      </w:r>
      <w:r>
        <w:rPr>
          <w:rFonts w:hint="eastAsia" w:ascii="Times New Roman" w:eastAsiaTheme="minorEastAsia"/>
          <w:color w:val="000000" w:themeColor="text1"/>
          <w:szCs w:val="24"/>
          <w:vertAlign w:val="subscript"/>
          <w:lang w:bidi="zh-CN"/>
          <w14:textFill>
            <w14:solidFill>
              <w14:schemeClr w14:val="tx1"/>
            </w14:solidFill>
          </w14:textFill>
        </w:rPr>
        <w:t>2.5</w:t>
      </w:r>
      <w:r>
        <w:rPr>
          <w:rFonts w:hint="eastAsia" w:ascii="Times New Roman" w:hAnsiTheme="minorEastAsia" w:eastAsiaTheme="minorEastAsia"/>
          <w:b/>
          <w:bCs/>
          <w:color w:val="000000" w:themeColor="text1"/>
          <w:szCs w:val="24"/>
          <w14:textFill>
            <w14:solidFill>
              <w14:schemeClr w14:val="tx1"/>
            </w14:solidFill>
          </w14:textFill>
        </w:rPr>
        <w:t>叠加环境质量现状浓度后年平均浓度分布图（μg/m³）</w:t>
      </w:r>
    </w:p>
    <w:p>
      <w:pPr>
        <w:pStyle w:val="26"/>
        <w:ind w:firstLine="180"/>
        <w:rPr>
          <w:snapToGrid w:val="0"/>
          <w:color w:val="000000" w:themeColor="text1"/>
          <w14:textFill>
            <w14:solidFill>
              <w14:schemeClr w14:val="tx1"/>
            </w14:solidFill>
          </w14:textFill>
        </w:rPr>
      </w:pPr>
    </w:p>
    <w:p>
      <w:pPr>
        <w:pStyle w:val="89"/>
        <w:ind w:firstLine="180"/>
        <w:rPr>
          <w:color w:val="000000" w:themeColor="text1"/>
          <w14:textFill>
            <w14:solidFill>
              <w14:schemeClr w14:val="tx1"/>
            </w14:solidFill>
          </w14:textFill>
        </w:rPr>
      </w:pPr>
    </w:p>
    <w:p>
      <w:pPr>
        <w:pStyle w:val="90"/>
        <w:ind w:firstLine="21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）各关心点及区域内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TSP叠加环境质量现状浓度的</w:t>
      </w:r>
      <w:r>
        <w:rPr>
          <w:rFonts w:ascii="Times New Roman" w:hAnsi="Times New Roman" w:cs="Times New Roman" w:eastAsiaTheme="minorEastAsia"/>
          <w:color w:val="000000" w:themeColor="text1"/>
          <w:sz w:val="24"/>
          <w:szCs w:val="24"/>
          <w:lang w:val="en-US"/>
          <w14:textFill>
            <w14:solidFill>
              <w14:schemeClr w14:val="tx1"/>
            </w14:solidFill>
          </w14:textFill>
        </w:rPr>
        <w:t>达标评价结果见表5-2-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18</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18  TSP叠加环境质量现状浓度后</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83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8"/>
        <w:gridCol w:w="993"/>
        <w:gridCol w:w="992"/>
        <w:gridCol w:w="1303"/>
        <w:gridCol w:w="1107"/>
        <w:gridCol w:w="1275"/>
        <w:gridCol w:w="1225"/>
        <w:gridCol w:w="8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序号</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预测点</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时段</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浓度增量</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现状浓度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叠加后浓度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(mg/m³)</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叠加浓度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占标率(%)</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是否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3.03E-06</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1.73E-01</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1.73E-01</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57.67</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3.08E-06</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1.73E-01</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1.73E-01</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57.67</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2.68E-06</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1.73E-01</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1.73E-01</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57.67</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网格点最大值</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1.29E-05</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1.73E-01</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1.73E-01</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57.67</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bl>
    <w:p>
      <w:pPr>
        <w:pStyle w:val="90"/>
        <w:ind w:firstLine="210"/>
        <w:rPr>
          <w:snapToGrid w:val="0"/>
          <w:color w:val="000000" w:themeColor="text1"/>
          <w14:textFill>
            <w14:solidFill>
              <w14:schemeClr w14:val="tx1"/>
            </w14:solidFill>
          </w14:textFill>
        </w:rPr>
      </w:pPr>
    </w:p>
    <w:p>
      <w:pPr>
        <w:ind w:firstLine="18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5334000" cy="2916555"/>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71"/>
                    <a:stretch>
                      <a:fillRect/>
                    </a:stretch>
                  </pic:blipFill>
                  <pic:spPr>
                    <a:xfrm>
                      <a:off x="0" y="0"/>
                      <a:ext cx="5334000" cy="2917031"/>
                    </a:xfrm>
                    <a:prstGeom prst="rect">
                      <a:avLst/>
                    </a:prstGeom>
                  </pic:spPr>
                </pic:pic>
              </a:graphicData>
            </a:graphic>
          </wp:inline>
        </w:drawing>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图5-2-</w:t>
      </w:r>
      <w:r>
        <w:rPr>
          <w:rFonts w:hint="eastAsia" w:ascii="Times New Roman" w:hAnsiTheme="minorEastAsia" w:eastAsiaTheme="minorEastAsia"/>
          <w:b/>
          <w:bCs/>
          <w:color w:val="000000" w:themeColor="text1"/>
          <w:szCs w:val="24"/>
          <w14:textFill>
            <w14:solidFill>
              <w14:schemeClr w14:val="tx1"/>
            </w14:solidFill>
          </w14:textFill>
        </w:rPr>
        <w:t>10</w:t>
      </w:r>
      <w:r>
        <w:rPr>
          <w:rFonts w:ascii="Times New Roman" w:hAnsiTheme="minorEastAsia" w:eastAsiaTheme="minorEastAsia"/>
          <w:b/>
          <w:bCs/>
          <w:color w:val="000000" w:themeColor="text1"/>
          <w:szCs w:val="24"/>
          <w14:textFill>
            <w14:solidFill>
              <w14:schemeClr w14:val="tx1"/>
            </w14:solidFill>
          </w14:textFill>
        </w:rPr>
        <w:t xml:space="preserve">  </w:t>
      </w:r>
      <w:r>
        <w:rPr>
          <w:rFonts w:hint="eastAsia" w:ascii="Times New Roman" w:hAnsiTheme="minorEastAsia" w:eastAsiaTheme="minorEastAsia"/>
          <w:b/>
          <w:bCs/>
          <w:color w:val="000000" w:themeColor="text1"/>
          <w:szCs w:val="24"/>
          <w14:textFill>
            <w14:solidFill>
              <w14:schemeClr w14:val="tx1"/>
            </w14:solidFill>
          </w14:textFill>
        </w:rPr>
        <w:t>TSP叠加环境质量现状浓度后年平均浓度分布图（μg/m³）</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w:t>
      </w:r>
      <w:r>
        <w:rPr>
          <w:rFonts w:ascii="Times New Roman" w:hAnsi="Times New Roman" w:cs="Times New Roman" w:eastAsiaTheme="minorEastAsia"/>
          <w:color w:val="000000" w:themeColor="text1"/>
          <w:sz w:val="24"/>
          <w:szCs w:val="24"/>
          <w:lang w:val="en-US"/>
          <w14:textFill>
            <w14:solidFill>
              <w14:schemeClr w14:val="tx1"/>
            </w14:solidFill>
          </w14:textFill>
        </w:rPr>
        <w:t>）各关心点及区域内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叠加环境质量现状浓度的</w:t>
      </w:r>
      <w:r>
        <w:rPr>
          <w:rFonts w:ascii="Times New Roman" w:hAnsi="Times New Roman" w:cs="Times New Roman" w:eastAsiaTheme="minorEastAsia"/>
          <w:color w:val="000000" w:themeColor="text1"/>
          <w:sz w:val="24"/>
          <w:szCs w:val="24"/>
          <w:lang w:val="en-US"/>
          <w14:textFill>
            <w14:solidFill>
              <w14:schemeClr w14:val="tx1"/>
            </w14:solidFill>
          </w14:textFill>
        </w:rPr>
        <w:t>达标评价结果见表5-2-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19</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19  NH</w:t>
      </w:r>
      <w:r>
        <w:rPr>
          <w:rFonts w:hint="eastAsia" w:ascii="Times New Roman" w:eastAsiaTheme="minorEastAsia"/>
          <w:color w:val="000000" w:themeColor="text1"/>
          <w:szCs w:val="24"/>
          <w:vertAlign w:val="subscript"/>
          <w:lang w:bidi="zh-CN"/>
          <w14:textFill>
            <w14:solidFill>
              <w14:schemeClr w14:val="tx1"/>
            </w14:solidFill>
          </w14:textFill>
        </w:rPr>
        <w:t>3</w:t>
      </w:r>
      <w:r>
        <w:rPr>
          <w:rFonts w:hint="eastAsia" w:ascii="Times New Roman" w:hAnsiTheme="minorEastAsia" w:eastAsiaTheme="minorEastAsia"/>
          <w:b/>
          <w:bCs/>
          <w:color w:val="000000" w:themeColor="text1"/>
          <w:szCs w:val="24"/>
          <w14:textFill>
            <w14:solidFill>
              <w14:schemeClr w14:val="tx1"/>
            </w14:solidFill>
          </w14:textFill>
        </w:rPr>
        <w:t>叠加环境质量现状浓度后</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83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8"/>
        <w:gridCol w:w="993"/>
        <w:gridCol w:w="992"/>
        <w:gridCol w:w="1303"/>
        <w:gridCol w:w="1107"/>
        <w:gridCol w:w="1275"/>
        <w:gridCol w:w="1225"/>
        <w:gridCol w:w="8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序号</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预测点</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时段</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浓度增量</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u</w:t>
            </w:r>
            <w:r>
              <w:rPr>
                <w:rFonts w:hint="eastAsia" w:ascii="Times New Roman" w:eastAsiaTheme="minorEastAsia"/>
                <w:color w:val="000000" w:themeColor="text1"/>
                <w:sz w:val="21"/>
                <w:szCs w:val="21"/>
                <w14:textFill>
                  <w14:solidFill>
                    <w14:schemeClr w14:val="tx1"/>
                  </w14:solidFill>
                </w14:textFill>
              </w:rPr>
              <w:t>g/m³)</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现状浓度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u</w:t>
            </w:r>
            <w:r>
              <w:rPr>
                <w:rFonts w:hint="eastAsia" w:ascii="Times New Roman" w:eastAsiaTheme="minorEastAsia"/>
                <w:color w:val="000000" w:themeColor="text1"/>
                <w:sz w:val="21"/>
                <w:szCs w:val="21"/>
                <w14:textFill>
                  <w14:solidFill>
                    <w14:schemeClr w14:val="tx1"/>
                  </w14:solidFill>
                </w14:textFill>
              </w:rPr>
              <w:t>g/m³)</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叠加后浓度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u</w:t>
            </w:r>
            <w:r>
              <w:rPr>
                <w:rFonts w:hint="eastAsia" w:ascii="Times New Roman" w:eastAsiaTheme="minorEastAsia"/>
                <w:color w:val="000000" w:themeColor="text1"/>
                <w:sz w:val="21"/>
                <w:szCs w:val="21"/>
                <w14:textFill>
                  <w14:solidFill>
                    <w14:schemeClr w14:val="tx1"/>
                  </w14:solidFill>
                </w14:textFill>
              </w:rPr>
              <w:t>g/m³)</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叠加浓度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占标率(%)</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是否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0.00093</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160</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160.00093</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80.000</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0.0002</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160</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160.0002</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80.001</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0.00226</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160</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160.00226</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80.001</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网格点最大值</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0.01285</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160</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160.01285</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80.006</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6</w:t>
      </w:r>
      <w:r>
        <w:rPr>
          <w:rFonts w:ascii="Times New Roman" w:hAnsi="Times New Roman" w:cs="Times New Roman" w:eastAsiaTheme="minorEastAsia"/>
          <w:color w:val="000000" w:themeColor="text1"/>
          <w:sz w:val="24"/>
          <w:szCs w:val="24"/>
          <w:lang w:val="en-US"/>
          <w14:textFill>
            <w14:solidFill>
              <w14:schemeClr w14:val="tx1"/>
            </w14:solidFill>
          </w14:textFill>
        </w:rPr>
        <w:t>）各关心点及区域内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Hg叠加环境质量现状浓度的</w:t>
      </w:r>
      <w:r>
        <w:rPr>
          <w:rFonts w:ascii="Times New Roman" w:hAnsi="Times New Roman" w:cs="Times New Roman" w:eastAsiaTheme="minorEastAsia"/>
          <w:color w:val="000000" w:themeColor="text1"/>
          <w:sz w:val="24"/>
          <w:szCs w:val="24"/>
          <w:lang w:val="en-US"/>
          <w14:textFill>
            <w14:solidFill>
              <w14:schemeClr w14:val="tx1"/>
            </w14:solidFill>
          </w14:textFill>
        </w:rPr>
        <w:t>达标评价结果见表5-2-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20</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20  Hg叠加环境质量现状浓度后</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831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68"/>
        <w:gridCol w:w="993"/>
        <w:gridCol w:w="992"/>
        <w:gridCol w:w="1303"/>
        <w:gridCol w:w="1107"/>
        <w:gridCol w:w="1275"/>
        <w:gridCol w:w="1225"/>
        <w:gridCol w:w="85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序号</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预测点</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时段</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浓度增量</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u</w:t>
            </w:r>
            <w:r>
              <w:rPr>
                <w:rFonts w:hint="eastAsia" w:ascii="Times New Roman" w:eastAsiaTheme="minorEastAsia"/>
                <w:color w:val="000000" w:themeColor="text1"/>
                <w:sz w:val="21"/>
                <w:szCs w:val="21"/>
                <w14:textFill>
                  <w14:solidFill>
                    <w14:schemeClr w14:val="tx1"/>
                  </w14:solidFill>
                </w14:textFill>
              </w:rPr>
              <w:t>g/m³)</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现状浓度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u</w:t>
            </w:r>
            <w:r>
              <w:rPr>
                <w:rFonts w:hint="eastAsia" w:ascii="Times New Roman" w:eastAsiaTheme="minorEastAsia"/>
                <w:color w:val="000000" w:themeColor="text1"/>
                <w:sz w:val="21"/>
                <w:szCs w:val="21"/>
                <w14:textFill>
                  <w14:solidFill>
                    <w14:schemeClr w14:val="tx1"/>
                  </w14:solidFill>
                </w14:textFill>
              </w:rPr>
              <w:t>g/m³)</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叠加后浓度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u</w:t>
            </w:r>
            <w:r>
              <w:rPr>
                <w:rFonts w:hint="eastAsia" w:ascii="Times New Roman" w:eastAsiaTheme="minorEastAsia"/>
                <w:color w:val="000000" w:themeColor="text1"/>
                <w:sz w:val="21"/>
                <w:szCs w:val="21"/>
                <w14:textFill>
                  <w14:solidFill>
                    <w14:schemeClr w14:val="tx1"/>
                  </w14:solidFill>
                </w14:textFill>
              </w:rPr>
              <w:t>g/m³)</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叠加浓度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占标率(%)</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是否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0.00018</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未检出</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0.00007</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未检出</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红兴隆局直居民区</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0.00029</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未检出</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6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网格点最大值</w:t>
            </w:r>
          </w:p>
        </w:tc>
        <w:tc>
          <w:tcPr>
            <w:tcW w:w="9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日平均</w:t>
            </w:r>
          </w:p>
        </w:tc>
        <w:tc>
          <w:tcPr>
            <w:tcW w:w="1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0.00044</w:t>
            </w:r>
          </w:p>
        </w:tc>
        <w:tc>
          <w:tcPr>
            <w:tcW w:w="11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未检出</w:t>
            </w:r>
          </w:p>
        </w:tc>
        <w:tc>
          <w:tcPr>
            <w:tcW w:w="12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12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85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bl>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5.2.1.8非正常工况大气影响预测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预测结果</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脱硫剂供应不足或脱硫塔故障，致使脱硫效率降低至50%时的烟气排放情况；</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21</w:t>
      </w:r>
      <w:r>
        <w:rPr>
          <w:rFonts w:ascii="Times New Roman" w:hAnsiTheme="minorEastAsia" w:eastAsiaTheme="minorEastAsia"/>
          <w:b/>
          <w:bCs/>
          <w:color w:val="000000" w:themeColor="text1"/>
          <w:szCs w:val="24"/>
          <w14:textFill>
            <w14:solidFill>
              <w14:schemeClr w14:val="tx1"/>
            </w14:solidFill>
          </w14:textFill>
        </w:rPr>
        <w:t xml:space="preserve"> 非正常工况SO</w:t>
      </w:r>
      <w:r>
        <w:rPr>
          <w:rFonts w:ascii="Times New Roman" w:eastAsiaTheme="minorEastAsia"/>
          <w:color w:val="000000" w:themeColor="text1"/>
          <w:szCs w:val="24"/>
          <w:vertAlign w:val="subscript"/>
          <w:lang w:bidi="zh-CN"/>
          <w14:textFill>
            <w14:solidFill>
              <w14:schemeClr w14:val="tx1"/>
            </w14:solidFill>
          </w14:textFill>
        </w:rPr>
        <w:t>2</w:t>
      </w:r>
      <w:r>
        <w:rPr>
          <w:rFonts w:ascii="Times New Roman" w:hAnsiTheme="minorEastAsia" w:eastAsiaTheme="minorEastAsia"/>
          <w:b/>
          <w:bCs/>
          <w:color w:val="000000" w:themeColor="text1"/>
          <w:szCs w:val="24"/>
          <w14:textFill>
            <w14:solidFill>
              <w14:schemeClr w14:val="tx1"/>
            </w14:solidFill>
          </w14:textFill>
        </w:rPr>
        <w:t>1h浓度</w:t>
      </w:r>
      <w:r>
        <w:rPr>
          <w:rFonts w:hint="eastAsia" w:ascii="Times New Roman" w:hAnsiTheme="minorEastAsia" w:eastAsiaTheme="minorEastAsia"/>
          <w:b/>
          <w:bCs/>
          <w:color w:val="000000" w:themeColor="text1"/>
          <w:szCs w:val="24"/>
          <w14:textFill>
            <w14:solidFill>
              <w14:schemeClr w14:val="tx1"/>
            </w14:solidFill>
          </w14:textFill>
        </w:rPr>
        <w:t>贡献值占标率</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8"/>
        <w:gridCol w:w="1145"/>
        <w:gridCol w:w="1336"/>
        <w:gridCol w:w="1502"/>
        <w:gridCol w:w="1348"/>
        <w:gridCol w:w="1321"/>
        <w:gridCol w:w="14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12"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序号</w:t>
            </w:r>
          </w:p>
        </w:tc>
        <w:tc>
          <w:tcPr>
            <w:tcW w:w="665"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预测点</w:t>
            </w:r>
          </w:p>
        </w:tc>
        <w:tc>
          <w:tcPr>
            <w:tcW w:w="776"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平均时段</w:t>
            </w:r>
          </w:p>
        </w:tc>
        <w:tc>
          <w:tcPr>
            <w:tcW w:w="872"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出现时刻</w:t>
            </w:r>
          </w:p>
        </w:tc>
        <w:tc>
          <w:tcPr>
            <w:tcW w:w="783"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最大贡献浓度（</w:t>
            </w: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w:t>
            </w:r>
          </w:p>
        </w:tc>
        <w:tc>
          <w:tcPr>
            <w:tcW w:w="767"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占标率（</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w:t>
            </w:r>
          </w:p>
        </w:tc>
        <w:tc>
          <w:tcPr>
            <w:tcW w:w="836" w:type="pct"/>
            <w:tcBorders>
              <w:top w:val="single" w:color="auto" w:sz="12"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66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776"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1h平均浓度</w:t>
            </w:r>
          </w:p>
        </w:tc>
        <w:tc>
          <w:tcPr>
            <w:tcW w:w="872"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22122010</w:t>
            </w:r>
          </w:p>
        </w:tc>
        <w:tc>
          <w:tcPr>
            <w:tcW w:w="783"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1.75E-02</w:t>
            </w:r>
          </w:p>
        </w:tc>
        <w:tc>
          <w:tcPr>
            <w:tcW w:w="76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3.50</w:t>
            </w:r>
          </w:p>
        </w:tc>
        <w:tc>
          <w:tcPr>
            <w:tcW w:w="836"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66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776"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1h平均浓度</w:t>
            </w:r>
          </w:p>
        </w:tc>
        <w:tc>
          <w:tcPr>
            <w:tcW w:w="872"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22020109</w:t>
            </w:r>
          </w:p>
        </w:tc>
        <w:tc>
          <w:tcPr>
            <w:tcW w:w="783"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1.40E-02</w:t>
            </w:r>
          </w:p>
        </w:tc>
        <w:tc>
          <w:tcPr>
            <w:tcW w:w="76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2.81</w:t>
            </w:r>
          </w:p>
        </w:tc>
        <w:tc>
          <w:tcPr>
            <w:tcW w:w="836"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66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红兴隆局直居民区</w:t>
            </w:r>
          </w:p>
        </w:tc>
        <w:tc>
          <w:tcPr>
            <w:tcW w:w="776"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1h平均浓度</w:t>
            </w:r>
          </w:p>
        </w:tc>
        <w:tc>
          <w:tcPr>
            <w:tcW w:w="872"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22121915</w:t>
            </w:r>
          </w:p>
        </w:tc>
        <w:tc>
          <w:tcPr>
            <w:tcW w:w="783"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2.88E-02</w:t>
            </w:r>
          </w:p>
        </w:tc>
        <w:tc>
          <w:tcPr>
            <w:tcW w:w="76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5.76</w:t>
            </w:r>
          </w:p>
        </w:tc>
        <w:tc>
          <w:tcPr>
            <w:tcW w:w="836"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4" w:space="0"/>
              <w:left w:val="nil"/>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665"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网格点最大值</w:t>
            </w:r>
          </w:p>
        </w:tc>
        <w:tc>
          <w:tcPr>
            <w:tcW w:w="776"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1h平均浓度</w:t>
            </w:r>
          </w:p>
        </w:tc>
        <w:tc>
          <w:tcPr>
            <w:tcW w:w="872"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22121915</w:t>
            </w:r>
          </w:p>
        </w:tc>
        <w:tc>
          <w:tcPr>
            <w:tcW w:w="783"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3.47E-02</w:t>
            </w:r>
          </w:p>
        </w:tc>
        <w:tc>
          <w:tcPr>
            <w:tcW w:w="767"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6.94</w:t>
            </w:r>
          </w:p>
        </w:tc>
        <w:tc>
          <w:tcPr>
            <w:tcW w:w="836" w:type="pct"/>
            <w:tcBorders>
              <w:top w:val="single" w:color="auto" w:sz="4" w:space="0"/>
              <w:left w:val="single" w:color="auto" w:sz="4" w:space="0"/>
              <w:bottom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w:t>
      </w:r>
      <w:r>
        <w:rPr>
          <w:rFonts w:ascii="Times New Roman" w:hAnsi="Times New Roman" w:cs="Times New Roman" w:eastAsiaTheme="minorEastAsia"/>
          <w:color w:val="000000" w:themeColor="text1"/>
          <w:sz w:val="24"/>
          <w:szCs w:val="24"/>
          <w:lang w:val="en-US"/>
          <w14:textFill>
            <w14:solidFill>
              <w14:schemeClr w14:val="tx1"/>
            </w14:solidFill>
          </w14:textFill>
        </w:rPr>
        <w:t>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预测结果</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脱硝系统故障，致使脱硝系统失灵，脱硝效率降低至</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30%</w:t>
      </w:r>
      <w:r>
        <w:rPr>
          <w:rFonts w:ascii="Times New Roman" w:hAnsi="Times New Roman" w:cs="Times New Roman" w:eastAsiaTheme="minorEastAsia"/>
          <w:color w:val="000000" w:themeColor="text1"/>
          <w:sz w:val="24"/>
          <w:szCs w:val="24"/>
          <w:lang w:val="en-US"/>
          <w14:textFill>
            <w14:solidFill>
              <w14:schemeClr w14:val="tx1"/>
            </w14:solidFill>
          </w14:textFill>
        </w:rPr>
        <w:t>时的烟气排放情况。</w:t>
      </w:r>
    </w:p>
    <w:p>
      <w:pPr>
        <w:pStyle w:val="89"/>
        <w:ind w:firstLine="180"/>
        <w:rPr>
          <w:color w:val="000000" w:themeColor="text1"/>
          <w:lang w:val="en-US"/>
          <w14:textFill>
            <w14:solidFill>
              <w14:schemeClr w14:val="tx1"/>
            </w14:solidFill>
          </w14:textFill>
        </w:rPr>
      </w:pPr>
    </w:p>
    <w:p>
      <w:pPr>
        <w:pStyle w:val="90"/>
        <w:ind w:firstLine="210"/>
        <w:rPr>
          <w:color w:val="000000" w:themeColor="text1"/>
          <w:lang w:val="en-US"/>
          <w14:textFill>
            <w14:solidFill>
              <w14:schemeClr w14:val="tx1"/>
            </w14:solidFill>
          </w14:textFill>
        </w:rPr>
      </w:pPr>
    </w:p>
    <w:p>
      <w:pPr>
        <w:ind w:firstLine="180"/>
        <w:rPr>
          <w:color w:val="000000" w:themeColor="text1"/>
          <w:lang w:val="en-US"/>
          <w14:textFill>
            <w14:solidFill>
              <w14:schemeClr w14:val="tx1"/>
            </w14:solidFill>
          </w14:textFill>
        </w:rPr>
      </w:pPr>
    </w:p>
    <w:p>
      <w:pPr>
        <w:ind w:firstLine="180"/>
        <w:rPr>
          <w:color w:val="000000" w:themeColor="text1"/>
          <w:lang w:val="en-US"/>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-22</w:t>
      </w:r>
      <w:r>
        <w:rPr>
          <w:rFonts w:ascii="Times New Roman" w:hAnsiTheme="minorEastAsia" w:eastAsiaTheme="minorEastAsia"/>
          <w:b/>
          <w:bCs/>
          <w:color w:val="000000" w:themeColor="text1"/>
          <w:szCs w:val="24"/>
          <w14:textFill>
            <w14:solidFill>
              <w14:schemeClr w14:val="tx1"/>
            </w14:solidFill>
          </w14:textFill>
        </w:rPr>
        <w:t xml:space="preserve"> 非正常工况</w:t>
      </w:r>
      <w:r>
        <w:rPr>
          <w:rFonts w:hint="eastAsia" w:ascii="Times New Roman" w:hAnsiTheme="minorEastAsia" w:eastAsiaTheme="minorEastAsia"/>
          <w:b/>
          <w:bCs/>
          <w:color w:val="000000" w:themeColor="text1"/>
          <w:szCs w:val="24"/>
          <w14:textFill>
            <w14:solidFill>
              <w14:schemeClr w14:val="tx1"/>
            </w14:solidFill>
          </w14:textFill>
        </w:rPr>
        <w:t>N</w:t>
      </w:r>
      <w:r>
        <w:rPr>
          <w:rFonts w:ascii="Times New Roman" w:hAnsiTheme="minorEastAsia" w:eastAsiaTheme="minorEastAsia"/>
          <w:b/>
          <w:bCs/>
          <w:color w:val="000000" w:themeColor="text1"/>
          <w:szCs w:val="24"/>
          <w14:textFill>
            <w14:solidFill>
              <w14:schemeClr w14:val="tx1"/>
            </w14:solidFill>
          </w14:textFill>
        </w:rPr>
        <w:t>O</w:t>
      </w:r>
      <w:r>
        <w:rPr>
          <w:rFonts w:ascii="Times New Roman" w:eastAsiaTheme="minorEastAsia"/>
          <w:color w:val="000000" w:themeColor="text1"/>
          <w:szCs w:val="24"/>
          <w:vertAlign w:val="subscript"/>
          <w:lang w:bidi="zh-CN"/>
          <w14:textFill>
            <w14:solidFill>
              <w14:schemeClr w14:val="tx1"/>
            </w14:solidFill>
          </w14:textFill>
        </w:rPr>
        <w:t>2</w:t>
      </w:r>
      <w:r>
        <w:rPr>
          <w:rFonts w:ascii="Times New Roman" w:hAnsiTheme="minorEastAsia" w:eastAsiaTheme="minorEastAsia"/>
          <w:b/>
          <w:bCs/>
          <w:color w:val="000000" w:themeColor="text1"/>
          <w:szCs w:val="24"/>
          <w14:textFill>
            <w14:solidFill>
              <w14:schemeClr w14:val="tx1"/>
            </w14:solidFill>
          </w14:textFill>
        </w:rPr>
        <w:t>1h浓度</w:t>
      </w:r>
      <w:r>
        <w:rPr>
          <w:rFonts w:hint="eastAsia" w:ascii="Times New Roman" w:hAnsiTheme="minorEastAsia" w:eastAsiaTheme="minorEastAsia"/>
          <w:b/>
          <w:bCs/>
          <w:color w:val="000000" w:themeColor="text1"/>
          <w:szCs w:val="24"/>
          <w14:textFill>
            <w14:solidFill>
              <w14:schemeClr w14:val="tx1"/>
            </w14:solidFill>
          </w14:textFill>
        </w:rPr>
        <w:t>贡献值占标率</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8"/>
        <w:gridCol w:w="1145"/>
        <w:gridCol w:w="1336"/>
        <w:gridCol w:w="1502"/>
        <w:gridCol w:w="1348"/>
        <w:gridCol w:w="1321"/>
        <w:gridCol w:w="14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12"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序号</w:t>
            </w:r>
          </w:p>
        </w:tc>
        <w:tc>
          <w:tcPr>
            <w:tcW w:w="665"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预测点</w:t>
            </w:r>
          </w:p>
        </w:tc>
        <w:tc>
          <w:tcPr>
            <w:tcW w:w="776"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平均时段</w:t>
            </w:r>
          </w:p>
        </w:tc>
        <w:tc>
          <w:tcPr>
            <w:tcW w:w="872"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出现时刻</w:t>
            </w:r>
          </w:p>
        </w:tc>
        <w:tc>
          <w:tcPr>
            <w:tcW w:w="783"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最大贡献浓度（</w:t>
            </w: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w:t>
            </w:r>
          </w:p>
        </w:tc>
        <w:tc>
          <w:tcPr>
            <w:tcW w:w="767"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占标率（</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w:t>
            </w:r>
          </w:p>
        </w:tc>
        <w:tc>
          <w:tcPr>
            <w:tcW w:w="836" w:type="pct"/>
            <w:tcBorders>
              <w:top w:val="single" w:color="auto" w:sz="12"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66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776"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1h平均浓度</w:t>
            </w:r>
          </w:p>
        </w:tc>
        <w:tc>
          <w:tcPr>
            <w:tcW w:w="872"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22122010</w:t>
            </w:r>
          </w:p>
        </w:tc>
        <w:tc>
          <w:tcPr>
            <w:tcW w:w="783"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2.82E-02</w:t>
            </w:r>
          </w:p>
        </w:tc>
        <w:tc>
          <w:tcPr>
            <w:tcW w:w="76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14.10</w:t>
            </w:r>
          </w:p>
        </w:tc>
        <w:tc>
          <w:tcPr>
            <w:tcW w:w="836"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66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776"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1h平均浓度</w:t>
            </w:r>
          </w:p>
        </w:tc>
        <w:tc>
          <w:tcPr>
            <w:tcW w:w="872"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22020109</w:t>
            </w:r>
          </w:p>
        </w:tc>
        <w:tc>
          <w:tcPr>
            <w:tcW w:w="783"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2.26E-02</w:t>
            </w:r>
          </w:p>
        </w:tc>
        <w:tc>
          <w:tcPr>
            <w:tcW w:w="76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11.32</w:t>
            </w:r>
          </w:p>
        </w:tc>
        <w:tc>
          <w:tcPr>
            <w:tcW w:w="836"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66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红兴隆局直居民区</w:t>
            </w:r>
          </w:p>
        </w:tc>
        <w:tc>
          <w:tcPr>
            <w:tcW w:w="776"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1h平均浓度</w:t>
            </w:r>
          </w:p>
        </w:tc>
        <w:tc>
          <w:tcPr>
            <w:tcW w:w="872"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22121915</w:t>
            </w:r>
          </w:p>
        </w:tc>
        <w:tc>
          <w:tcPr>
            <w:tcW w:w="783"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4.64E-02</w:t>
            </w:r>
          </w:p>
        </w:tc>
        <w:tc>
          <w:tcPr>
            <w:tcW w:w="76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23.21</w:t>
            </w:r>
          </w:p>
        </w:tc>
        <w:tc>
          <w:tcPr>
            <w:tcW w:w="836"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4" w:space="0"/>
              <w:left w:val="nil"/>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665"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网格点最大值</w:t>
            </w:r>
          </w:p>
        </w:tc>
        <w:tc>
          <w:tcPr>
            <w:tcW w:w="776"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1h平均浓度</w:t>
            </w:r>
          </w:p>
        </w:tc>
        <w:tc>
          <w:tcPr>
            <w:tcW w:w="872"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22121915</w:t>
            </w:r>
          </w:p>
        </w:tc>
        <w:tc>
          <w:tcPr>
            <w:tcW w:w="783"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5.59E-02</w:t>
            </w:r>
          </w:p>
        </w:tc>
        <w:tc>
          <w:tcPr>
            <w:tcW w:w="767"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27.97</w:t>
            </w:r>
          </w:p>
        </w:tc>
        <w:tc>
          <w:tcPr>
            <w:tcW w:w="836" w:type="pct"/>
            <w:tcBorders>
              <w:top w:val="single" w:color="auto" w:sz="4" w:space="0"/>
              <w:left w:val="single" w:color="auto" w:sz="4" w:space="0"/>
              <w:bottom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10</w:t>
      </w:r>
      <w:r>
        <w:rPr>
          <w:rFonts w:ascii="Times New Roman" w:hAnsi="Times New Roman" w:cs="Times New Roman" w:eastAsiaTheme="minorEastAsia"/>
          <w:color w:val="000000" w:themeColor="text1"/>
          <w:sz w:val="24"/>
          <w:szCs w:val="24"/>
          <w:lang w:val="en-US"/>
          <w14:textFill>
            <w14:solidFill>
              <w14:schemeClr w14:val="tx1"/>
            </w14:solidFill>
          </w14:textFill>
        </w:rPr>
        <w:t>预测结果</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除尘器发生破袋故障，除尘效率降低至</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w:t>
      </w:r>
      <w:r>
        <w:rPr>
          <w:rFonts w:ascii="Times New Roman" w:hAnsi="Times New Roman" w:cs="Times New Roman" w:eastAsiaTheme="minorEastAsia"/>
          <w:color w:val="000000" w:themeColor="text1"/>
          <w:sz w:val="24"/>
          <w:szCs w:val="24"/>
          <w:lang w:val="en-US"/>
          <w14:textFill>
            <w14:solidFill>
              <w14:schemeClr w14:val="tx1"/>
            </w14:solidFill>
          </w14:textFill>
        </w:rPr>
        <w:t>0%时的烟气排放情况。</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-23</w:t>
      </w:r>
      <w:r>
        <w:rPr>
          <w:rFonts w:ascii="Times New Roman" w:hAnsiTheme="minorEastAsia" w:eastAsiaTheme="minorEastAsia"/>
          <w:b/>
          <w:bCs/>
          <w:color w:val="000000" w:themeColor="text1"/>
          <w:szCs w:val="24"/>
          <w14:textFill>
            <w14:solidFill>
              <w14:schemeClr w14:val="tx1"/>
            </w14:solidFill>
          </w14:textFill>
        </w:rPr>
        <w:t xml:space="preserve"> 非正常工况</w:t>
      </w:r>
      <w:r>
        <w:rPr>
          <w:rFonts w:hint="eastAsia" w:ascii="Times New Roman" w:hAnsiTheme="minorEastAsia" w:eastAsiaTheme="minorEastAsia"/>
          <w:b/>
          <w:bCs/>
          <w:color w:val="000000" w:themeColor="text1"/>
          <w:szCs w:val="24"/>
          <w14:textFill>
            <w14:solidFill>
              <w14:schemeClr w14:val="tx1"/>
            </w14:solidFill>
          </w14:textFill>
        </w:rPr>
        <w:t>PM</w:t>
      </w:r>
      <w:r>
        <w:rPr>
          <w:rFonts w:hint="eastAsia" w:ascii="Times New Roman" w:eastAsiaTheme="minorEastAsia"/>
          <w:color w:val="000000" w:themeColor="text1"/>
          <w:szCs w:val="24"/>
          <w:vertAlign w:val="subscript"/>
          <w:lang w:bidi="zh-CN"/>
          <w14:textFill>
            <w14:solidFill>
              <w14:schemeClr w14:val="tx1"/>
            </w14:solidFill>
          </w14:textFill>
        </w:rPr>
        <w:t>10</w:t>
      </w:r>
      <w:r>
        <w:rPr>
          <w:rFonts w:ascii="Times New Roman" w:hAnsiTheme="minorEastAsia" w:eastAsiaTheme="minorEastAsia"/>
          <w:b/>
          <w:bCs/>
          <w:color w:val="000000" w:themeColor="text1"/>
          <w:szCs w:val="24"/>
          <w14:textFill>
            <w14:solidFill>
              <w14:schemeClr w14:val="tx1"/>
            </w14:solidFill>
          </w14:textFill>
        </w:rPr>
        <w:t>1h浓度</w:t>
      </w:r>
      <w:r>
        <w:rPr>
          <w:rFonts w:hint="eastAsia" w:ascii="Times New Roman" w:hAnsiTheme="minorEastAsia" w:eastAsiaTheme="minorEastAsia"/>
          <w:b/>
          <w:bCs/>
          <w:color w:val="000000" w:themeColor="text1"/>
          <w:szCs w:val="24"/>
          <w14:textFill>
            <w14:solidFill>
              <w14:schemeClr w14:val="tx1"/>
            </w14:solidFill>
          </w14:textFill>
        </w:rPr>
        <w:t>贡献值占标率</w:t>
      </w:r>
      <w:r>
        <w:rPr>
          <w:rFonts w:ascii="Times New Roman" w:hAnsiTheme="minorEastAsia" w:eastAsiaTheme="minorEastAsia"/>
          <w:b/>
          <w:bCs/>
          <w:color w:val="000000" w:themeColor="text1"/>
          <w:szCs w:val="24"/>
          <w14:textFill>
            <w14:solidFill>
              <w14:schemeClr w14:val="tx1"/>
            </w14:solidFill>
          </w14:textFill>
        </w:rPr>
        <w:t>达标评价结果表</w:t>
      </w:r>
    </w:p>
    <w:tbl>
      <w:tblPr>
        <w:tblStyle w:val="70"/>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8"/>
        <w:gridCol w:w="1145"/>
        <w:gridCol w:w="1336"/>
        <w:gridCol w:w="1502"/>
        <w:gridCol w:w="1348"/>
        <w:gridCol w:w="1321"/>
        <w:gridCol w:w="14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12"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序号</w:t>
            </w:r>
          </w:p>
        </w:tc>
        <w:tc>
          <w:tcPr>
            <w:tcW w:w="665"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预测点</w:t>
            </w:r>
          </w:p>
        </w:tc>
        <w:tc>
          <w:tcPr>
            <w:tcW w:w="776"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平均时段</w:t>
            </w:r>
          </w:p>
        </w:tc>
        <w:tc>
          <w:tcPr>
            <w:tcW w:w="872"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出现时刻</w:t>
            </w:r>
          </w:p>
        </w:tc>
        <w:tc>
          <w:tcPr>
            <w:tcW w:w="783"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最大贡献浓度（</w:t>
            </w: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w:t>
            </w:r>
          </w:p>
        </w:tc>
        <w:tc>
          <w:tcPr>
            <w:tcW w:w="767" w:type="pct"/>
            <w:tcBorders>
              <w:top w:val="single" w:color="auto" w:sz="12"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占标率（</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w:t>
            </w:r>
          </w:p>
        </w:tc>
        <w:tc>
          <w:tcPr>
            <w:tcW w:w="836" w:type="pct"/>
            <w:tcBorders>
              <w:top w:val="single" w:color="auto" w:sz="12"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66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爱林村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776"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1h平均浓度</w:t>
            </w:r>
          </w:p>
        </w:tc>
        <w:tc>
          <w:tcPr>
            <w:tcW w:w="872"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22122010</w:t>
            </w:r>
          </w:p>
        </w:tc>
        <w:tc>
          <w:tcPr>
            <w:tcW w:w="783"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5.86E-02</w:t>
            </w:r>
          </w:p>
        </w:tc>
        <w:tc>
          <w:tcPr>
            <w:tcW w:w="76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13.02</w:t>
            </w:r>
          </w:p>
        </w:tc>
        <w:tc>
          <w:tcPr>
            <w:tcW w:w="836"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66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和平村</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居民区</w:t>
            </w:r>
          </w:p>
        </w:tc>
        <w:tc>
          <w:tcPr>
            <w:tcW w:w="776"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1h平均浓度</w:t>
            </w:r>
          </w:p>
        </w:tc>
        <w:tc>
          <w:tcPr>
            <w:tcW w:w="872"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22020109</w:t>
            </w:r>
          </w:p>
        </w:tc>
        <w:tc>
          <w:tcPr>
            <w:tcW w:w="783"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4.71E-02</w:t>
            </w:r>
          </w:p>
        </w:tc>
        <w:tc>
          <w:tcPr>
            <w:tcW w:w="76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10.46</w:t>
            </w:r>
          </w:p>
        </w:tc>
        <w:tc>
          <w:tcPr>
            <w:tcW w:w="836"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4" w:space="0"/>
              <w:left w:val="nil"/>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665"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红兴隆局直居民区</w:t>
            </w:r>
          </w:p>
        </w:tc>
        <w:tc>
          <w:tcPr>
            <w:tcW w:w="776"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1h平均浓度</w:t>
            </w:r>
          </w:p>
        </w:tc>
        <w:tc>
          <w:tcPr>
            <w:tcW w:w="872"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22121915</w:t>
            </w:r>
          </w:p>
        </w:tc>
        <w:tc>
          <w:tcPr>
            <w:tcW w:w="783"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9.65E-02</w:t>
            </w:r>
          </w:p>
        </w:tc>
        <w:tc>
          <w:tcPr>
            <w:tcW w:w="767" w:type="pct"/>
            <w:tcBorders>
              <w:top w:val="single" w:color="auto" w:sz="4" w:space="0"/>
              <w:left w:val="single" w:color="auto" w:sz="4" w:space="0"/>
              <w:bottom w:val="single" w:color="auto" w:sz="4"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21.44</w:t>
            </w:r>
          </w:p>
        </w:tc>
        <w:tc>
          <w:tcPr>
            <w:tcW w:w="836" w:type="pct"/>
            <w:tcBorders>
              <w:top w:val="single" w:color="auto" w:sz="4" w:space="0"/>
              <w:left w:val="single" w:color="auto" w:sz="4" w:space="0"/>
              <w:bottom w:val="single" w:color="auto"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1" w:type="pct"/>
            <w:tcBorders>
              <w:top w:val="single" w:color="auto" w:sz="4" w:space="0"/>
              <w:left w:val="nil"/>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665"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网格点最大值</w:t>
            </w:r>
          </w:p>
        </w:tc>
        <w:tc>
          <w:tcPr>
            <w:tcW w:w="776"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1h平均浓度</w:t>
            </w:r>
          </w:p>
        </w:tc>
        <w:tc>
          <w:tcPr>
            <w:tcW w:w="872"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22121915</w:t>
            </w:r>
          </w:p>
        </w:tc>
        <w:tc>
          <w:tcPr>
            <w:tcW w:w="783"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1.16E-01</w:t>
            </w:r>
          </w:p>
        </w:tc>
        <w:tc>
          <w:tcPr>
            <w:tcW w:w="767" w:type="pct"/>
            <w:tcBorders>
              <w:top w:val="single" w:color="auto" w:sz="4" w:space="0"/>
              <w:left w:val="single" w:color="auto" w:sz="4" w:space="0"/>
              <w:bottom w:val="single" w:color="auto" w:sz="12" w:space="0"/>
              <w:right w:val="single" w:color="auto"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25.83</w:t>
            </w:r>
          </w:p>
        </w:tc>
        <w:tc>
          <w:tcPr>
            <w:tcW w:w="836" w:type="pct"/>
            <w:tcBorders>
              <w:top w:val="single" w:color="auto" w:sz="4" w:space="0"/>
              <w:left w:val="single" w:color="auto" w:sz="4" w:space="0"/>
              <w:bottom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bl>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t>5.2.1.9大气环境防护距离</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环境影响评价技术导则大气环境》（HJ2.2-2018）：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根据本项目大气预测计算结果，本项目污染物厂界浓度满足大气污染物厂界浓度限值，且厂界外大气污染物短期贡献浓度未超过环境质量浓度限值，故不需设置大气环境防护距离。</w:t>
      </w:r>
    </w:p>
    <w:p>
      <w:pPr>
        <w:pStyle w:val="89"/>
        <w:ind w:firstLine="180"/>
        <w:rPr>
          <w:color w:val="000000" w:themeColor="text1"/>
          <w:lang w:val="en-US"/>
          <w14:textFill>
            <w14:solidFill>
              <w14:schemeClr w14:val="tx1"/>
            </w14:solidFill>
          </w14:textFill>
        </w:rPr>
      </w:pPr>
    </w:p>
    <w:p>
      <w:pPr>
        <w:pStyle w:val="90"/>
        <w:ind w:firstLine="210"/>
        <w:rPr>
          <w:color w:val="000000" w:themeColor="text1"/>
          <w:lang w:val="en-US"/>
          <w14:textFill>
            <w14:solidFill>
              <w14:schemeClr w14:val="tx1"/>
            </w14:solidFill>
          </w14:textFill>
        </w:rPr>
      </w:pPr>
    </w:p>
    <w:p>
      <w:pPr>
        <w:ind w:firstLine="180"/>
        <w:rPr>
          <w:color w:val="000000" w:themeColor="text1"/>
          <w:lang w:val="en-US"/>
          <w14:textFill>
            <w14:solidFill>
              <w14:schemeClr w14:val="tx1"/>
            </w14:solidFill>
          </w14:textFill>
        </w:rPr>
      </w:pPr>
    </w:p>
    <w:p>
      <w:pPr>
        <w:ind w:firstLine="180"/>
        <w:rPr>
          <w:color w:val="000000" w:themeColor="text1"/>
          <w:lang w:val="en-US"/>
          <w14:textFill>
            <w14:solidFill>
              <w14:schemeClr w14:val="tx1"/>
            </w14:solidFill>
          </w14:textFill>
        </w:rPr>
      </w:pP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5.2.2大气污染物排放量核算</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24  全厂</w:t>
      </w:r>
      <w:r>
        <w:rPr>
          <w:rFonts w:ascii="Times New Roman" w:hAnsiTheme="minorEastAsia" w:eastAsiaTheme="minorEastAsia"/>
          <w:b/>
          <w:bCs/>
          <w:color w:val="000000" w:themeColor="text1"/>
          <w:szCs w:val="24"/>
          <w14:textFill>
            <w14:solidFill>
              <w14:schemeClr w14:val="tx1"/>
            </w14:solidFill>
          </w14:textFill>
        </w:rPr>
        <w:t>有组织排放量核算</w:t>
      </w:r>
    </w:p>
    <w:tbl>
      <w:tblPr>
        <w:tblStyle w:val="70"/>
        <w:tblW w:w="861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6"/>
        <w:gridCol w:w="1295"/>
        <w:gridCol w:w="955"/>
        <w:gridCol w:w="2414"/>
        <w:gridCol w:w="1650"/>
        <w:gridCol w:w="15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129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排放口编号</w:t>
            </w:r>
          </w:p>
        </w:tc>
        <w:tc>
          <w:tcPr>
            <w:tcW w:w="95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w:t>
            </w:r>
          </w:p>
        </w:tc>
        <w:tc>
          <w:tcPr>
            <w:tcW w:w="241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核算排放浓度/（mg/m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16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核算排放速率/（kg/h）</w:t>
            </w:r>
          </w:p>
        </w:tc>
        <w:tc>
          <w:tcPr>
            <w:tcW w:w="156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616" w:type="dxa"/>
            <w:gridSpan w:val="6"/>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主要排放口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6"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295"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DA001</w:t>
            </w:r>
          </w:p>
        </w:tc>
        <w:tc>
          <w:tcPr>
            <w:tcW w:w="95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kern w:val="2"/>
                <w:szCs w:val="24"/>
                <w:vertAlign w:val="subscript"/>
                <w:lang w:bidi="zh-CN"/>
                <w14:textFill>
                  <w14:solidFill>
                    <w14:schemeClr w14:val="tx1"/>
                  </w14:solidFill>
                </w14:textFill>
              </w:rPr>
              <w:t>2</w:t>
            </w:r>
          </w:p>
        </w:tc>
        <w:tc>
          <w:tcPr>
            <w:tcW w:w="241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21.697</w:t>
            </w:r>
          </w:p>
        </w:tc>
        <w:tc>
          <w:tcPr>
            <w:tcW w:w="16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1.756</w:t>
            </w:r>
          </w:p>
        </w:tc>
        <w:tc>
          <w:tcPr>
            <w:tcW w:w="156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6"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9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5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kern w:val="2"/>
                <w:szCs w:val="24"/>
                <w:vertAlign w:val="subscript"/>
                <w:lang w:bidi="zh-CN"/>
                <w14:textFill>
                  <w14:solidFill>
                    <w14:schemeClr w14:val="tx1"/>
                  </w14:solidFill>
                </w14:textFill>
              </w:rPr>
              <w:t>X</w:t>
            </w:r>
          </w:p>
        </w:tc>
        <w:tc>
          <w:tcPr>
            <w:tcW w:w="241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w:t>
            </w:r>
          </w:p>
        </w:tc>
        <w:tc>
          <w:tcPr>
            <w:tcW w:w="16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3.237</w:t>
            </w:r>
          </w:p>
        </w:tc>
        <w:tc>
          <w:tcPr>
            <w:tcW w:w="156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9.479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6"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9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5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p>
        </w:tc>
        <w:tc>
          <w:tcPr>
            <w:tcW w:w="241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3.636</w:t>
            </w:r>
          </w:p>
        </w:tc>
        <w:tc>
          <w:tcPr>
            <w:tcW w:w="16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0.294</w:t>
            </w:r>
          </w:p>
        </w:tc>
        <w:tc>
          <w:tcPr>
            <w:tcW w:w="156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6"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9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5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汞及其化合物</w:t>
            </w:r>
          </w:p>
        </w:tc>
        <w:tc>
          <w:tcPr>
            <w:tcW w:w="241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0.015</w:t>
            </w:r>
          </w:p>
        </w:tc>
        <w:tc>
          <w:tcPr>
            <w:tcW w:w="16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0.001</w:t>
            </w:r>
          </w:p>
        </w:tc>
        <w:tc>
          <w:tcPr>
            <w:tcW w:w="156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36"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9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5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NH</w:t>
            </w:r>
            <w:r>
              <w:rPr>
                <w:rFonts w:ascii="Times New Roman" w:eastAsiaTheme="minorEastAsia"/>
                <w:color w:val="000000" w:themeColor="text1"/>
                <w:kern w:val="2"/>
                <w:szCs w:val="24"/>
                <w:vertAlign w:val="subscript"/>
                <w:lang w:bidi="zh-CN"/>
                <w14:textFill>
                  <w14:solidFill>
                    <w14:schemeClr w14:val="tx1"/>
                  </w14:solidFill>
                </w14:textFill>
              </w:rPr>
              <w:t>3</w:t>
            </w:r>
          </w:p>
        </w:tc>
        <w:tc>
          <w:tcPr>
            <w:tcW w:w="241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w:t>
            </w:r>
          </w:p>
        </w:tc>
        <w:tc>
          <w:tcPr>
            <w:tcW w:w="16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0.202</w:t>
            </w:r>
          </w:p>
        </w:tc>
        <w:tc>
          <w:tcPr>
            <w:tcW w:w="156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31" w:type="dxa"/>
            <w:gridSpan w:val="2"/>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有组织排放合计</w:t>
            </w:r>
          </w:p>
        </w:tc>
        <w:tc>
          <w:tcPr>
            <w:tcW w:w="5019" w:type="dxa"/>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kern w:val="2"/>
                <w:szCs w:val="24"/>
                <w:vertAlign w:val="subscript"/>
                <w:lang w:bidi="zh-CN"/>
                <w14:textFill>
                  <w14:solidFill>
                    <w14:schemeClr w14:val="tx1"/>
                  </w14:solidFill>
                </w14:textFill>
              </w:rPr>
              <w:t>2</w:t>
            </w:r>
          </w:p>
        </w:tc>
        <w:tc>
          <w:tcPr>
            <w:tcW w:w="156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31" w:type="dxa"/>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019" w:type="dxa"/>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kern w:val="2"/>
                <w:szCs w:val="24"/>
                <w:vertAlign w:val="subscript"/>
                <w:lang w:bidi="zh-CN"/>
                <w14:textFill>
                  <w14:solidFill>
                    <w14:schemeClr w14:val="tx1"/>
                  </w14:solidFill>
                </w14:textFill>
              </w:rPr>
              <w:t>X</w:t>
            </w:r>
          </w:p>
        </w:tc>
        <w:tc>
          <w:tcPr>
            <w:tcW w:w="156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9.479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31" w:type="dxa"/>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019" w:type="dxa"/>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p>
        </w:tc>
        <w:tc>
          <w:tcPr>
            <w:tcW w:w="156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31" w:type="dxa"/>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019" w:type="dxa"/>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汞及其化合物</w:t>
            </w:r>
          </w:p>
        </w:tc>
        <w:tc>
          <w:tcPr>
            <w:tcW w:w="156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031" w:type="dxa"/>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019" w:type="dxa"/>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NH</w:t>
            </w:r>
            <w:r>
              <w:rPr>
                <w:rFonts w:ascii="Times New Roman" w:eastAsiaTheme="minorEastAsia"/>
                <w:color w:val="000000" w:themeColor="text1"/>
                <w:kern w:val="2"/>
                <w:szCs w:val="24"/>
                <w:vertAlign w:val="subscript"/>
                <w:lang w:bidi="zh-CN"/>
                <w14:textFill>
                  <w14:solidFill>
                    <w14:schemeClr w14:val="tx1"/>
                  </w14:solidFill>
                </w14:textFill>
              </w:rPr>
              <w:t>3</w:t>
            </w:r>
          </w:p>
        </w:tc>
        <w:tc>
          <w:tcPr>
            <w:tcW w:w="156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0.591</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表</w:t>
      </w:r>
      <w:r>
        <w:rPr>
          <w:rFonts w:ascii="Times New Roman" w:hAnsiTheme="minorEastAsia" w:eastAsiaTheme="minorEastAsia"/>
          <w:b/>
          <w:bCs/>
          <w:color w:val="000000" w:themeColor="text1"/>
          <w:szCs w:val="24"/>
          <w14:textFill>
            <w14:solidFill>
              <w14:schemeClr w14:val="tx1"/>
            </w14:solidFill>
          </w14:textFill>
        </w:rPr>
        <w:t>5-2-</w:t>
      </w:r>
      <w:r>
        <w:rPr>
          <w:rFonts w:hint="eastAsia" w:ascii="Times New Roman" w:hAnsiTheme="minorEastAsia" w:eastAsiaTheme="minorEastAsia"/>
          <w:b/>
          <w:bCs/>
          <w:color w:val="000000" w:themeColor="text1"/>
          <w:szCs w:val="24"/>
          <w14:textFill>
            <w14:solidFill>
              <w14:schemeClr w14:val="tx1"/>
            </w14:solidFill>
          </w14:textFill>
        </w:rPr>
        <w:t>25 本项目大气污染物无组织排放量核算表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73"/>
        <w:gridCol w:w="699"/>
        <w:gridCol w:w="1056"/>
        <w:gridCol w:w="779"/>
        <w:gridCol w:w="126"/>
        <w:gridCol w:w="1124"/>
        <w:gridCol w:w="1944"/>
        <w:gridCol w:w="1222"/>
        <w:gridCol w:w="109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33"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序号</w:t>
            </w:r>
          </w:p>
        </w:tc>
        <w:tc>
          <w:tcPr>
            <w:tcW w:w="40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排放口编号</w:t>
            </w:r>
          </w:p>
        </w:tc>
        <w:tc>
          <w:tcPr>
            <w:tcW w:w="613"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产污环节</w:t>
            </w:r>
          </w:p>
        </w:tc>
        <w:tc>
          <w:tcPr>
            <w:tcW w:w="525" w:type="pct"/>
            <w:gridSpan w:val="2"/>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污染物</w:t>
            </w:r>
          </w:p>
        </w:tc>
        <w:tc>
          <w:tcPr>
            <w:tcW w:w="652"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主要污染防治措施</w:t>
            </w:r>
          </w:p>
        </w:tc>
        <w:tc>
          <w:tcPr>
            <w:tcW w:w="1837"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国家或地方污染物排放标准</w:t>
            </w:r>
          </w:p>
        </w:tc>
        <w:tc>
          <w:tcPr>
            <w:tcW w:w="63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年排放量（</w:t>
            </w:r>
            <w:r>
              <w:rPr>
                <w:rFonts w:ascii="Times New Roman" w:eastAsiaTheme="minorEastAsia"/>
                <w:color w:val="000000" w:themeColor="text1"/>
                <w:sz w:val="21"/>
                <w:szCs w:val="21"/>
                <w14:textFill>
                  <w14:solidFill>
                    <w14:schemeClr w14:val="tx1"/>
                  </w14:solidFill>
                </w14:textFill>
              </w:rPr>
              <w:t>t/a</w:t>
            </w:r>
            <w:r>
              <w:rPr>
                <w:rFonts w:hint="eastAsia"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0" w:type="auto"/>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0" w:type="auto"/>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0" w:type="auto"/>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0" w:type="auto"/>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0" w:type="auto"/>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12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标准名称</w:t>
            </w:r>
          </w:p>
        </w:tc>
        <w:tc>
          <w:tcPr>
            <w:tcW w:w="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浓度限值</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w:t>
            </w:r>
          </w:p>
        </w:tc>
        <w:tc>
          <w:tcPr>
            <w:tcW w:w="0" w:type="auto"/>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33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40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61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储煤场</w:t>
            </w:r>
          </w:p>
        </w:tc>
        <w:tc>
          <w:tcPr>
            <w:tcW w:w="525"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颗粒物</w:t>
            </w:r>
          </w:p>
        </w:tc>
        <w:tc>
          <w:tcPr>
            <w:tcW w:w="65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封闭储煤场</w:t>
            </w:r>
          </w:p>
        </w:tc>
        <w:tc>
          <w:tcPr>
            <w:tcW w:w="112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《大气污染物综合排放标准》</w:t>
            </w:r>
            <w:r>
              <w:rPr>
                <w:rFonts w:ascii="Times New Roman" w:eastAsiaTheme="minorEastAsia"/>
                <w:color w:val="000000" w:themeColor="text1"/>
                <w:sz w:val="21"/>
                <w:szCs w:val="21"/>
                <w14:textFill>
                  <w14:solidFill>
                    <w14:schemeClr w14:val="tx1"/>
                  </w14:solidFill>
                </w14:textFill>
              </w:rPr>
              <w:t>(GB16297-1996)</w:t>
            </w:r>
          </w:p>
        </w:tc>
        <w:tc>
          <w:tcPr>
            <w:tcW w:w="70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r>
              <w:rPr>
                <w:rFonts w:hint="eastAsia" w:ascii="Times New Roman" w:eastAsiaTheme="minorEastAsia"/>
                <w:color w:val="000000" w:themeColor="text1"/>
                <w:sz w:val="21"/>
                <w:szCs w:val="21"/>
                <w14:textFill>
                  <w14:solidFill>
                    <w14:schemeClr w14:val="tx1"/>
                  </w14:solidFill>
                </w14:textFill>
              </w:rPr>
              <w:t>0</w:t>
            </w:r>
          </w:p>
        </w:tc>
        <w:tc>
          <w:tcPr>
            <w:tcW w:w="6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5000" w:type="pct"/>
            <w:gridSpan w:val="9"/>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无组织排放总计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 w:hRule="atLeast"/>
          <w:jc w:val="center"/>
        </w:trPr>
        <w:tc>
          <w:tcPr>
            <w:tcW w:w="1804" w:type="pct"/>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无组织排放总计</w:t>
            </w:r>
          </w:p>
        </w:tc>
        <w:tc>
          <w:tcPr>
            <w:tcW w:w="2562" w:type="pct"/>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颗粒物</w:t>
            </w:r>
          </w:p>
        </w:tc>
        <w:tc>
          <w:tcPr>
            <w:tcW w:w="63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w:t>
            </w:r>
            <w:r>
              <w:rPr>
                <w:rFonts w:hint="eastAsia" w:ascii="Times New Roman" w:eastAsiaTheme="minorEastAsia"/>
                <w:color w:val="000000" w:themeColor="text1"/>
                <w:sz w:val="21"/>
                <w:szCs w:val="21"/>
                <w14:textFill>
                  <w14:solidFill>
                    <w14:schemeClr w14:val="tx1"/>
                  </w14:solidFill>
                </w14:textFill>
              </w:rPr>
              <w:t>064</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26  全厂</w:t>
      </w:r>
      <w:r>
        <w:rPr>
          <w:rFonts w:ascii="Times New Roman" w:hAnsiTheme="minorEastAsia" w:eastAsiaTheme="minorEastAsia"/>
          <w:b/>
          <w:bCs/>
          <w:color w:val="000000" w:themeColor="text1"/>
          <w:szCs w:val="24"/>
          <w14:textFill>
            <w14:solidFill>
              <w14:schemeClr w14:val="tx1"/>
            </w14:solidFill>
          </w14:textFill>
        </w:rPr>
        <w:t>大气污染物年排放量核算表</w:t>
      </w:r>
    </w:p>
    <w:tbl>
      <w:tblPr>
        <w:tblStyle w:val="70"/>
        <w:tblW w:w="861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72"/>
        <w:gridCol w:w="2872"/>
        <w:gridCol w:w="28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72"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2872"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w:t>
            </w:r>
          </w:p>
        </w:tc>
        <w:tc>
          <w:tcPr>
            <w:tcW w:w="2872"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年排放量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72"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287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kern w:val="2"/>
                <w:szCs w:val="24"/>
                <w:vertAlign w:val="subscript"/>
                <w:lang w:bidi="zh-CN"/>
                <w14:textFill>
                  <w14:solidFill>
                    <w14:schemeClr w14:val="tx1"/>
                  </w14:solidFill>
                </w14:textFill>
              </w:rPr>
              <w:t>2</w:t>
            </w:r>
          </w:p>
        </w:tc>
        <w:tc>
          <w:tcPr>
            <w:tcW w:w="287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72"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287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kern w:val="2"/>
                <w:szCs w:val="24"/>
                <w:vertAlign w:val="subscript"/>
                <w:lang w:bidi="zh-CN"/>
                <w14:textFill>
                  <w14:solidFill>
                    <w14:schemeClr w14:val="tx1"/>
                  </w14:solidFill>
                </w14:textFill>
              </w:rPr>
              <w:t>X</w:t>
            </w:r>
          </w:p>
        </w:tc>
        <w:tc>
          <w:tcPr>
            <w:tcW w:w="287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9.479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72"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287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p>
        </w:tc>
        <w:tc>
          <w:tcPr>
            <w:tcW w:w="287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72"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287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工业粉尘</w:t>
            </w:r>
          </w:p>
        </w:tc>
        <w:tc>
          <w:tcPr>
            <w:tcW w:w="287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0.064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72"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w:t>
            </w:r>
          </w:p>
        </w:tc>
        <w:tc>
          <w:tcPr>
            <w:tcW w:w="287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汞及其化合物</w:t>
            </w:r>
          </w:p>
        </w:tc>
        <w:tc>
          <w:tcPr>
            <w:tcW w:w="287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72" w:type="dxa"/>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w:t>
            </w:r>
          </w:p>
        </w:tc>
        <w:tc>
          <w:tcPr>
            <w:tcW w:w="287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NH3</w:t>
            </w:r>
          </w:p>
        </w:tc>
        <w:tc>
          <w:tcPr>
            <w:tcW w:w="287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0.591</w:t>
            </w:r>
          </w:p>
        </w:tc>
      </w:tr>
    </w:tbl>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5.2.3自行监测计划</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w:t>
      </w:r>
      <w:r>
        <w:rPr>
          <w:rFonts w:hint="eastAsia" w:ascii="Times New Roman" w:hAnsiTheme="minorEastAsia" w:eastAsiaTheme="minorEastAsia"/>
          <w:b/>
          <w:bCs/>
          <w:color w:val="000000" w:themeColor="text1"/>
          <w:szCs w:val="24"/>
          <w14:textFill>
            <w14:solidFill>
              <w14:schemeClr w14:val="tx1"/>
            </w14:solidFill>
          </w14:textFill>
        </w:rPr>
        <w:t xml:space="preserve">27  </w:t>
      </w:r>
      <w:r>
        <w:rPr>
          <w:rFonts w:ascii="Times New Roman" w:hAnsiTheme="minorEastAsia" w:eastAsiaTheme="minorEastAsia"/>
          <w:b/>
          <w:bCs/>
          <w:color w:val="000000" w:themeColor="text1"/>
          <w:szCs w:val="24"/>
          <w14:textFill>
            <w14:solidFill>
              <w14:schemeClr w14:val="tx1"/>
            </w14:solidFill>
          </w14:textFill>
        </w:rPr>
        <w:t>有组织废气监测方案</w:t>
      </w:r>
    </w:p>
    <w:tbl>
      <w:tblPr>
        <w:tblStyle w:val="7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54"/>
        <w:gridCol w:w="2154"/>
        <w:gridCol w:w="1242"/>
        <w:gridCol w:w="30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监测点位</w:t>
            </w:r>
          </w:p>
        </w:tc>
        <w:tc>
          <w:tcPr>
            <w:tcW w:w="21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监测指标</w:t>
            </w:r>
          </w:p>
        </w:tc>
        <w:tc>
          <w:tcPr>
            <w:tcW w:w="12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监测频次</w:t>
            </w:r>
          </w:p>
        </w:tc>
        <w:tc>
          <w:tcPr>
            <w:tcW w:w="306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烟囱外排口监测点</w:t>
            </w:r>
          </w:p>
        </w:tc>
        <w:tc>
          <w:tcPr>
            <w:tcW w:w="21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汞及其化合物、林格曼黑度</w:t>
            </w:r>
          </w:p>
        </w:tc>
        <w:tc>
          <w:tcPr>
            <w:tcW w:w="12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季度</w:t>
            </w:r>
          </w:p>
        </w:tc>
        <w:tc>
          <w:tcPr>
            <w:tcW w:w="306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《锅炉大气污染物排放标准》（GB13271-2014）中表 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在线监测</w:t>
            </w:r>
          </w:p>
        </w:tc>
        <w:tc>
          <w:tcPr>
            <w:tcW w:w="215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颗粒物、SO2、NOX</w:t>
            </w:r>
          </w:p>
        </w:tc>
        <w:tc>
          <w:tcPr>
            <w:tcW w:w="12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连续监测</w:t>
            </w:r>
          </w:p>
        </w:tc>
        <w:tc>
          <w:tcPr>
            <w:tcW w:w="306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《关于印发&lt;全面实施燃煤电厂超低排放和节能改造工作方案&gt;的通知》（环发 [2015]164号）要求，达到超低排放限值（在基准氧含量6%条件下，烟尘、SO</w:t>
            </w:r>
            <w:r>
              <w:rPr>
                <w:rFonts w:ascii="Times New Roman" w:eastAsiaTheme="minorEastAsia"/>
                <w:color w:val="000000" w:themeColor="text1"/>
                <w:sz w:val="21"/>
                <w:szCs w:val="21"/>
                <w:vertAlign w:val="subscript"/>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、NOx排放浓度分别不高于10mg/m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、35mg/m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、50mg/m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表5-2-2</w:t>
      </w:r>
      <w:r>
        <w:rPr>
          <w:rFonts w:hint="eastAsia" w:ascii="Times New Roman" w:hAnsiTheme="minorEastAsia" w:eastAsiaTheme="minorEastAsia"/>
          <w:b/>
          <w:bCs/>
          <w:color w:val="000000" w:themeColor="text1"/>
          <w:szCs w:val="24"/>
          <w14:textFill>
            <w14:solidFill>
              <w14:schemeClr w14:val="tx1"/>
            </w14:solidFill>
          </w14:textFill>
        </w:rPr>
        <w:t xml:space="preserve">8  </w:t>
      </w:r>
      <w:r>
        <w:rPr>
          <w:rFonts w:ascii="Times New Roman" w:hAnsiTheme="minorEastAsia" w:eastAsiaTheme="minorEastAsia"/>
          <w:b/>
          <w:bCs/>
          <w:color w:val="000000" w:themeColor="text1"/>
          <w:szCs w:val="24"/>
          <w14:textFill>
            <w14:solidFill>
              <w14:schemeClr w14:val="tx1"/>
            </w14:solidFill>
          </w14:textFill>
        </w:rPr>
        <w:t>无组织废气监测方案</w:t>
      </w:r>
    </w:p>
    <w:tbl>
      <w:tblPr>
        <w:tblStyle w:val="70"/>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5"/>
        <w:gridCol w:w="1541"/>
        <w:gridCol w:w="1595"/>
        <w:gridCol w:w="38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9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监测点位</w:t>
            </w:r>
          </w:p>
        </w:tc>
        <w:tc>
          <w:tcPr>
            <w:tcW w:w="154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监测指标</w:t>
            </w:r>
          </w:p>
        </w:tc>
        <w:tc>
          <w:tcPr>
            <w:tcW w:w="159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监测频次</w:t>
            </w:r>
          </w:p>
        </w:tc>
        <w:tc>
          <w:tcPr>
            <w:tcW w:w="38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执行排放标准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9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w:t>
            </w:r>
          </w:p>
        </w:tc>
        <w:tc>
          <w:tcPr>
            <w:tcW w:w="154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r>
              <w:rPr>
                <w:rFonts w:hint="eastAsia" w:ascii="Times New Roman" w:eastAsiaTheme="minorEastAsia"/>
                <w:color w:val="000000" w:themeColor="text1"/>
                <w:sz w:val="21"/>
                <w:szCs w:val="21"/>
                <w14:textFill>
                  <w14:solidFill>
                    <w14:schemeClr w14:val="tx1"/>
                  </w14:solidFill>
                </w14:textFill>
              </w:rPr>
              <w:t>、氨</w:t>
            </w:r>
          </w:p>
        </w:tc>
        <w:tc>
          <w:tcPr>
            <w:tcW w:w="159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季度</w:t>
            </w:r>
          </w:p>
        </w:tc>
        <w:tc>
          <w:tcPr>
            <w:tcW w:w="38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《大气污染物综合排放标准》（GB16297-1996）表2无组织排放监控浓度限值</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《恶臭污染物排放标准》（GB14554-93）周界外浓度最高点1.5mg/m</w:t>
            </w:r>
            <w:r>
              <w:rPr>
                <w:rFonts w:ascii="Times New Roman" w:eastAsiaTheme="minorEastAsia"/>
                <w:color w:val="000000" w:themeColor="text1"/>
                <w:sz w:val="21"/>
                <w:szCs w:val="21"/>
                <w:vertAlign w:val="superscript"/>
                <w14:textFill>
                  <w14:solidFill>
                    <w14:schemeClr w14:val="tx1"/>
                  </w14:solidFill>
                </w14:textFill>
              </w:rPr>
              <w:t>3</w:t>
            </w:r>
          </w:p>
        </w:tc>
      </w:tr>
    </w:tbl>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5.2.4烟囱高度合理性分析</w:t>
      </w:r>
      <w:bookmarkEnd w:id="229"/>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根据《锅炉大气污染物排放标准》（GB13271-2014），本项目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烟囱</w:t>
      </w:r>
      <w:r>
        <w:rPr>
          <w:rFonts w:ascii="Times New Roman" w:hAnsi="Times New Roman" w:cs="Times New Roman" w:eastAsiaTheme="minorEastAsia"/>
          <w:color w:val="000000" w:themeColor="text1"/>
          <w:sz w:val="24"/>
          <w:szCs w:val="24"/>
          <w:lang w:val="en-US"/>
          <w14:textFill>
            <w14:solidFill>
              <w14:schemeClr w14:val="tx1"/>
            </w14:solidFill>
          </w14:textFill>
        </w:rPr>
        <w:t>高度必须大于45m，烟囱高于周围200m内最高建筑物3m以上。本项目烟囱高度为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100</w:t>
      </w:r>
      <w:r>
        <w:rPr>
          <w:rFonts w:ascii="Times New Roman" w:hAnsi="Times New Roman" w:cs="Times New Roman" w:eastAsiaTheme="minorEastAsia"/>
          <w:color w:val="000000" w:themeColor="text1"/>
          <w:sz w:val="24"/>
          <w:szCs w:val="24"/>
          <w:lang w:val="en-US"/>
          <w14:textFill>
            <w14:solidFill>
              <w14:schemeClr w14:val="tx1"/>
            </w14:solidFill>
          </w14:textFill>
        </w:rPr>
        <w:t>m，周围200m范围内无高建筑物，因此烟囱高度符合标准要求。</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综上所述，本项目烟囱设施合理。</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244" w:name="_Toc200521884"/>
      <w:bookmarkStart w:id="245" w:name="_Toc198039507"/>
      <w:bookmarkStart w:id="246" w:name="_Toc203379402"/>
      <w:bookmarkStart w:id="247" w:name="_Toc4653"/>
      <w:r>
        <w:rPr>
          <w:rFonts w:ascii="Times New Roman" w:hAnsi="Times New Roman" w:eastAsia="新宋体" w:cstheme="minorBidi"/>
          <w:color w:val="000000" w:themeColor="text1"/>
          <w:szCs w:val="24"/>
          <w:lang w:val="en-US" w:bidi="ar-SA"/>
          <w14:textFill>
            <w14:solidFill>
              <w14:schemeClr w14:val="tx1"/>
            </w14:solidFill>
          </w14:textFill>
        </w:rPr>
        <w:t>5.2.5评价结论</w:t>
      </w:r>
      <w:bookmarkEnd w:id="244"/>
      <w:bookmarkEnd w:id="245"/>
      <w:bookmarkEnd w:id="246"/>
      <w:bookmarkEnd w:id="247"/>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（1）根据有组织废气排放量核算结果，可知本项目锅炉产生的大气污染物排放浓度均能满足《关于印发&lt;全面实施燃煤电厂超低排放和节能改造工作方案&gt;的通知》（环发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、35mg/m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）。厂区无组织排放源采取的污染防治措施，厂界颗粒物浓度可满足《大气污染物综合排放标准》（GB16297-1996）表2中无组织排放监控浓度限值1.0mg/m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的要求。</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）新增污染源正常排放下SO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10</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TS</w:t>
      </w:r>
      <w:r>
        <w:rPr>
          <w:rFonts w:ascii="Times New Roman" w:hAnsi="Times New Roman" w:cs="Times New Roman" w:eastAsiaTheme="minorEastAsia"/>
          <w:color w:val="000000" w:themeColor="text1"/>
          <w:sz w:val="24"/>
          <w:szCs w:val="24"/>
          <w:lang w:val="en-US"/>
          <w14:textFill>
            <w14:solidFill>
              <w14:schemeClr w14:val="tx1"/>
            </w14:solidFill>
          </w14:textFill>
        </w:rPr>
        <w:t>P</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、Hg、NH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短期浓度及长期浓度的最大浓度贡献值达标。</w:t>
      </w:r>
      <w:r>
        <w:rPr>
          <w:rFonts w:ascii="Times New Roman" w:hAnsi="Times New Roman" w:cs="Times New Roman" w:eastAsiaTheme="minorEastAsia"/>
          <w:color w:val="000000" w:themeColor="text1"/>
          <w:sz w:val="24"/>
          <w:szCs w:val="24"/>
          <w:lang w:val="en-US"/>
          <w14:textFill>
            <w14:solidFill>
              <w14:schemeClr w14:val="tx1"/>
            </w14:solidFill>
          </w14:textFill>
        </w:rPr>
        <w:t>叠加环境质量现状后的保证率日平均质量浓度</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及</w:t>
      </w:r>
      <w:r>
        <w:rPr>
          <w:rFonts w:ascii="Times New Roman" w:hAnsi="Times New Roman" w:cs="Times New Roman" w:eastAsiaTheme="minorEastAsia"/>
          <w:color w:val="000000" w:themeColor="text1"/>
          <w:sz w:val="24"/>
          <w:szCs w:val="24"/>
          <w:lang w:val="en-US"/>
          <w14:textFill>
            <w14:solidFill>
              <w14:schemeClr w14:val="tx1"/>
            </w14:solidFill>
          </w14:textFill>
        </w:rPr>
        <w:t>年平均质量浓度</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均</w:t>
      </w:r>
      <w:r>
        <w:rPr>
          <w:rFonts w:ascii="Times New Roman" w:hAnsi="Times New Roman" w:cs="Times New Roman" w:eastAsiaTheme="minorEastAsia"/>
          <w:color w:val="000000" w:themeColor="text1"/>
          <w:sz w:val="24"/>
          <w:szCs w:val="24"/>
          <w:lang w:val="en-US"/>
          <w14:textFill>
            <w14:solidFill>
              <w14:schemeClr w14:val="tx1"/>
            </w14:solidFill>
          </w14:textFill>
        </w:rPr>
        <w:t>能够满足《环境空气质量标准》（GB3095-2012）中二级标准限值的要求</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叠加环境质量现状后的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TS</w:t>
      </w:r>
      <w:r>
        <w:rPr>
          <w:rFonts w:ascii="Times New Roman" w:hAnsi="Times New Roman" w:cs="Times New Roman" w:eastAsiaTheme="minorEastAsia"/>
          <w:color w:val="000000" w:themeColor="text1"/>
          <w:sz w:val="24"/>
          <w:szCs w:val="24"/>
          <w:lang w:val="en-US"/>
          <w14:textFill>
            <w14:solidFill>
              <w14:schemeClr w14:val="tx1"/>
            </w14:solidFill>
          </w14:textFill>
        </w:rPr>
        <w:t>P</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短期浓度均</w:t>
      </w:r>
      <w:r>
        <w:rPr>
          <w:rFonts w:ascii="Times New Roman" w:hAnsi="Times New Roman" w:cs="Times New Roman" w:eastAsiaTheme="minorEastAsia"/>
          <w:color w:val="000000" w:themeColor="text1"/>
          <w:sz w:val="24"/>
          <w:szCs w:val="24"/>
          <w:lang w:val="en-US"/>
          <w14:textFill>
            <w14:solidFill>
              <w14:schemeClr w14:val="tx1"/>
            </w14:solidFill>
          </w14:textFill>
        </w:rPr>
        <w:t>能够满足《环境空气质量标准》（GB3095-2012）中二级标准限值的要求。新增污染源</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非</w:t>
      </w:r>
      <w:r>
        <w:rPr>
          <w:rFonts w:ascii="Times New Roman" w:hAnsi="Times New Roman" w:cs="Times New Roman" w:eastAsiaTheme="minorEastAsia"/>
          <w:color w:val="000000" w:themeColor="text1"/>
          <w:sz w:val="24"/>
          <w:szCs w:val="24"/>
          <w:lang w:val="en-US"/>
          <w14:textFill>
            <w14:solidFill>
              <w14:schemeClr w14:val="tx1"/>
            </w14:solidFill>
          </w14:textFill>
        </w:rPr>
        <w:t>正常排放下SO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10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1小时平均质量浓度贡献值达标。</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）根据本项目大气预测计算结果，本项目污染物厂界浓度满足大气污染物厂界浓度限值，且厂界外大气污染物短期贡献浓度未超过环境质量浓度限值，故不需设置大气环境防护距离。</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（4）本项目</w:t>
      </w:r>
      <w:r>
        <w:rPr>
          <w:rFonts w:ascii="Times New Roman" w:hAnsi="Times New Roman" w:cs="Times New Roman" w:eastAsiaTheme="minorEastAsia"/>
          <w:color w:val="000000" w:themeColor="text1"/>
          <w:sz w:val="24"/>
          <w:szCs w:val="24"/>
          <w:lang w:val="en-US"/>
          <w14:textFill>
            <w14:solidFill>
              <w14:schemeClr w14:val="tx1"/>
            </w14:solidFill>
          </w14:textFill>
        </w:rPr>
        <w:t>新扩建的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70</w:t>
      </w:r>
      <w:r>
        <w:rPr>
          <w:rFonts w:ascii="Times New Roman" w:hAnsi="Times New Roman" w:cs="Times New Roman" w:eastAsiaTheme="minorEastAsia"/>
          <w:color w:val="000000" w:themeColor="text1"/>
          <w:sz w:val="24"/>
          <w:szCs w:val="24"/>
          <w:lang w:val="en-US"/>
          <w14:textFill>
            <w14:solidFill>
              <w14:schemeClr w14:val="tx1"/>
            </w14:solidFill>
          </w14:textFill>
        </w:rPr>
        <w:t>MW锅炉配备布袋除尘器，除尘效率不低于99.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5%；配备湿式镁法脱硫塔除尘脱硫系统，脱硫效率不低于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95</w:t>
      </w:r>
      <w:r>
        <w:rPr>
          <w:rFonts w:ascii="Times New Roman" w:hAnsi="Times New Roman" w:cs="Times New Roman" w:eastAsiaTheme="minorEastAsia"/>
          <w:color w:val="000000" w:themeColor="text1"/>
          <w:sz w:val="24"/>
          <w:szCs w:val="24"/>
          <w:lang w:val="en-US"/>
          <w14:textFill>
            <w14:solidFill>
              <w14:schemeClr w14:val="tx1"/>
            </w14:solidFill>
          </w14:textFill>
        </w:rPr>
        <w:t>%；配备</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低氮燃烧和</w:t>
      </w:r>
      <w:r>
        <w:rPr>
          <w:rFonts w:ascii="Times New Roman" w:hAnsi="Times New Roman" w:cs="Times New Roman" w:eastAsiaTheme="minorEastAsia"/>
          <w:color w:val="000000" w:themeColor="text1"/>
          <w:sz w:val="24"/>
          <w:szCs w:val="24"/>
          <w:lang w:val="en-US"/>
          <w14:textFill>
            <w14:solidFill>
              <w14:schemeClr w14:val="tx1"/>
            </w14:solidFill>
          </w14:textFill>
        </w:rPr>
        <w:t>SNCR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-SCR联合</w:t>
      </w:r>
      <w:r>
        <w:rPr>
          <w:rFonts w:ascii="Times New Roman" w:hAnsi="Times New Roman" w:cs="Times New Roman" w:eastAsiaTheme="minorEastAsia"/>
          <w:color w:val="000000" w:themeColor="text1"/>
          <w:sz w:val="24"/>
          <w:szCs w:val="24"/>
          <w:lang w:val="en-US"/>
          <w14:textFill>
            <w14:solidFill>
              <w14:schemeClr w14:val="tx1"/>
            </w14:solidFill>
          </w14:textFill>
        </w:rPr>
        <w:t>脱硝系统，脱硝效率不低于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80</w:t>
      </w:r>
      <w:r>
        <w:rPr>
          <w:rFonts w:ascii="Times New Roman" w:hAnsi="Times New Roman" w:cs="Times New Roman" w:eastAsiaTheme="minorEastAsia"/>
          <w:color w:val="000000" w:themeColor="text1"/>
          <w:sz w:val="24"/>
          <w:szCs w:val="24"/>
          <w:lang w:val="en-US"/>
          <w14:textFill>
            <w14:solidFill>
              <w14:schemeClr w14:val="tx1"/>
            </w14:solidFill>
          </w14:textFill>
        </w:rPr>
        <w:t>%。烟气</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由</w:t>
      </w:r>
      <w:r>
        <w:rPr>
          <w:rFonts w:ascii="Times New Roman" w:hAnsi="Times New Roman" w:cs="Times New Roman" w:eastAsiaTheme="minorEastAsia"/>
          <w:color w:val="000000" w:themeColor="text1"/>
          <w:sz w:val="24"/>
          <w:szCs w:val="24"/>
          <w:lang w:val="en-US"/>
          <w14:textFill>
            <w14:solidFill>
              <w14:schemeClr w14:val="tx1"/>
            </w14:solidFill>
          </w14:textFill>
        </w:rPr>
        <w:t>厂区原有高</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100</w:t>
      </w:r>
      <w:r>
        <w:rPr>
          <w:rFonts w:ascii="Times New Roman" w:hAnsi="Times New Roman" w:cs="Times New Roman" w:eastAsiaTheme="minorEastAsia"/>
          <w:color w:val="000000" w:themeColor="text1"/>
          <w:sz w:val="24"/>
          <w:szCs w:val="24"/>
          <w:lang w:val="en-US"/>
          <w14:textFill>
            <w14:solidFill>
              <w14:schemeClr w14:val="tx1"/>
            </w14:solidFill>
          </w14:textFill>
        </w:rPr>
        <w:t>m、出口内径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3.0</w:t>
      </w:r>
      <w:r>
        <w:rPr>
          <w:rFonts w:ascii="Times New Roman" w:hAnsi="Times New Roman" w:cs="Times New Roman" w:eastAsiaTheme="minorEastAsia"/>
          <w:color w:val="000000" w:themeColor="text1"/>
          <w:sz w:val="24"/>
          <w:szCs w:val="24"/>
          <w:lang w:val="en-US"/>
          <w14:textFill>
            <w14:solidFill>
              <w14:schemeClr w14:val="tx1"/>
            </w14:solidFill>
          </w14:textFill>
        </w:rPr>
        <w:t>m的烟囱排放。厂区内原有输煤系统的筛分、破碎、输送环节均已采用封闭措施，环锤破碎机和振动筛完全封闭于室内，产生的煤尘不外泄；输送过程采用封闭煤廊带式输送机输送。本项目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储煤场及灰渣场均为半封闭结构，能够有效减少无组织粉尘溢</w:t>
      </w:r>
      <w:r>
        <w:rPr>
          <w:rFonts w:ascii="Times New Roman" w:hAnsi="Times New Roman" w:cs="Times New Roman" w:eastAsiaTheme="minorEastAsia"/>
          <w:color w:val="000000" w:themeColor="text1"/>
          <w:sz w:val="24"/>
          <w:szCs w:val="24"/>
          <w:lang w:val="en-US"/>
          <w14:textFill>
            <w14:solidFill>
              <w14:schemeClr w14:val="tx1"/>
            </w14:solidFill>
          </w14:textFill>
        </w:rPr>
        <w:t>散。根据《排污许可证申请与核发技术规范锅炉》（HJ953-2018），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本项目所采取的污染防治措施均为可行性措施。</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综上所述，本项目建设的环境影响可被接受。</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248" w:name="_Toc162605183"/>
      <w:r>
        <w:rPr>
          <w:rFonts w:ascii="Times New Roman" w:hAnsi="Times New Roman" w:cs="Times New Roman" w:eastAsiaTheme="minorEastAsia"/>
          <w:color w:val="000000" w:themeColor="text1"/>
          <w:szCs w:val="24"/>
          <w:lang w:val="en-US" w:bidi="ar-SA"/>
          <w14:textFill>
            <w14:solidFill>
              <w14:schemeClr w14:val="tx1"/>
            </w14:solidFill>
          </w14:textFill>
        </w:rPr>
        <w:t>5.3地表水环境影响评价</w:t>
      </w:r>
      <w:bookmarkEnd w:id="248"/>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根据《环境影响评价技术导则 地表水环境》(HJ2.3-2018)中“5.2 评价等级确定”章节中“表1 水污染影响型建设项目评价等级判定”注9、注10。本项目地表水环境评价等级为三级B。根据《环境影响评价技术导则 地表水环境》（HJ2.3-2018）规定，本项目只需进行水污染控制和水环境影响减缓措施有效性评价和依托污水处理设施的环境可行性评价。</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（1）水污染控制和水环境影响减缓措施有效性评价</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建成后，运行过程中产生的废水主要是锅炉定期排水等，锅炉排污主要是热污染，且含有一定碱度和溶解性固体；软化水处理系统排水主要含钙、镁等离子及少量机械杂质，这些废水不含有毒有害成分。锅炉定期排水回用于厂区冲渣、脱硫、降尘，生产废水均回用不外排。建设单位在厂区设置1座25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的初期雨水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收集池，收集雨季初期雨水，初期雨水用于储煤场洒水降尘。厂区内部设置雨水管网，雨水排入周边雨水管网。</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本项目不新增劳动定员，不新增生活污水排放。</w:t>
      </w:r>
      <w:r>
        <w:rPr>
          <w:rFonts w:ascii="Times New Roman" w:hAnsi="Times New Roman" w:cs="Times New Roman" w:eastAsiaTheme="minorEastAsia"/>
          <w:color w:val="000000" w:themeColor="text1"/>
          <w:sz w:val="24"/>
          <w:szCs w:val="24"/>
          <w:lang w:val="en-US"/>
          <w14:textFill>
            <w14:solidFill>
              <w14:schemeClr w14:val="tx1"/>
            </w14:solidFill>
          </w14:textFill>
        </w:rPr>
        <w:t>生活污水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排入</w:t>
      </w:r>
      <w:r>
        <w:rPr>
          <w:rFonts w:ascii="Times New Roman" w:hAnsi="Times New Roman" w:cs="Times New Roman" w:eastAsiaTheme="minorEastAsia"/>
          <w:color w:val="000000" w:themeColor="text1"/>
          <w:sz w:val="24"/>
          <w:szCs w:val="24"/>
          <w:lang w:val="en-US"/>
          <w14:textFill>
            <w14:solidFill>
              <w14:schemeClr w14:val="tx1"/>
            </w14:solidFill>
          </w14:textFill>
        </w:rPr>
        <w:t>防渗化粪池</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，定期清运至黑龙江红兴隆农垦清洁污水处理有限公司（集中污水处理厂）进行处理。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（2）依托污水处理设施的环境可行性评价</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黑龙江红兴隆农垦清洁污水处理有限公司位于黑龙江省双鸭山市友谊县红兴隆管理局局直扁石河以东冷冻厂以西1100米处，负责处理双鸭山市友谊县红兴隆管理局局直区域城镇生活污水。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黑龙江红兴隆农垦清洁污水处理有限公司污水处理能力为6000m3/d，污水处理工艺采用“厌氧+缺氧+好氧+消毒”处理工艺，</w:t>
      </w:r>
      <w:r>
        <w:rPr>
          <w:rFonts w:ascii="Times New Roman" w:hAnsi="Times New Roman" w:cs="Times New Roman" w:eastAsiaTheme="minorEastAsia"/>
          <w:color w:val="000000" w:themeColor="text1"/>
          <w:sz w:val="24"/>
          <w:szCs w:val="24"/>
          <w:lang w:val="en-US"/>
          <w14:textFill>
            <w14:solidFill>
              <w14:schemeClr w14:val="tx1"/>
            </w14:solidFill>
          </w14:textFill>
        </w:rPr>
        <w:t>排水水质达到《城镇污水处理厂污染物排放标准》（GB18918-2002）中一级A标准后排放</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至外七星河，排污口批复文号为：双排污口许可【2021】2号。具体污水处理工艺流程见下图。</w:t>
      </w:r>
    </w:p>
    <w:p>
      <w:pPr>
        <w:ind w:firstLine="180"/>
        <w:rPr>
          <w:rFonts w:cs="Times New Roman" w:hAnsiTheme="minorEastAsia"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28896" behindDoc="0" locked="0" layoutInCell="1" allowOverlap="1">
            <wp:simplePos x="0" y="0"/>
            <wp:positionH relativeFrom="column">
              <wp:posOffset>543560</wp:posOffset>
            </wp:positionH>
            <wp:positionV relativeFrom="paragraph">
              <wp:posOffset>60325</wp:posOffset>
            </wp:positionV>
            <wp:extent cx="4446905" cy="4010025"/>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4447195" cy="4010025"/>
                    </a:xfrm>
                    <a:prstGeom prst="rect">
                      <a:avLst/>
                    </a:prstGeom>
                  </pic:spPr>
                </pic:pic>
              </a:graphicData>
            </a:graphic>
          </wp:anchor>
        </w:drawing>
      </w: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5-</w:t>
      </w:r>
      <w:r>
        <w:rPr>
          <w:rFonts w:hint="eastAsia" w:ascii="Times New Roman" w:hAnsiTheme="minorEastAsia" w:eastAsiaTheme="minorEastAsia"/>
          <w:b/>
          <w:bCs/>
          <w:color w:val="000000" w:themeColor="text1"/>
          <w:szCs w:val="24"/>
          <w14:textFill>
            <w14:solidFill>
              <w14:schemeClr w14:val="tx1"/>
            </w14:solidFill>
          </w14:textFill>
        </w:rPr>
        <w:t>3</w:t>
      </w:r>
      <w:r>
        <w:rPr>
          <w:rFonts w:ascii="Times New Roman" w:hAnsiTheme="minorEastAsia" w:eastAsiaTheme="minorEastAsia"/>
          <w:b/>
          <w:bCs/>
          <w:color w:val="000000" w:themeColor="text1"/>
          <w:szCs w:val="24"/>
          <w14:textFill>
            <w14:solidFill>
              <w14:schemeClr w14:val="tx1"/>
            </w14:solidFill>
          </w14:textFill>
        </w:rPr>
        <w:t>-</w:t>
      </w:r>
      <w:r>
        <w:rPr>
          <w:rFonts w:hint="eastAsia" w:ascii="Times New Roman" w:hAnsiTheme="minorEastAsia" w:eastAsiaTheme="minorEastAsia"/>
          <w:b/>
          <w:bCs/>
          <w:color w:val="000000" w:themeColor="text1"/>
          <w:szCs w:val="24"/>
          <w14:textFill>
            <w14:solidFill>
              <w14:schemeClr w14:val="tx1"/>
            </w14:solidFill>
          </w14:textFill>
        </w:rPr>
        <w:t>1  污水处理厂污水处理工艺流程图</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黑龙江红兴隆农垦清洁污水处理有限公司目前污水处理量为1800 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/d，剩余污水处理能力为4200 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/d，本项目生活污水排放量</w:t>
      </w:r>
      <w:r>
        <w:rPr>
          <w:rFonts w:ascii="Times New Roman" w:hAnsi="Times New Roman" w:cs="Times New Roman" w:eastAsiaTheme="minorEastAsia"/>
          <w:color w:val="000000" w:themeColor="text1"/>
          <w:sz w:val="24"/>
          <w:szCs w:val="24"/>
          <w:lang w:val="en-US"/>
          <w14:textFill>
            <w14:solidFill>
              <w14:schemeClr w14:val="tx1"/>
            </w14:solidFill>
          </w14:textFill>
        </w:rPr>
        <w:t>占污水处理厂可纳污空间很小，且项目排水指标浓度满足污水处理厂设计进水指标，不会对污水处理厂的运行负荷造成冲击。因此</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黑龙江红兴隆农垦清洁污水处理</w:t>
      </w:r>
      <w:r>
        <w:rPr>
          <w:rFonts w:ascii="Times New Roman" w:hAnsi="Times New Roman" w:cs="Times New Roman" w:eastAsiaTheme="minorEastAsia"/>
          <w:color w:val="000000" w:themeColor="text1"/>
          <w:sz w:val="24"/>
          <w:szCs w:val="24"/>
          <w:lang w:val="en-US"/>
          <w14:textFill>
            <w14:solidFill>
              <w14:schemeClr w14:val="tx1"/>
            </w14:solidFill>
          </w14:textFill>
        </w:rPr>
        <w:t>厂完全有能力接纳并处理项目废水，并使项目废水得到充分处理，项目废水治理排放方案合理可行。经过污水处理厂集中处理后，污染物排海量很小，对</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周边地表水体</w:t>
      </w:r>
      <w:r>
        <w:rPr>
          <w:rFonts w:ascii="Times New Roman" w:hAnsi="Times New Roman" w:cs="Times New Roman" w:eastAsiaTheme="minorEastAsia"/>
          <w:color w:val="000000" w:themeColor="text1"/>
          <w:sz w:val="24"/>
          <w:szCs w:val="24"/>
          <w:lang w:val="en-US"/>
          <w14:textFill>
            <w14:solidFill>
              <w14:schemeClr w14:val="tx1"/>
            </w14:solidFill>
          </w14:textFill>
        </w:rPr>
        <w:t>环境影响</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较小</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89"/>
        <w:ind w:firstLine="180"/>
        <w:rPr>
          <w:color w:val="000000" w:themeColor="text1"/>
          <w:lang w:val="en-US"/>
          <w14:textFill>
            <w14:solidFill>
              <w14:schemeClr w14:val="tx1"/>
            </w14:solidFill>
          </w14:textFill>
        </w:rPr>
      </w:pP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249" w:name="_Toc162605184"/>
      <w:r>
        <w:rPr>
          <w:rFonts w:ascii="Times New Roman" w:hAnsi="Times New Roman" w:cs="Times New Roman" w:eastAsiaTheme="minorEastAsia"/>
          <w:color w:val="000000" w:themeColor="text1"/>
          <w:szCs w:val="24"/>
          <w:lang w:val="en-US" w:bidi="ar-SA"/>
          <w14:textFill>
            <w14:solidFill>
              <w14:schemeClr w14:val="tx1"/>
            </w14:solidFill>
          </w14:textFill>
        </w:rPr>
        <w:t>5.4噪声影响评价</w:t>
      </w:r>
      <w:bookmarkEnd w:id="249"/>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5.4.1 锅炉房噪声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250" w:name="_Toc17194"/>
      <w:r>
        <w:rPr>
          <w:rFonts w:ascii="Times New Roman" w:hAnsi="Times New Roman" w:cs="Times New Roman" w:eastAsiaTheme="minorEastAsia"/>
          <w:color w:val="000000" w:themeColor="text1"/>
          <w:sz w:val="24"/>
          <w:szCs w:val="24"/>
          <w:lang w:val="en-US"/>
          <w14:textFill>
            <w14:solidFill>
              <w14:schemeClr w14:val="tx1"/>
            </w14:solidFill>
          </w14:textFill>
        </w:rPr>
        <w:t>1、噪声源分析</w:t>
      </w:r>
      <w:bookmarkEnd w:id="250"/>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项目建成后，运营期间主要噪声源为鼓风机、引风机、循环水泵、补水泵、脱硫水泵、曝气风机等，均为室内声源，</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无位于室外噪声源</w:t>
      </w:r>
      <w:r>
        <w:rPr>
          <w:rFonts w:ascii="Times New Roman" w:hAnsi="Times New Roman" w:cs="Times New Roman" w:eastAsiaTheme="minorEastAsia"/>
          <w:color w:val="000000" w:themeColor="text1"/>
          <w:sz w:val="24"/>
          <w:szCs w:val="24"/>
          <w:lang w:val="en-US"/>
          <w14:textFill>
            <w14:solidFill>
              <w14:schemeClr w14:val="tx1"/>
            </w14:solidFill>
          </w14:textFill>
        </w:rPr>
        <w:t>。具体噪声源详见前述表5-4-1。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表5-4-1 本项目主要设备噪声单位：dB（A）</w:t>
      </w:r>
    </w:p>
    <w:tbl>
      <w:tblPr>
        <w:tblStyle w:val="1408"/>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0" w:type="dxa"/>
          <w:bottom w:w="0" w:type="dxa"/>
          <w:right w:w="0" w:type="dxa"/>
        </w:tblCellMar>
      </w:tblPr>
      <w:tblGrid>
        <w:gridCol w:w="245"/>
        <w:gridCol w:w="507"/>
        <w:gridCol w:w="613"/>
        <w:gridCol w:w="333"/>
        <w:gridCol w:w="726"/>
        <w:gridCol w:w="1500"/>
        <w:gridCol w:w="314"/>
        <w:gridCol w:w="405"/>
        <w:gridCol w:w="311"/>
        <w:gridCol w:w="512"/>
        <w:gridCol w:w="781"/>
        <w:gridCol w:w="440"/>
        <w:gridCol w:w="645"/>
        <w:gridCol w:w="618"/>
        <w:gridCol w:w="450"/>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337" w:hRule="exact"/>
        </w:trPr>
        <w:tc>
          <w:tcPr>
            <w:tcW w:w="14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bookmarkStart w:id="251" w:name="_Toc22786"/>
            <w:r>
              <w:rPr>
                <w:rFonts w:ascii="Times New Roman" w:eastAsiaTheme="minorEastAsia"/>
                <w:color w:val="000000" w:themeColor="text1"/>
                <w:sz w:val="21"/>
                <w:szCs w:val="21"/>
                <w14:textFill>
                  <w14:solidFill>
                    <w14:schemeClr w14:val="tx1"/>
                  </w14:solidFill>
                </w14:textFill>
              </w:rPr>
              <w:t>序 号</w:t>
            </w:r>
          </w:p>
        </w:tc>
        <w:tc>
          <w:tcPr>
            <w:tcW w:w="30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建筑物名称</w:t>
            </w:r>
          </w:p>
        </w:tc>
        <w:tc>
          <w:tcPr>
            <w:tcW w:w="365"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声源名称</w:t>
            </w:r>
          </w:p>
        </w:tc>
        <w:tc>
          <w:tcPr>
            <w:tcW w:w="19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型号</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声源源强</w:t>
            </w:r>
          </w:p>
        </w:tc>
        <w:tc>
          <w:tcPr>
            <w:tcW w:w="893"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声源控制措施</w:t>
            </w:r>
          </w:p>
        </w:tc>
        <w:tc>
          <w:tcPr>
            <w:tcW w:w="613" w:type="pct"/>
            <w:gridSpan w:val="3"/>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空间相对位置/m</w:t>
            </w:r>
          </w:p>
        </w:tc>
        <w:tc>
          <w:tcPr>
            <w:tcW w:w="305"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距室内边界距离/m</w:t>
            </w:r>
          </w:p>
        </w:tc>
        <w:tc>
          <w:tcPr>
            <w:tcW w:w="465"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室内边界声级/dB(A)</w:t>
            </w:r>
          </w:p>
        </w:tc>
        <w:tc>
          <w:tcPr>
            <w:tcW w:w="26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运行时段</w:t>
            </w:r>
          </w:p>
        </w:tc>
        <w:tc>
          <w:tcPr>
            <w:tcW w:w="384"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建筑物插入损失/</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dB(A)</w:t>
            </w:r>
          </w:p>
        </w:tc>
        <w:tc>
          <w:tcPr>
            <w:tcW w:w="635" w:type="pct"/>
            <w:gridSpan w:val="2"/>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建筑物外噪声</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396" w:hRule="exact"/>
        </w:trPr>
        <w:tc>
          <w:tcPr>
            <w:tcW w:w="14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5"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声功率级/dB(A)</w:t>
            </w:r>
          </w:p>
        </w:tc>
        <w:tc>
          <w:tcPr>
            <w:tcW w:w="893"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X</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Y</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Z</w:t>
            </w:r>
          </w:p>
        </w:tc>
        <w:tc>
          <w:tcPr>
            <w:tcW w:w="305"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5"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声压级</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/dB(A)</w:t>
            </w: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建筑物 外距离</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983" w:hRule="exact"/>
        </w:trPr>
        <w:tc>
          <w:tcPr>
            <w:tcW w:w="14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30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锅炉房</w:t>
            </w: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一、二次风机</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消声器、管道外壳阻尼</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38</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0.8</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运行900h</w:t>
            </w:r>
          </w:p>
        </w:tc>
        <w:tc>
          <w:tcPr>
            <w:tcW w:w="384"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w:t>
            </w:r>
          </w:p>
        </w:tc>
        <w:tc>
          <w:tcPr>
            <w:tcW w:w="36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49</w:t>
            </w: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639" w:hRule="exact"/>
        </w:trPr>
        <w:tc>
          <w:tcPr>
            <w:tcW w:w="14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水泵</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隔音罩、厂房隔声</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0.8</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049" w:hRule="exact"/>
        </w:trPr>
        <w:tc>
          <w:tcPr>
            <w:tcW w:w="14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脱硝浆液泵</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厂房隔声、隔声罩壳</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42</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0.9</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709" w:hRule="exact"/>
        </w:trPr>
        <w:tc>
          <w:tcPr>
            <w:tcW w:w="14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30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除尘间</w:t>
            </w: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引风机</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隔声罩壳、管道外壳阻尼</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-22</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w:t>
            </w:r>
          </w:p>
        </w:tc>
        <w:tc>
          <w:tcPr>
            <w:tcW w:w="36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49</w:t>
            </w: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861" w:hRule="exact"/>
        </w:trPr>
        <w:tc>
          <w:tcPr>
            <w:tcW w:w="14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空压机</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厂房隔声</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进风口消声器</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1.3</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1271" w:hRule="exact"/>
        </w:trPr>
        <w:tc>
          <w:tcPr>
            <w:tcW w:w="146"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30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脱硫间</w:t>
            </w: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脱硫浆液循环泵</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隔声罩壳、管道外壳阻尼</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w:t>
            </w:r>
          </w:p>
        </w:tc>
        <w:tc>
          <w:tcPr>
            <w:tcW w:w="368"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49</w:t>
            </w: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693" w:hRule="exact"/>
        </w:trPr>
        <w:tc>
          <w:tcPr>
            <w:tcW w:w="14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氧化风机</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进风口消声器</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0" w:type="dxa"/>
            <w:bottom w:w="0" w:type="dxa"/>
            <w:right w:w="0" w:type="dxa"/>
          </w:tblCellMar>
        </w:tblPrEx>
        <w:trPr>
          <w:trHeight w:val="703" w:hRule="exact"/>
        </w:trPr>
        <w:tc>
          <w:tcPr>
            <w:tcW w:w="146"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增压风机</w:t>
            </w:r>
          </w:p>
        </w:tc>
        <w:tc>
          <w:tcPr>
            <w:tcW w:w="198"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43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w:t>
            </w:r>
          </w:p>
        </w:tc>
        <w:tc>
          <w:tcPr>
            <w:tcW w:w="893"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进风口消声器</w:t>
            </w:r>
          </w:p>
        </w:tc>
        <w:tc>
          <w:tcPr>
            <w:tcW w:w="18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w:t>
            </w:r>
          </w:p>
        </w:tc>
        <w:tc>
          <w:tcPr>
            <w:tcW w:w="241"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w:t>
            </w:r>
          </w:p>
        </w:tc>
        <w:tc>
          <w:tcPr>
            <w:tcW w:w="18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30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p>
        </w:tc>
        <w:tc>
          <w:tcPr>
            <w:tcW w:w="465"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w:t>
            </w:r>
          </w:p>
        </w:tc>
        <w:tc>
          <w:tcPr>
            <w:tcW w:w="26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4"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8"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67"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1m</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2、主要围护结构情况</w:t>
      </w:r>
      <w:bookmarkEnd w:id="251"/>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根据项目工程分析，主要噪声源基本布设在锅炉房内的风机间、泵房以及换热站。围护结构均为墙体、门和窗。部分设备置于隔声罩内</w:t>
      </w:r>
      <w:bookmarkStart w:id="252" w:name="_Toc23329"/>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3、预测因子与范围</w:t>
      </w:r>
      <w:bookmarkEnd w:id="252"/>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（1）预测因子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昼间噪声值Ld、夜间噪声值Ln。</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（2）预测范围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建设项目厂界外1m 处。</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253" w:name="_Toc14717"/>
      <w:r>
        <w:rPr>
          <w:rFonts w:ascii="Times New Roman" w:hAnsi="Times New Roman" w:cs="Times New Roman" w:eastAsiaTheme="minorEastAsia"/>
          <w:color w:val="000000" w:themeColor="text1"/>
          <w:sz w:val="24"/>
          <w:szCs w:val="24"/>
          <w:lang w:val="en-US"/>
          <w14:textFill>
            <w14:solidFill>
              <w14:schemeClr w14:val="tx1"/>
            </w14:solidFill>
          </w14:textFill>
        </w:rPr>
        <w:t>4、预测模型</w:t>
      </w:r>
      <w:bookmarkEnd w:id="253"/>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本项目噪声预测采用环安噪声预测评价系统进行预测。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（1）建立坐标系</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本项目声环境影响评价以拟建厂址中心点为坐标系原点，1m为单位长度，建立直角坐标系。</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（2）根据已获得的声源源强的数据和各声源到预测点的声波传播条件资料，计算出噪声从各声源传播到预测点的声衰减量，由此计算出各声源单独作用在预测点时产生的A 声级（LAi）。</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（3）声级的计算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预测方法采用数学模式法，模式按照《环境影响评价技术导则</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声环境》(HJ2.4-2021)中点源的有关规定选取。</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1）基本计算公式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①</w:t>
      </w:r>
      <w:r>
        <w:rPr>
          <w:rFonts w:ascii="Times New Roman" w:hAnsi="Times New Roman" w:cs="Times New Roman" w:eastAsiaTheme="minorEastAsia"/>
          <w:color w:val="000000" w:themeColor="text1"/>
          <w:sz w:val="24"/>
          <w:szCs w:val="24"/>
          <w:lang w:val="en-US"/>
          <w14:textFill>
            <w14:solidFill>
              <w14:schemeClr w14:val="tx1"/>
            </w14:solidFill>
          </w14:textFill>
        </w:rPr>
        <w:t>单个室外点声源在预测点产生的声级计算公式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在环境影响评价中，应根据声源声功率级或靠近声源某一参考位置处的已知声级（如实测得到的）、户外声传播衰减，计算距离声源较远处的预测点的声级。在已知距离无指向性点声源参考点r0处的倍频带（用63Hz到8KHz的8个标称倍频带中心频率）声压级LP(r0)和计算出参考点(r0)和预测点I处之间的户外声传播衰减后，预测点8个倍频带声压级可分别用下列公式计算：</w:t>
      </w:r>
    </w:p>
    <w:p>
      <w:pPr>
        <w:ind w:firstLine="180"/>
        <w:rPr>
          <w:color w:val="000000" w:themeColor="text1"/>
          <w:lang w:val="en-US"/>
          <w14:textFill>
            <w14:solidFill>
              <w14:schemeClr w14:val="tx1"/>
            </w14:solidFill>
          </w14:textFill>
        </w:rPr>
      </w:pPr>
      <w:r>
        <w:rPr>
          <w:color w:val="000000" w:themeColor="text1"/>
          <w14:textFill>
            <w14:solidFill>
              <w14:schemeClr w14:val="tx1"/>
            </w14:solidFill>
          </w14:textFill>
        </w:rPr>
        <w:object>
          <v:shape id="_x0000_i1028" o:spt="75" type="#_x0000_t75" style="height:18pt;width:244.25pt;" o:ole="t" fillcolor="#000011" filled="f" o:preferrelative="t" stroked="f" coordsize="21600,21600">
            <v:path/>
            <v:fill on="f" focussize="0,0"/>
            <v:stroke on="f" joinstyle="miter"/>
            <v:imagedata r:id="rId74" o:title=""/>
            <o:lock v:ext="edit" aspectratio="t"/>
            <w10:wrap type="none"/>
            <w10:anchorlock/>
          </v:shape>
          <o:OLEObject Type="Embed" ProgID="Equation.3" ShapeID="_x0000_i1028" DrawAspect="Content" ObjectID="_1468075728" r:id="rId73">
            <o:LockedField>false</o:LockedField>
          </o:OLEObject>
        </w:object>
      </w:r>
      <w:r>
        <w:rPr>
          <w:color w:val="000000" w:themeColor="text1"/>
          <w:position w:val="-10"/>
          <w:lang w:val="en-US"/>
          <w14:textFill>
            <w14:solidFill>
              <w14:schemeClr w14:val="tx1"/>
            </w14:solidFill>
          </w14:textFill>
        </w:rPr>
        <w:t>…………………（1）</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公式中：</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Dc——指向性校正，dB；他描述点声源的等效声压级与产生声功率级Lw的全向点声源在规定方向的级的偏差程度。</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Adiv——几何发散引起的倍频带衰减，dB；</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Aatm——大气吸收引起的倍频带衰减，dB；</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Agr——地面效应引起的倍频带衰减，dB；</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Abar——声屏障引起的倍频带衰减，dB；</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Amisc——其他多方面效应引起的倍频带衰减，dB；</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B、预测点的A声级LAI可按下列公式计算，即将8个倍频带声压级合成，计算出预测点的A声级（LAI）。</w:t>
      </w:r>
    </w:p>
    <w:p>
      <w:pPr>
        <w:ind w:firstLine="180"/>
        <w:rPr>
          <w:color w:val="000000" w:themeColor="text1"/>
          <w:lang w:val="en-US"/>
          <w14:textFill>
            <w14:solidFill>
              <w14:schemeClr w14:val="tx1"/>
            </w14:solidFill>
          </w14:textFill>
        </w:rPr>
      </w:pPr>
      <w:r>
        <w:rPr>
          <w:color w:val="000000" w:themeColor="text1"/>
          <w:position w:val="-28"/>
          <w14:textFill>
            <w14:solidFill>
              <w14:schemeClr w14:val="tx1"/>
            </w14:solidFill>
          </w14:textFill>
        </w:rPr>
        <w:pict>
          <v:shape id="对象 4" o:spid="_x0000_s1034" o:spt="75" type="#_x0000_t75" style="position:absolute;left:0pt;margin-left:118.65pt;margin-top:8.7pt;height:33.75pt;width:144.55pt;z-index:251745280;mso-width-relative:page;mso-height-relative:page;" o:ole="t" fillcolor="#000011" filled="f" o:preferrelative="t" stroked="f" coordsize="21600,21600">
            <v:path/>
            <v:fill on="f" focussize="0,0"/>
            <v:stroke on="f" joinstyle="miter"/>
            <v:imagedata r:id="rId76" o:title=""/>
            <o:lock v:ext="edit" aspectratio="t"/>
          </v:shape>
          <o:OLEObject Type="Embed" ProgID="Equation.3" ShapeID="对象 4" DrawAspect="Content" ObjectID="_1468075729" r:id="rId75">
            <o:LockedField>false</o:LockedField>
          </o:OLEObject>
        </w:pict>
      </w:r>
      <w:r>
        <w:rPr>
          <w:color w:val="000000" w:themeColor="text1"/>
          <w:lang w:val="en-US"/>
          <w14:textFill>
            <w14:solidFill>
              <w14:schemeClr w14:val="tx1"/>
            </w14:solidFill>
          </w14:textFill>
        </w:rPr>
        <w:t xml:space="preserve">                                           </w:t>
      </w:r>
      <w:r>
        <w:rPr>
          <w:color w:val="000000" w:themeColor="text1"/>
          <w:position w:val="-10"/>
          <w:lang w:val="en-US"/>
          <w14:textFill>
            <w14:solidFill>
              <w14:schemeClr w14:val="tx1"/>
            </w14:solidFill>
          </w14:textFill>
        </w:rPr>
        <w:t>…………………………</w:t>
      </w:r>
      <w:r>
        <w:rPr>
          <w:color w:val="000000" w:themeColor="text1"/>
          <w:lang w:val="en-US"/>
          <w14:textFill>
            <w14:solidFill>
              <w14:schemeClr w14:val="tx1"/>
            </w14:solidFill>
          </w14:textFill>
        </w:rPr>
        <w:t>（2）</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t>式中：</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LPiI——预测点（r）处，第i倍频带声压级，dB；</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ΔLi——第i倍频带的A计权网络修正值。</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②</w:t>
      </w:r>
      <w:r>
        <w:rPr>
          <w:rFonts w:ascii="Times New Roman" w:hAnsi="Times New Roman" w:cs="Times New Roman" w:eastAsiaTheme="minorEastAsia"/>
          <w:color w:val="000000" w:themeColor="text1"/>
          <w:sz w:val="24"/>
          <w:szCs w:val="24"/>
          <w:lang w:val="en-US"/>
          <w14:textFill>
            <w14:solidFill>
              <w14:schemeClr w14:val="tx1"/>
            </w14:solidFill>
          </w14:textFill>
        </w:rPr>
        <w:t>室内声源等效室外声源声功率计算公式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声源位于室内，室内声源可采用等效室外声源声功率级法进行计算。设靠近开口处（或窗户）室内、室外某倍频带的声压级分别为Lp1和Lp2。若声源所在室内声场为近似扩散声场。则室外得倍频带的声压级公式为：</w:t>
      </w:r>
    </w:p>
    <w:p>
      <w:pPr>
        <w:ind w:firstLine="180"/>
        <w:rPr>
          <w:color w:val="000000" w:themeColor="text1"/>
          <w:lang w:val="en-US"/>
          <w14:textFill>
            <w14:solidFill>
              <w14:schemeClr w14:val="tx1"/>
            </w14:solidFill>
          </w14:textFill>
        </w:rPr>
      </w:pPr>
      <w:r>
        <w:rPr>
          <w:color w:val="000000" w:themeColor="text1"/>
          <w14:textFill>
            <w14:solidFill>
              <w14:schemeClr w14:val="tx1"/>
            </w14:solidFill>
          </w14:textFill>
        </w:rPr>
        <w:pict>
          <v:shape id="对象 5" o:spid="_x0000_s1035" o:spt="75" type="#_x0000_t75" style="position:absolute;left:0pt;margin-left:127.5pt;margin-top:20.35pt;height:18.85pt;width:99pt;z-index:251746304;mso-width-relative:page;mso-height-relative:page;" o:ole="t" fillcolor="#000011" filled="f" o:preferrelative="t" stroked="f" coordsize="21600,21600">
            <v:path/>
            <v:fill on="f" focussize="0,0"/>
            <v:stroke on="f" joinstyle="miter"/>
            <v:imagedata r:id="rId78" o:title=""/>
            <o:lock v:ext="edit" aspectratio="t"/>
          </v:shape>
          <o:OLEObject Type="Embed" ProgID="Equation.3" ShapeID="对象 5" DrawAspect="Content" ObjectID="_1468075730" r:id="rId77">
            <o:LockedField>false</o:LockedField>
          </o:OLEObject>
        </w:pict>
      </w:r>
      <w:r>
        <w:rPr>
          <w:color w:val="000000" w:themeColor="text1"/>
          <w:lang w:val="en-US"/>
          <w14:textFill>
            <w14:solidFill>
              <w14:schemeClr w14:val="tx1"/>
            </w14:solidFill>
          </w14:textFill>
        </w:rPr>
        <w:t xml:space="preserve">                                  </w:t>
      </w:r>
      <w:r>
        <w:rPr>
          <w:color w:val="000000" w:themeColor="text1"/>
          <w:position w:val="-10"/>
          <w:lang w:val="en-US"/>
          <w14:textFill>
            <w14:solidFill>
              <w14:schemeClr w14:val="tx1"/>
            </w14:solidFill>
          </w14:textFill>
        </w:rPr>
        <w:t>…………………………………</w:t>
      </w:r>
      <w:r>
        <w:rPr>
          <w:color w:val="000000" w:themeColor="text1"/>
          <w:lang w:val="en-US"/>
          <w14:textFill>
            <w14:solidFill>
              <w14:schemeClr w14:val="tx1"/>
            </w14:solidFill>
          </w14:textFill>
        </w:rPr>
        <w:t>（3）</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式中：</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254" w:name="_Toc274729471"/>
      <w:r>
        <w:rPr>
          <w:rFonts w:ascii="Times New Roman" w:hAnsi="Times New Roman" w:cs="Times New Roman" w:eastAsiaTheme="minorEastAsia"/>
          <w:color w:val="000000" w:themeColor="text1"/>
          <w:sz w:val="24"/>
          <w:szCs w:val="24"/>
          <w:lang w:val="en-US"/>
          <w14:textFill>
            <w14:solidFill>
              <w14:schemeClr w14:val="tx1"/>
            </w14:solidFill>
          </w14:textFill>
        </w:rPr>
        <w:t>TL——隔墙（或窗户）倍频带的隔声量，dB；</w:t>
      </w:r>
      <w:bookmarkEnd w:id="254"/>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计算某一室内声源靠近围护结构处产生的倍频带声压级公式：</w:t>
      </w:r>
    </w:p>
    <w:p>
      <w:pPr>
        <w:ind w:firstLine="180"/>
        <w:rPr>
          <w:color w:val="000000" w:themeColor="text1"/>
          <w:lang w:val="en-US"/>
          <w14:textFill>
            <w14:solidFill>
              <w14:schemeClr w14:val="tx1"/>
            </w14:solidFill>
          </w14:textFill>
        </w:rPr>
      </w:pPr>
      <w:bookmarkStart w:id="255" w:name="_Toc274729472"/>
      <w:r>
        <w:rPr>
          <w:color w:val="000000" w:themeColor="text1"/>
          <w14:textFill>
            <w14:solidFill>
              <w14:schemeClr w14:val="tx1"/>
            </w14:solidFill>
          </w14:textFill>
        </w:rPr>
        <w:pict>
          <v:shape id="对象 6" o:spid="_x0000_s1036" o:spt="75" type="#_x0000_t75" style="position:absolute;left:0pt;margin-left:109.15pt;margin-top:2.25pt;height:30.75pt;width:140.6pt;z-index:251747328;mso-width-relative:page;mso-height-relative:page;" o:ole="t" fillcolor="#000011" filled="f" o:preferrelative="t" stroked="f" coordsize="21600,21600">
            <v:path/>
            <v:fill on="f" focussize="0,0"/>
            <v:stroke on="f" joinstyle="miter"/>
            <v:imagedata r:id="rId80" o:title=""/>
            <o:lock v:ext="edit" aspectratio="t"/>
          </v:shape>
          <o:OLEObject Type="Embed" ProgID="Equation.3" ShapeID="对象 6" DrawAspect="Content" ObjectID="_1468075731" r:id="rId79">
            <o:LockedField>false</o:LockedField>
          </o:OLEObject>
        </w:pict>
      </w:r>
      <w:r>
        <w:rPr>
          <w:color w:val="000000" w:themeColor="text1"/>
          <w:lang w:val="en-US"/>
          <w14:textFill>
            <w14:solidFill>
              <w14:schemeClr w14:val="tx1"/>
            </w14:solidFill>
          </w14:textFill>
        </w:rPr>
        <w:t>…………………………（4）</w:t>
      </w:r>
      <w:bookmarkEnd w:id="255"/>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式中：</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Q——指向性因子；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R——房间常数；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r——声源到靠近围护结构某点处的距离，m。</w:t>
      </w:r>
    </w:p>
    <w:p>
      <w:pPr>
        <w:ind w:firstLine="240"/>
        <w:rPr>
          <w:color w:val="000000" w:themeColor="text1"/>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pict>
          <v:shape id="对象 7" o:spid="_x0000_s1037" o:spt="75" type="#_x0000_t75" style="position:absolute;left:0pt;margin-left:120.35pt;margin-top:20.9pt;height:36pt;width:138.65pt;z-index:251748352;mso-width-relative:page;mso-height-relative:page;" o:ole="t" fillcolor="#000011" filled="f" o:preferrelative="t" stroked="f" coordsize="21600,21600">
            <v:path/>
            <v:fill on="f" focussize="0,0"/>
            <v:stroke on="f" joinstyle="miter"/>
            <v:imagedata r:id="rId82" o:title=""/>
            <o:lock v:ext="edit" aspectratio="t"/>
          </v:shape>
          <o:OLEObject Type="Embed" ProgID="Equation.3" ShapeID="对象 7" DrawAspect="Content" ObjectID="_1468075732" r:id="rId81">
            <o:LockedField>false</o:LockedField>
          </o:OLEObject>
        </w:pict>
      </w:r>
      <w:r>
        <w:rPr>
          <w:rFonts w:ascii="Times New Roman" w:hAnsi="Times New Roman" w:cs="Times New Roman" w:eastAsiaTheme="minorEastAsia"/>
          <w:color w:val="000000" w:themeColor="text1"/>
          <w:sz w:val="24"/>
          <w:szCs w:val="24"/>
          <w:lang w:val="en-US"/>
          <w14:textFill>
            <w14:solidFill>
              <w14:schemeClr w14:val="tx1"/>
            </w14:solidFill>
          </w14:textFill>
        </w:rPr>
        <w:t>由上式可知，所有室内声源在围护结构处产生的i倍频带叠加声压级公式：</w:t>
      </w:r>
    </w:p>
    <w:p>
      <w:pPr>
        <w:ind w:firstLine="180"/>
        <w:rPr>
          <w:color w:val="000000" w:themeColor="text1"/>
          <w14:textFill>
            <w14:solidFill>
              <w14:schemeClr w14:val="tx1"/>
            </w14:solidFill>
          </w14:textFill>
        </w:rPr>
      </w:pPr>
      <w:bookmarkStart w:id="256" w:name="_Toc274729473"/>
      <w:r>
        <w:rPr>
          <w:color w:val="000000" w:themeColor="text1"/>
          <w14:textFill>
            <w14:solidFill>
              <w14:schemeClr w14:val="tx1"/>
            </w14:solidFill>
          </w14:textFill>
        </w:rPr>
        <w:t>…………………………（5）</w:t>
      </w:r>
      <w:bookmarkEnd w:id="256"/>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式中：</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Lp1i（T）——靠近维护结构室内N个声源i倍频带的叠加声压级，dB；</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Lp1ij——室内j声源i倍频带的声压级，dB；</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N——室内声源总数。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③</w:t>
      </w:r>
      <w:r>
        <w:rPr>
          <w:rFonts w:ascii="Times New Roman" w:hAnsi="Times New Roman" w:cs="Times New Roman" w:eastAsiaTheme="minorEastAsia"/>
          <w:color w:val="000000" w:themeColor="text1"/>
          <w:sz w:val="24"/>
          <w:szCs w:val="24"/>
          <w:lang w:val="en-US"/>
          <w14:textFill>
            <w14:solidFill>
              <w14:schemeClr w14:val="tx1"/>
            </w14:solidFill>
          </w14:textFill>
        </w:rPr>
        <w:t>靠近声源处的预测点预测模式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如预测点在靠近声源处，但不能满足声源条件时，需按线声源或面生源模式计算。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④</w:t>
      </w:r>
      <w:r>
        <w:rPr>
          <w:rFonts w:ascii="Times New Roman" w:hAnsi="Times New Roman" w:cs="Times New Roman" w:eastAsiaTheme="minorEastAsia"/>
          <w:color w:val="000000" w:themeColor="text1"/>
          <w:sz w:val="24"/>
          <w:szCs w:val="24"/>
          <w:lang w:val="en-US"/>
          <w14:textFill>
            <w14:solidFill>
              <w14:schemeClr w14:val="tx1"/>
            </w14:solidFill>
          </w14:textFill>
        </w:rPr>
        <w:t>噪声贡献值计算</w:t>
      </w:r>
    </w:p>
    <w:p>
      <w:pPr>
        <w:pStyle w:val="26"/>
        <w:spacing w:line="500" w:lineRule="exact"/>
        <w:ind w:firstLine="480" w:firstLineChars="200"/>
        <w:jc w:val="both"/>
        <w:rPr>
          <w:color w:val="000000" w:themeColor="text1"/>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pict>
          <v:shape id="对象 8" o:spid="_x0000_s1038" o:spt="75" type="#_x0000_t75" style="position:absolute;left:0pt;margin-left:58.7pt;margin-top:23.4pt;height:36pt;width:230.95pt;z-index:251749376;mso-width-relative:page;mso-height-relative:page;" o:ole="t" fillcolor="#000011" filled="f" o:preferrelative="t" stroked="f" coordsize="21600,21600">
            <v:path/>
            <v:fill on="f" focussize="0,0"/>
            <v:stroke on="f" joinstyle="miter"/>
            <v:imagedata r:id="rId84" o:title=""/>
            <o:lock v:ext="edit" aspectratio="t"/>
          </v:shape>
          <o:OLEObject Type="Embed" ProgID="Equation.3" ShapeID="对象 8" DrawAspect="Content" ObjectID="_1468075733" r:id="rId83">
            <o:LockedField>false</o:LockedField>
          </o:OLEObject>
        </w:pict>
      </w:r>
      <w:r>
        <w:rPr>
          <w:rFonts w:ascii="Times New Roman" w:hAnsi="Times New Roman" w:cs="Times New Roman" w:eastAsiaTheme="minorEastAsia"/>
          <w:color w:val="000000" w:themeColor="text1"/>
          <w:sz w:val="24"/>
          <w:szCs w:val="24"/>
          <w:lang w:val="en-US"/>
          <w14:textFill>
            <w14:solidFill>
              <w14:schemeClr w14:val="tx1"/>
            </w14:solidFill>
          </w14:textFill>
        </w:rPr>
        <w:t>声源对预测点产生的贡献值（Leqg）公式为</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t>………………………（6）</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（2）传播衰减公式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①</w:t>
      </w:r>
      <w:r>
        <w:rPr>
          <w:rFonts w:ascii="Times New Roman" w:hAnsi="Times New Roman" w:cs="Times New Roman" w:eastAsiaTheme="minorEastAsia"/>
          <w:color w:val="000000" w:themeColor="text1"/>
          <w:sz w:val="24"/>
          <w:szCs w:val="24"/>
          <w:lang w:val="en-US"/>
          <w14:textFill>
            <w14:solidFill>
              <w14:schemeClr w14:val="tx1"/>
            </w14:solidFill>
          </w14:textFill>
        </w:rPr>
        <w:t>几何发散衰减(Adiv)</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点声源的几何发散衰减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无指向性点声源几何发散衰减的基本公式是</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color w:val="000000" w:themeColor="text1"/>
          <w:lang w:val="en-US" w:bidi="ar-SA"/>
          <w14:textFill>
            <w14:solidFill>
              <w14:schemeClr w14:val="tx1"/>
            </w14:solidFill>
          </w14:textFill>
        </w:rPr>
        <w:drawing>
          <wp:inline distT="0" distB="0" distL="0" distR="0">
            <wp:extent cx="1724025" cy="200025"/>
            <wp:effectExtent l="0" t="0" r="9525" b="952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1724025" cy="200025"/>
                    </a:xfrm>
                    <a:prstGeom prst="rect">
                      <a:avLst/>
                    </a:prstGeom>
                    <a:noFill/>
                    <a:ln>
                      <a:noFill/>
                    </a:ln>
                  </pic:spPr>
                </pic:pic>
              </a:graphicData>
            </a:graphic>
          </wp:inline>
        </w:drawing>
      </w:r>
      <w:r>
        <w:rPr>
          <w:color w:val="000000" w:themeColor="text1"/>
          <w14:textFill>
            <w14:solidFill>
              <w14:schemeClr w14:val="tx1"/>
            </w14:solidFill>
          </w14:textFill>
        </w:rPr>
        <w:t>…………………………………（7）</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公示（4）中第二项表示了点声源的几何发散衰减：</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color w:val="000000" w:themeColor="text1"/>
          <w:position w:val="-12"/>
          <w14:textFill>
            <w14:solidFill>
              <w14:schemeClr w14:val="tx1"/>
            </w14:solidFill>
          </w14:textFill>
        </w:rPr>
        <w:object>
          <v:shape id="_x0000_i1029" o:spt="75" type="#_x0000_t75" style="height:18pt;width:81.85pt;" o:ole="t" fillcolor="#000011" filled="f" o:preferrelative="t" stroked="f" coordsize="21600,21600">
            <v:path/>
            <v:fill on="f" focussize="0,0"/>
            <v:stroke on="f" joinstyle="miter"/>
            <v:imagedata r:id="rId87" o:title=""/>
            <o:lock v:ext="edit" aspectratio="t"/>
            <w10:wrap type="none"/>
            <w10:anchorlock/>
          </v:shape>
          <o:OLEObject Type="Embed" ProgID="Equation.3" ShapeID="_x0000_i1029" DrawAspect="Content" ObjectID="_1468075734" r:id="rId86">
            <o:LockedField>false</o:LockedField>
          </o:OLEObject>
        </w:object>
      </w:r>
      <w:r>
        <w:rPr>
          <w:color w:val="000000" w:themeColor="text1"/>
          <w14:textFill>
            <w14:solidFill>
              <w14:schemeClr w14:val="tx1"/>
            </w14:solidFill>
          </w14:textFill>
        </w:rPr>
        <w:t xml:space="preserve"> ………………………………………（8）</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如果已知点声源的倍频带声功率级Lw或A声功率级（LAW），且声源处于自由声场，则公式（4）等效为下列公式：</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color w:val="000000" w:themeColor="text1"/>
          <w:lang w:val="en-US" w:bidi="ar-SA"/>
          <w14:textFill>
            <w14:solidFill>
              <w14:schemeClr w14:val="tx1"/>
            </w14:solidFill>
          </w14:textFill>
        </w:rPr>
        <w:drawing>
          <wp:inline distT="0" distB="0" distL="0" distR="0">
            <wp:extent cx="1562100" cy="200025"/>
            <wp:effectExtent l="0" t="0" r="0"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1562100" cy="200025"/>
                    </a:xfrm>
                    <a:prstGeom prst="rect">
                      <a:avLst/>
                    </a:prstGeom>
                    <a:noFill/>
                    <a:ln>
                      <a:noFill/>
                    </a:ln>
                  </pic:spPr>
                </pic:pic>
              </a:graphicData>
            </a:graphic>
          </wp:inline>
        </w:drawing>
      </w:r>
      <w:r>
        <w:rPr>
          <w:color w:val="000000" w:themeColor="text1"/>
          <w14:textFill>
            <w14:solidFill>
              <w14:schemeClr w14:val="tx1"/>
            </w14:solidFill>
          </w14:textFill>
        </w:rPr>
        <w:t>…………………………………（9）</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color w:val="000000" w:themeColor="text1"/>
          <w:lang w:val="en-US" w:bidi="ar-SA"/>
          <w14:textFill>
            <w14:solidFill>
              <w14:schemeClr w14:val="tx1"/>
            </w14:solidFill>
          </w14:textFill>
        </w:rPr>
        <w:drawing>
          <wp:inline distT="0" distB="0" distL="0" distR="0">
            <wp:extent cx="1609725" cy="200025"/>
            <wp:effectExtent l="0" t="0" r="9525" b="952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1609725" cy="200025"/>
                    </a:xfrm>
                    <a:prstGeom prst="rect">
                      <a:avLst/>
                    </a:prstGeom>
                    <a:noFill/>
                    <a:ln>
                      <a:noFill/>
                    </a:ln>
                  </pic:spPr>
                </pic:pic>
              </a:graphicData>
            </a:graphic>
          </wp:inline>
        </w:drawing>
      </w:r>
      <w:r>
        <w:rPr>
          <w:color w:val="000000" w:themeColor="text1"/>
          <w14:textFill>
            <w14:solidFill>
              <w14:schemeClr w14:val="tx1"/>
            </w14:solidFill>
          </w14:textFill>
        </w:rPr>
        <w:t>…………………………………（10）</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反射体引起的修正(ΔLr)</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当点声源与预测点处在反射体同侧附近时，到达预测点的声级是直达声与反射声叠加的结果，从而使预测点声级增高。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当满足下列条件时，需考虑反射体引起的声级增高：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a.反射体表面平整光滑，坚硬的。</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b.反射体尺寸远远大于所有声波波长λ。</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c.入射角θ＜85º。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Rr-rd&gt;&gt;λ反射引起的修正量ΔLr与rr/rd有关（rr=IP、rd=SP），可按下表计算：</w:t>
      </w:r>
    </w:p>
    <w:p>
      <w:pPr>
        <w:pStyle w:val="89"/>
        <w:ind w:firstLine="180"/>
        <w:rPr>
          <w:color w:val="000000" w:themeColor="text1"/>
          <w:lang w:val="en-US"/>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w:t>
      </w:r>
      <w:r>
        <w:rPr>
          <w:rFonts w:hint="eastAsia" w:ascii="Times New Roman" w:hAnsiTheme="minorEastAsia" w:eastAsiaTheme="minorEastAsia"/>
          <w:b/>
          <w:bCs/>
          <w:color w:val="000000" w:themeColor="text1"/>
          <w:szCs w:val="24"/>
          <w14:textFill>
            <w14:solidFill>
              <w14:schemeClr w14:val="tx1"/>
            </w14:solidFill>
          </w14:textFill>
        </w:rPr>
        <w:t>5-4-2</w:t>
      </w:r>
      <w:r>
        <w:rPr>
          <w:rFonts w:ascii="Times New Roman" w:hAnsiTheme="minorEastAsia" w:eastAsiaTheme="minorEastAsia"/>
          <w:b/>
          <w:bCs/>
          <w:color w:val="000000" w:themeColor="text1"/>
          <w:szCs w:val="24"/>
          <w14:textFill>
            <w14:solidFill>
              <w14:schemeClr w14:val="tx1"/>
            </w14:solidFill>
          </w14:textFill>
        </w:rPr>
        <w:t xml:space="preserve"> 反射体引起的修正量</w:t>
      </w:r>
    </w:p>
    <w:tbl>
      <w:tblPr>
        <w:tblStyle w:val="70"/>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4308"/>
        <w:gridCol w:w="430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rr/rd</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（dB）</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≈1.4</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jc w:val="center"/>
        </w:trPr>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＞2.5</w:t>
            </w:r>
          </w:p>
        </w:tc>
        <w:tc>
          <w:tcPr>
            <w:tcW w:w="250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B、线声源的几何发散衰减(Adiv)</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a.无限长线声源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无限长线声源几何发散衰减的基本公式是：</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color w:val="000000" w:themeColor="text1"/>
          <w:position w:val="-24"/>
          <w14:textFill>
            <w14:solidFill>
              <w14:schemeClr w14:val="tx1"/>
            </w14:solidFill>
          </w14:textFill>
        </w:rPr>
        <w:object>
          <v:shape id="_x0000_i1030" o:spt="75" type="#_x0000_t75" style="height:30.55pt;width:123.75pt;" o:ole="t" fillcolor="#000011" filled="f" o:preferrelative="t" stroked="f" coordsize="21600,21600">
            <v:path/>
            <v:fill on="f" focussize="0,0"/>
            <v:stroke on="f" joinstyle="miter"/>
            <v:imagedata r:id="rId91" o:title=""/>
            <o:lock v:ext="edit" aspectratio="t"/>
            <w10:wrap type="none"/>
            <w10:anchorlock/>
          </v:shape>
          <o:OLEObject Type="Embed" ProgID="Equation.3" ShapeID="_x0000_i1030" DrawAspect="Content" ObjectID="_1468075735" r:id="rId90">
            <o:LockedField>false</o:LockedField>
          </o:OLEObject>
        </w:object>
      </w:r>
      <w:r>
        <w:rPr>
          <w:color w:val="000000" w:themeColor="text1"/>
          <w14:textFill>
            <w14:solidFill>
              <w14:schemeClr w14:val="tx1"/>
            </w14:solidFill>
          </w14:textFill>
        </w:rPr>
        <w:t>……………………………（11）</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上式中的第二项表示了无限长线声源的几何发散衰减：</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t xml:space="preserve">   </w:t>
      </w:r>
      <w:bookmarkStart w:id="257" w:name="_Toc274729474"/>
      <w:r>
        <w:rPr>
          <w:color w:val="000000" w:themeColor="text1"/>
          <w:position w:val="-12"/>
          <w14:textFill>
            <w14:solidFill>
              <w14:schemeClr w14:val="tx1"/>
            </w14:solidFill>
          </w14:textFill>
        </w:rPr>
        <w:object>
          <v:shape id="_x0000_i1031" o:spt="75" type="#_x0000_t75" style="height:18pt;width:81.25pt;" o:ole="t" fillcolor="#000011" filled="f" o:preferrelative="t" stroked="f" coordsize="21600,21600">
            <v:path/>
            <v:fill on="f" focussize="0,0"/>
            <v:stroke on="f" joinstyle="miter"/>
            <v:imagedata r:id="rId93" o:title=""/>
            <o:lock v:ext="edit" aspectratio="t"/>
            <w10:wrap type="none"/>
            <w10:anchorlock/>
          </v:shape>
          <o:OLEObject Type="Embed" ProgID="Equation.3" ShapeID="_x0000_i1031" DrawAspect="Content" ObjectID="_1468075736" r:id="rId92">
            <o:LockedField>false</o:LockedField>
          </o:OLEObject>
        </w:object>
      </w:r>
      <w:r>
        <w:rPr>
          <w:color w:val="000000" w:themeColor="text1"/>
          <w14:textFill>
            <w14:solidFill>
              <w14:schemeClr w14:val="tx1"/>
            </w14:solidFill>
          </w14:textFill>
        </w:rPr>
        <w:t xml:space="preserve"> ………………………………………（12）</w:t>
      </w:r>
      <w:bookmarkEnd w:id="257"/>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b.有限长线声源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设线声源长度为l0，单位长度线声源辐射的倍频带声功率级为Lw。在线声源垂直平分线上距声源r处的声压级为：</w:t>
      </w:r>
    </w:p>
    <w:p>
      <w:pPr>
        <w:ind w:firstLine="180"/>
        <w:rPr>
          <w:color w:val="000000" w:themeColor="text1"/>
          <w:lang w:val="en-US"/>
          <w14:textFill>
            <w14:solidFill>
              <w14:schemeClr w14:val="tx1"/>
            </w14:solidFill>
          </w14:textFill>
        </w:rPr>
      </w:pPr>
      <w:r>
        <w:rPr>
          <w:color w:val="000000" w:themeColor="text1"/>
          <w:position w:val="-28"/>
          <w:lang w:val="en-US" w:bidi="ar-SA"/>
          <w14:textFill>
            <w14:solidFill>
              <w14:schemeClr w14:val="tx1"/>
            </w14:solidFill>
          </w14:textFill>
        </w:rPr>
        <w:drawing>
          <wp:inline distT="0" distB="0" distL="0" distR="0">
            <wp:extent cx="2152650" cy="428625"/>
            <wp:effectExtent l="0" t="0" r="0"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2152650" cy="428625"/>
                    </a:xfrm>
                    <a:prstGeom prst="rect">
                      <a:avLst/>
                    </a:prstGeom>
                    <a:noFill/>
                    <a:ln>
                      <a:noFill/>
                    </a:ln>
                  </pic:spPr>
                </pic:pic>
              </a:graphicData>
            </a:graphic>
          </wp:inline>
        </w:drawing>
      </w:r>
      <w:r>
        <w:rPr>
          <w:color w:val="000000" w:themeColor="text1"/>
          <w:lang w:val="en-US"/>
          <w14:textFill>
            <w14:solidFill>
              <w14:schemeClr w14:val="tx1"/>
            </w14:solidFill>
          </w14:textFill>
        </w:rPr>
        <w:t>………………………………………（13）</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或</w:t>
      </w:r>
    </w:p>
    <w:p>
      <w:pPr>
        <w:ind w:firstLine="180"/>
        <w:rPr>
          <w:color w:val="000000" w:themeColor="text1"/>
          <w:lang w:val="en-US"/>
          <w14:textFill>
            <w14:solidFill>
              <w14:schemeClr w14:val="tx1"/>
            </w14:solidFill>
          </w14:textFill>
        </w:rPr>
      </w:pPr>
      <w:r>
        <w:rPr>
          <w:color w:val="000000" w:themeColor="text1"/>
          <w:lang w:val="en-US"/>
          <w14:textFill>
            <w14:solidFill>
              <w14:schemeClr w14:val="tx1"/>
            </w14:solidFill>
          </w14:textFill>
        </w:rPr>
        <w:t xml:space="preserve">    </w:t>
      </w:r>
      <w:r>
        <w:rPr>
          <w:color w:val="000000" w:themeColor="text1"/>
          <w:position w:val="-58"/>
          <w:lang w:val="en-US" w:bidi="ar-SA"/>
          <w14:textFill>
            <w14:solidFill>
              <w14:schemeClr w14:val="tx1"/>
            </w14:solidFill>
          </w14:textFill>
        </w:rPr>
        <w:drawing>
          <wp:inline distT="0" distB="0" distL="0" distR="0">
            <wp:extent cx="2305050" cy="8001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2305050" cy="800100"/>
                    </a:xfrm>
                    <a:prstGeom prst="rect">
                      <a:avLst/>
                    </a:prstGeom>
                    <a:noFill/>
                    <a:ln>
                      <a:noFill/>
                    </a:ln>
                  </pic:spPr>
                </pic:pic>
              </a:graphicData>
            </a:graphic>
          </wp:inline>
        </w:drawing>
      </w:r>
      <w:r>
        <w:rPr>
          <w:color w:val="000000" w:themeColor="text1"/>
          <w:lang w:val="en-US"/>
          <w14:textFill>
            <w14:solidFill>
              <w14:schemeClr w14:val="tx1"/>
            </w14:solidFill>
          </w14:textFill>
        </w:rPr>
        <w:t>…………………………………（14）</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当r＞l0且r0＞l0时，上式可近似简化为：</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color w:val="000000" w:themeColor="text1"/>
          <w:position w:val="-24"/>
          <w:lang w:val="en-US" w:bidi="ar-SA"/>
          <w14:textFill>
            <w14:solidFill>
              <w14:schemeClr w14:val="tx1"/>
            </w14:solidFill>
          </w14:textFill>
        </w:rPr>
        <w:drawing>
          <wp:inline distT="0" distB="0" distL="0" distR="0">
            <wp:extent cx="1590675" cy="390525"/>
            <wp:effectExtent l="0" t="0" r="9525" b="952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1590675" cy="390525"/>
                    </a:xfrm>
                    <a:prstGeom prst="rect">
                      <a:avLst/>
                    </a:prstGeom>
                    <a:noFill/>
                    <a:ln>
                      <a:noFill/>
                    </a:ln>
                  </pic:spPr>
                </pic:pic>
              </a:graphicData>
            </a:graphic>
          </wp:inline>
        </w:drawing>
      </w:r>
      <w:r>
        <w:rPr>
          <w:color w:val="000000" w:themeColor="text1"/>
          <w14:textFill>
            <w14:solidFill>
              <w14:schemeClr w14:val="tx1"/>
            </w14:solidFill>
          </w14:textFill>
        </w:rPr>
        <w:t xml:space="preserve"> ………………………………………（15）</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即在近场区，有限长线声源可当作点声源处理。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当r＜l0/3且r0＜l0/3时，该式可近似简化为：</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color w:val="000000" w:themeColor="text1"/>
          <w:position w:val="-24"/>
          <w14:textFill>
            <w14:solidFill>
              <w14:schemeClr w14:val="tx1"/>
            </w14:solidFill>
          </w14:textFill>
        </w:rPr>
        <w:object>
          <v:shape id="_x0000_i1032" o:spt="75" type="#_x0000_t75" style="height:30.55pt;width:123.75pt;" o:ole="t" fillcolor="#000011" filled="f" o:preferrelative="t" stroked="f" coordsize="21600,21600">
            <v:path/>
            <v:fill on="f" focussize="0,0"/>
            <v:stroke on="f" joinstyle="miter"/>
            <v:imagedata r:id="rId91" o:title=""/>
            <o:lock v:ext="edit" aspectratio="t"/>
            <w10:wrap type="none"/>
            <w10:anchorlock/>
          </v:shape>
          <o:OLEObject Type="Embed" ProgID="Equation.3" ShapeID="_x0000_i1032" DrawAspect="Content" ObjectID="_1468075737" r:id="rId97">
            <o:LockedField>false</o:LockedField>
          </o:OLEObject>
        </w:object>
      </w:r>
      <w:r>
        <w:rPr>
          <w:color w:val="000000" w:themeColor="text1"/>
          <w14:textFill>
            <w14:solidFill>
              <w14:schemeClr w14:val="tx1"/>
            </w14:solidFill>
          </w14:textFill>
        </w:rPr>
        <w:t>………………………………………（16）</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即在近场区，有限长线声源可当作无限长线声源处理。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当l0/3＜r＜l0且l0/3＜r0＜l0时，该式可近似简化为：</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color w:val="000000" w:themeColor="text1"/>
          <w:position w:val="-24"/>
          <w:lang w:val="en-US" w:bidi="ar-SA"/>
          <w14:textFill>
            <w14:solidFill>
              <w14:schemeClr w14:val="tx1"/>
            </w14:solidFill>
          </w14:textFill>
        </w:rPr>
        <w:drawing>
          <wp:inline distT="0" distB="0" distL="0" distR="0">
            <wp:extent cx="1571625" cy="390525"/>
            <wp:effectExtent l="0" t="0" r="9525" b="952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1571625" cy="390525"/>
                    </a:xfrm>
                    <a:prstGeom prst="rect">
                      <a:avLst/>
                    </a:prstGeom>
                    <a:noFill/>
                    <a:ln>
                      <a:noFill/>
                    </a:ln>
                  </pic:spPr>
                </pic:pic>
              </a:graphicData>
            </a:graphic>
          </wp:inline>
        </w:drawing>
      </w:r>
      <w:r>
        <w:rPr>
          <w:color w:val="000000" w:themeColor="text1"/>
          <w14:textFill>
            <w14:solidFill>
              <w14:schemeClr w14:val="tx1"/>
            </w14:solidFill>
          </w14:textFill>
        </w:rPr>
        <w:t>………………………………………（17）</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258" w:name="_Toc274729475"/>
      <w:r>
        <w:rPr>
          <w:rFonts w:ascii="Times New Roman" w:hAnsi="Times New Roman" w:cs="Times New Roman" w:eastAsiaTheme="minorEastAsia"/>
          <w:color w:val="000000" w:themeColor="text1"/>
          <w:sz w:val="24"/>
          <w:szCs w:val="24"/>
          <w:lang w:val="en-US"/>
          <w14:textFill>
            <w14:solidFill>
              <w14:schemeClr w14:val="tx1"/>
            </w14:solidFill>
          </w14:textFill>
        </w:rPr>
        <w:t>C、面声源的几何发散衰减</w:t>
      </w:r>
      <w:bookmarkEnd w:id="258"/>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一个大型机器设备的振动表面，车间透声的墙壁，均可以认为是面声源。如果已知面声源单位面积的声功率为W，各面积元噪声的位相是随机的，面声源可看作由无数点声源连续分布组合而成，其合成声级可按能量叠加法求出。</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②</w:t>
      </w:r>
      <w:r>
        <w:rPr>
          <w:rFonts w:ascii="Times New Roman" w:hAnsi="Times New Roman" w:cs="Times New Roman" w:eastAsiaTheme="minorEastAsia"/>
          <w:color w:val="000000" w:themeColor="text1"/>
          <w:sz w:val="24"/>
          <w:szCs w:val="24"/>
          <w:lang w:val="en-US"/>
          <w14:textFill>
            <w14:solidFill>
              <w14:schemeClr w14:val="tx1"/>
            </w14:solidFill>
          </w14:textFill>
        </w:rPr>
        <w:t>空气吸收引起的衰减(Aatm)</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空气吸收引起的衰减按下列公式计算：</w:t>
      </w:r>
    </w:p>
    <w:p>
      <w:pPr>
        <w:ind w:firstLine="180"/>
        <w:rPr>
          <w:color w:val="000000" w:themeColor="text1"/>
          <w14:textFill>
            <w14:solidFill>
              <w14:schemeClr w14:val="tx1"/>
            </w14:solidFill>
          </w14:textFill>
        </w:rPr>
      </w:pPr>
      <w:r>
        <w:rPr>
          <w:color w:val="000000" w:themeColor="text1"/>
          <w14:textFill>
            <w14:solidFill>
              <w14:schemeClr w14:val="tx1"/>
            </w14:solidFill>
          </w14:textFill>
        </w:rPr>
        <w:t xml:space="preserve">                   </w:t>
      </w:r>
      <w:r>
        <w:rPr>
          <w:color w:val="000000" w:themeColor="text1"/>
          <w:lang w:val="en-US" w:bidi="ar-SA"/>
          <w14:textFill>
            <w14:solidFill>
              <w14:schemeClr w14:val="tx1"/>
            </w14:solidFill>
          </w14:textFill>
        </w:rPr>
        <w:drawing>
          <wp:inline distT="0" distB="0" distL="0" distR="0">
            <wp:extent cx="1019175" cy="390525"/>
            <wp:effectExtent l="0" t="0" r="0"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1019175" cy="390525"/>
                    </a:xfrm>
                    <a:prstGeom prst="rect">
                      <a:avLst/>
                    </a:prstGeom>
                    <a:noFill/>
                    <a:ln>
                      <a:noFill/>
                    </a:ln>
                  </pic:spPr>
                </pic:pic>
              </a:graphicData>
            </a:graphic>
          </wp:inline>
        </w:drawing>
      </w:r>
      <w:r>
        <w:rPr>
          <w:color w:val="000000" w:themeColor="text1"/>
          <w:position w:val="-10"/>
          <w14:textFill>
            <w14:solidFill>
              <w14:schemeClr w14:val="tx1"/>
            </w14:solidFill>
          </w14:textFill>
        </w:rPr>
        <w:t>…………………………………（18）</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式中：</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α为温度、湿度和声波频率的函数，预测计算中一般根据建设项目所处区域常年平均气温和湿度选择相应的空气吸收系数。</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w:t>
      </w:r>
      <w:r>
        <w:rPr>
          <w:rFonts w:hint="eastAsia" w:ascii="Times New Roman" w:hAnsiTheme="minorEastAsia" w:eastAsiaTheme="minorEastAsia"/>
          <w:b/>
          <w:bCs/>
          <w:color w:val="000000" w:themeColor="text1"/>
          <w:szCs w:val="24"/>
          <w14:textFill>
            <w14:solidFill>
              <w14:schemeClr w14:val="tx1"/>
            </w14:solidFill>
          </w14:textFill>
        </w:rPr>
        <w:t>-4-3</w:t>
      </w:r>
      <w:r>
        <w:rPr>
          <w:rFonts w:ascii="Times New Roman" w:hAnsiTheme="minorEastAsia" w:eastAsiaTheme="minorEastAsia"/>
          <w:b/>
          <w:bCs/>
          <w:color w:val="000000" w:themeColor="text1"/>
          <w:szCs w:val="24"/>
          <w14:textFill>
            <w14:solidFill>
              <w14:schemeClr w14:val="tx1"/>
            </w14:solidFill>
          </w14:textFill>
        </w:rPr>
        <w:t xml:space="preserve">  倍频带噪声的大气吸收衰减系数α</w:t>
      </w:r>
    </w:p>
    <w:tbl>
      <w:tblPr>
        <w:tblStyle w:val="70"/>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53"/>
        <w:gridCol w:w="1191"/>
        <w:gridCol w:w="788"/>
        <w:gridCol w:w="820"/>
        <w:gridCol w:w="820"/>
        <w:gridCol w:w="820"/>
        <w:gridCol w:w="853"/>
        <w:gridCol w:w="853"/>
        <w:gridCol w:w="853"/>
        <w:gridCol w:w="76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495"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温度℃</w:t>
            </w:r>
          </w:p>
        </w:tc>
        <w:tc>
          <w:tcPr>
            <w:tcW w:w="691"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相对湿度%</w:t>
            </w:r>
          </w:p>
        </w:tc>
        <w:tc>
          <w:tcPr>
            <w:tcW w:w="3813" w:type="pct"/>
            <w:gridSpan w:val="8"/>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大气吸收衰减系数α，dB/km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495"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91"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813" w:type="pct"/>
            <w:gridSpan w:val="8"/>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倍频带中心频率Hz</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495"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91"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63</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125</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250</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500</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1000</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2000</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4000</w:t>
            </w:r>
          </w:p>
        </w:tc>
        <w:tc>
          <w:tcPr>
            <w:tcW w:w="4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p>
        </w:tc>
        <w:tc>
          <w:tcPr>
            <w:tcW w:w="69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c>
          <w:tcPr>
            <w:tcW w:w="4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0.4</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1.9</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3.7</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9.7</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32.8</w:t>
            </w:r>
          </w:p>
        </w:tc>
        <w:tc>
          <w:tcPr>
            <w:tcW w:w="4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w:t>
            </w:r>
          </w:p>
        </w:tc>
        <w:tc>
          <w:tcPr>
            <w:tcW w:w="69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c>
          <w:tcPr>
            <w:tcW w:w="4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0.3</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22.9</w:t>
            </w:r>
          </w:p>
        </w:tc>
        <w:tc>
          <w:tcPr>
            <w:tcW w:w="4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76.6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w:t>
            </w:r>
          </w:p>
        </w:tc>
        <w:tc>
          <w:tcPr>
            <w:tcW w:w="69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c>
          <w:tcPr>
            <w:tcW w:w="4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0.3</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3.1</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7.4</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12.7</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23.1</w:t>
            </w:r>
          </w:p>
        </w:tc>
        <w:tc>
          <w:tcPr>
            <w:tcW w:w="4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59.3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c>
          <w:tcPr>
            <w:tcW w:w="69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w:t>
            </w:r>
          </w:p>
        </w:tc>
        <w:tc>
          <w:tcPr>
            <w:tcW w:w="4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0.3</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0.6</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2.7</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8.2</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28.2</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28.8</w:t>
            </w:r>
          </w:p>
        </w:tc>
        <w:tc>
          <w:tcPr>
            <w:tcW w:w="4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c>
          <w:tcPr>
            <w:tcW w:w="69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w:t>
            </w:r>
          </w:p>
        </w:tc>
        <w:tc>
          <w:tcPr>
            <w:tcW w:w="4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0.5</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2.2</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4.2</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10.8</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36.2</w:t>
            </w:r>
          </w:p>
        </w:tc>
        <w:tc>
          <w:tcPr>
            <w:tcW w:w="4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129.0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13" w:hRule="atLeast"/>
        </w:trPr>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15</w:t>
            </w:r>
          </w:p>
        </w:tc>
        <w:tc>
          <w:tcPr>
            <w:tcW w:w="691"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w:t>
            </w:r>
          </w:p>
        </w:tc>
        <w:tc>
          <w:tcPr>
            <w:tcW w:w="45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0.3</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w:t>
            </w:r>
          </w:p>
        </w:tc>
        <w:tc>
          <w:tcPr>
            <w:tcW w:w="47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4.1</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8.3</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23.7</w:t>
            </w:r>
          </w:p>
        </w:tc>
        <w:tc>
          <w:tcPr>
            <w:tcW w:w="4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82.8</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③</w:t>
      </w:r>
      <w:r>
        <w:rPr>
          <w:rFonts w:ascii="Times New Roman" w:hAnsi="Times New Roman" w:cs="Times New Roman" w:eastAsiaTheme="minorEastAsia"/>
          <w:color w:val="000000" w:themeColor="text1"/>
          <w:sz w:val="24"/>
          <w:szCs w:val="24"/>
          <w:lang w:val="en-US"/>
          <w14:textFill>
            <w14:solidFill>
              <w14:schemeClr w14:val="tx1"/>
            </w14:solidFill>
          </w14:textFill>
        </w:rPr>
        <w:t>地面效应衰减(Agr)</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地面类型可分为：</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A、坚实地面，包括铺筑过的路面、水面、冰面以及夯实地面。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B、疏松地面，包括被草或其他植物覆盖的地面，以及农田等适合于植物生长的地面。</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C、混合地面，由坚实地面和疏松地面组成。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声波越过疏松地面传播时，或大部分为疏松地面的混合地面，在预测点仅计算A声级前提下，地面效应引起的倍频带衰减可用下列公式计算。</w:t>
      </w:r>
    </w:p>
    <w:p>
      <w:pPr>
        <w:ind w:firstLine="180"/>
        <w:rPr>
          <w:color w:val="000000" w:themeColor="text1"/>
          <w:lang w:val="en-US"/>
          <w14:textFill>
            <w14:solidFill>
              <w14:schemeClr w14:val="tx1"/>
            </w14:solidFill>
          </w14:textFill>
        </w:rPr>
      </w:pPr>
      <w:r>
        <w:rPr>
          <w:color w:val="000000" w:themeColor="text1"/>
          <w:position w:val="-28"/>
          <w:lang w:val="en-US" w:bidi="ar-SA"/>
          <w14:textFill>
            <w14:solidFill>
              <w14:schemeClr w14:val="tx1"/>
            </w14:solidFill>
          </w14:textFill>
        </w:rPr>
        <w:drawing>
          <wp:inline distT="0" distB="0" distL="0" distR="0">
            <wp:extent cx="1914525" cy="428625"/>
            <wp:effectExtent l="0" t="0" r="9525"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1914525" cy="428625"/>
                    </a:xfrm>
                    <a:prstGeom prst="rect">
                      <a:avLst/>
                    </a:prstGeom>
                    <a:noFill/>
                    <a:ln>
                      <a:noFill/>
                    </a:ln>
                  </pic:spPr>
                </pic:pic>
              </a:graphicData>
            </a:graphic>
          </wp:inline>
        </w:drawing>
      </w:r>
      <w:bookmarkStart w:id="259" w:name="_Toc274729476"/>
      <w:r>
        <w:rPr>
          <w:color w:val="000000" w:themeColor="text1"/>
          <w:lang w:val="en-US"/>
          <w14:textFill>
            <w14:solidFill>
              <w14:schemeClr w14:val="tx1"/>
            </w14:solidFill>
          </w14:textFill>
        </w:rPr>
        <w:t>………………………………（19）</w:t>
      </w:r>
      <w:bookmarkEnd w:id="259"/>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式中：</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r——声源到预测点的距离，m；</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hm——传播路径的平均离地高度，m； hm=F/r；F：面积，m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；r，m；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若Agr计算出负值，则Agr可用“0”代替。</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其他情况可参照GB/T17247.2进行计算。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④</w:t>
      </w:r>
      <w:r>
        <w:rPr>
          <w:rFonts w:ascii="Times New Roman" w:hAnsi="Times New Roman" w:cs="Times New Roman" w:eastAsiaTheme="minorEastAsia"/>
          <w:color w:val="000000" w:themeColor="text1"/>
          <w:sz w:val="24"/>
          <w:szCs w:val="24"/>
          <w:lang w:val="en-US"/>
          <w14:textFill>
            <w14:solidFill>
              <w14:schemeClr w14:val="tx1"/>
            </w14:solidFill>
          </w14:textFill>
        </w:rPr>
        <w:t>屏障引起的衰减(Abar)</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位于声源和预测点之间的实体障碍物，如围墙、建筑物、土坡或地堑等起声屏障作用，从而引起声能量的较大衰减。在环境影响评价中，可将各种形式的屏障简化为具有一定高度的薄屏障。</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S、O、P三点在同一平面内且垂直于地面。</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定义δ=SO＋OP－SP为声程差，N=2δ/λ为菲涅尔数，其中λ为声波波长。</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在噪声预测中，声屏障插入损失的计算方法应需要根据实际情况作简化处理。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260" w:name="_Toc274729477"/>
      <w:r>
        <w:rPr>
          <w:rFonts w:ascii="Times New Roman" w:hAnsi="Times New Roman" w:cs="Times New Roman" w:eastAsiaTheme="minorEastAsia"/>
          <w:color w:val="000000" w:themeColor="text1"/>
          <w:sz w:val="24"/>
          <w:szCs w:val="24"/>
          <w:lang w:val="en-US"/>
          <w14:textFill>
            <w14:solidFill>
              <w14:schemeClr w14:val="tx1"/>
            </w14:solidFill>
          </w14:textFill>
        </w:rPr>
        <w:t>有限长薄屏障在点声源声场中引起的衰减计算</w:t>
      </w:r>
      <w:bookmarkEnd w:id="260"/>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首先计算三个传播途径的声程差δ1、δ2、δ3和相应的菲涅尔数N1、N2、N3；声屏障引起的衰减公式为：</w:t>
      </w:r>
    </w:p>
    <w:p>
      <w:pPr>
        <w:ind w:firstLine="180"/>
        <w:rPr>
          <w:color w:val="000000" w:themeColor="text1"/>
          <w:lang w:val="en-US"/>
          <w14:textFill>
            <w14:solidFill>
              <w14:schemeClr w14:val="tx1"/>
            </w14:solidFill>
          </w14:textFill>
        </w:rPr>
      </w:pPr>
      <w:r>
        <w:rPr>
          <w:color w:val="000000" w:themeColor="text1"/>
          <w14:textFill>
            <w14:solidFill>
              <w14:schemeClr w14:val="tx1"/>
            </w14:solidFill>
          </w14:textFill>
        </w:rPr>
        <w:object>
          <v:shape id="_x0000_i1033" o:spt="75" type="#_x0000_t75" style="height:36.55pt;width:234.5pt;" o:ole="t" filled="f" o:preferrelative="t" stroked="f" coordsize="21600,21600">
            <v:path/>
            <v:fill on="f" focussize="0,0"/>
            <v:stroke on="f" joinstyle="miter"/>
            <v:imagedata r:id="rId102" o:title=""/>
            <o:lock v:ext="edit" aspectratio="t"/>
            <w10:wrap type="none"/>
            <w10:anchorlock/>
          </v:shape>
          <o:OLEObject Type="Embed" ProgID="Equation.3" ShapeID="_x0000_i1033" DrawAspect="Content" ObjectID="_1468075738" r:id="rId101">
            <o:LockedField>false</o:LockedField>
          </o:OLEObject>
        </w:object>
      </w:r>
      <w:r>
        <w:rPr>
          <w:color w:val="000000" w:themeColor="text1"/>
          <w:lang w:val="en-US"/>
          <w14:textFill>
            <w14:solidFill>
              <w14:schemeClr w14:val="tx1"/>
            </w14:solidFill>
          </w14:textFill>
        </w:rPr>
        <w:t xml:space="preserve">    </w:t>
      </w:r>
      <w:r>
        <w:rPr>
          <w:color w:val="000000" w:themeColor="text1"/>
          <w:position w:val="-10"/>
          <w:lang w:val="en-US"/>
          <w14:textFill>
            <w14:solidFill>
              <w14:schemeClr w14:val="tx1"/>
            </w14:solidFill>
          </w14:textFill>
        </w:rPr>
        <w:t>……………………………（20）</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261" w:name="_Toc274729478"/>
      <w:r>
        <w:rPr>
          <w:rFonts w:ascii="Times New Roman" w:hAnsi="Times New Roman" w:cs="Times New Roman" w:eastAsiaTheme="minorEastAsia"/>
          <w:color w:val="000000" w:themeColor="text1"/>
          <w:sz w:val="24"/>
          <w:szCs w:val="24"/>
          <w:lang w:val="en-US"/>
          <w14:textFill>
            <w14:solidFill>
              <w14:schemeClr w14:val="tx1"/>
            </w14:solidFill>
          </w14:textFill>
        </w:rPr>
        <w:t>B、双绕射计算</w:t>
      </w:r>
      <w:bookmarkEnd w:id="261"/>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对于双绕射情景，可由下列公式计算绕射声与直达声之间的声程差δ：</w:t>
      </w:r>
    </w:p>
    <w:p>
      <w:pPr>
        <w:ind w:firstLine="180"/>
        <w:rPr>
          <w:color w:val="000000" w:themeColor="text1"/>
          <w:lang w:val="en-US"/>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1819275" cy="314325"/>
            <wp:effectExtent l="0" t="0" r="9525"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a:xfrm>
                      <a:off x="0" y="0"/>
                      <a:ext cx="1819275" cy="314325"/>
                    </a:xfrm>
                    <a:prstGeom prst="rect">
                      <a:avLst/>
                    </a:prstGeom>
                    <a:noFill/>
                    <a:ln>
                      <a:noFill/>
                    </a:ln>
                  </pic:spPr>
                </pic:pic>
              </a:graphicData>
            </a:graphic>
          </wp:inline>
        </w:drawing>
      </w:r>
      <w:r>
        <w:rPr>
          <w:color w:val="000000" w:themeColor="text1"/>
          <w:lang w:val="en-US"/>
          <w14:textFill>
            <w14:solidFill>
              <w14:schemeClr w14:val="tx1"/>
            </w14:solidFill>
          </w14:textFill>
        </w:rPr>
        <w:t xml:space="preserve">……………………………（21）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式中：</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a——声源和接收点之间的距离在平行于屏障上边界的投影长度，m。</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dss——声源到第一绕射边的距离，m。</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dsr——（第二）绕射边到接收点的距离，m。</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e——在双绕射情况下两个绕射边界之间的距离，m。</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屏障衰减Abar（相当于GB/T17247.2中的DZ）参照GB/T17247.2进行计算。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在任何频带上，屏障衰减Abar在单绕射（即薄屏障）情况，衰减最大取20dB；屏障衰减Abar在双绕射（即厚屏障）情况，衰减最大取25dB。</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计算了屏障衰减后，不再考虑地面效应衰减。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⑤</w:t>
      </w:r>
      <w:r>
        <w:rPr>
          <w:rFonts w:ascii="Times New Roman" w:hAnsi="Times New Roman" w:cs="Times New Roman" w:eastAsiaTheme="minorEastAsia"/>
          <w:color w:val="000000" w:themeColor="text1"/>
          <w:sz w:val="24"/>
          <w:szCs w:val="24"/>
          <w:lang w:val="en-US"/>
          <w14:textFill>
            <w14:solidFill>
              <w14:schemeClr w14:val="tx1"/>
            </w14:solidFill>
          </w14:textFill>
        </w:rPr>
        <w:t>绿化林带衰减计算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绿化林带的附加衰减与树种、林带结构和密度等因素有关系。倍频带噪声通过密叶传播时的衰减见表5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-4-4</w:t>
      </w:r>
      <w:r>
        <w:rPr>
          <w:rFonts w:ascii="Times New Roman" w:hAnsi="Times New Roman" w:cs="Times New Roman" w:eastAsiaTheme="minorEastAsia"/>
          <w:color w:val="000000" w:themeColor="text1"/>
          <w:sz w:val="24"/>
          <w:szCs w:val="24"/>
          <w:lang w:val="en-US"/>
          <w14:textFill>
            <w14:solidFill>
              <w14:schemeClr w14:val="tx1"/>
            </w14:solidFill>
          </w14:textFill>
        </w:rPr>
        <w:t>。当通过密叶的路径长度大于200m时，可使用200m的衰减值。</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w:t>
      </w:r>
      <w:r>
        <w:rPr>
          <w:rFonts w:hint="eastAsia" w:ascii="Times New Roman" w:hAnsiTheme="minorEastAsia" w:eastAsiaTheme="minorEastAsia"/>
          <w:b/>
          <w:bCs/>
          <w:color w:val="000000" w:themeColor="text1"/>
          <w:szCs w:val="24"/>
          <w14:textFill>
            <w14:solidFill>
              <w14:schemeClr w14:val="tx1"/>
            </w14:solidFill>
          </w14:textFill>
        </w:rPr>
        <w:t>-4-4</w:t>
      </w:r>
      <w:r>
        <w:rPr>
          <w:rFonts w:ascii="Times New Roman" w:hAnsiTheme="minorEastAsia" w:eastAsiaTheme="minorEastAsia"/>
          <w:b/>
          <w:bCs/>
          <w:color w:val="000000" w:themeColor="text1"/>
          <w:szCs w:val="24"/>
          <w14:textFill>
            <w14:solidFill>
              <w14:schemeClr w14:val="tx1"/>
            </w14:solidFill>
          </w14:textFill>
        </w:rPr>
        <w:t xml:space="preserve"> 倍频带噪声通过密叶传播时产生的衰减</w:t>
      </w:r>
    </w:p>
    <w:tbl>
      <w:tblPr>
        <w:tblStyle w:val="70"/>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178"/>
        <w:gridCol w:w="1347"/>
        <w:gridCol w:w="761"/>
        <w:gridCol w:w="762"/>
        <w:gridCol w:w="762"/>
        <w:gridCol w:w="762"/>
        <w:gridCol w:w="762"/>
        <w:gridCol w:w="762"/>
        <w:gridCol w:w="762"/>
        <w:gridCol w:w="758"/>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68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782"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传播距离df</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w:t>
            </w:r>
          </w:p>
        </w:tc>
        <w:tc>
          <w:tcPr>
            <w:tcW w:w="3534" w:type="pct"/>
            <w:gridSpan w:val="8"/>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倍频带中心频率（Hz）</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68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2"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63</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125</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250</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500</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1000</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2000</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4000</w:t>
            </w:r>
          </w:p>
        </w:tc>
        <w:tc>
          <w:tcPr>
            <w:tcW w:w="43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68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衰减（dB）</w:t>
            </w:r>
          </w:p>
        </w:tc>
        <w:tc>
          <w:tcPr>
            <w:tcW w:w="7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10≤df＜20</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43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7" w:hRule="atLeast"/>
        </w:trPr>
        <w:tc>
          <w:tcPr>
            <w:tcW w:w="68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衰减系数</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（dB/m）</w:t>
            </w:r>
          </w:p>
        </w:tc>
        <w:tc>
          <w:tcPr>
            <w:tcW w:w="78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20≤df＜200</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0.02</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0.03</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0.04</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0.05</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0.06</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0.08</w:t>
            </w:r>
          </w:p>
        </w:tc>
        <w:tc>
          <w:tcPr>
            <w:tcW w:w="4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0.09</w:t>
            </w:r>
          </w:p>
        </w:tc>
        <w:tc>
          <w:tcPr>
            <w:tcW w:w="43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0.12</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2）声级的计算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begin"/>
      </w:r>
      <w:r>
        <w:rPr>
          <w:rFonts w:ascii="Times New Roman" w:hAnsi="Times New Roman" w:cs="Times New Roman" w:eastAsiaTheme="minorEastAsia"/>
          <w:color w:val="000000" w:themeColor="text1"/>
          <w:sz w:val="24"/>
          <w:szCs w:val="24"/>
          <w:lang w:val="en-US"/>
          <w14:textFill>
            <w14:solidFill>
              <w14:schemeClr w14:val="tx1"/>
            </w14:solidFill>
          </w14:textFill>
        </w:rPr>
        <w:instrText xml:space="preserve"> = 1 \* GB3 </w:instrTex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separate"/>
      </w:r>
      <w:r>
        <w:rPr>
          <w:rFonts w:hint="eastAsia"/>
          <w:color w:val="000000" w:themeColor="text1"/>
          <w:sz w:val="24"/>
          <w:szCs w:val="24"/>
          <w:lang w:val="en-US"/>
          <w14:textFill>
            <w14:solidFill>
              <w14:schemeClr w14:val="tx1"/>
            </w14:solidFill>
          </w14:textFill>
        </w:rPr>
        <w:t>①</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建设项目声源在预测点产生的等效声级贡献值(Leqg)计算公式：</w:t>
      </w:r>
    </w:p>
    <w:p>
      <w:pPr>
        <w:ind w:firstLine="18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1600200" cy="41910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a:xfrm>
                      <a:off x="0" y="0"/>
                      <a:ext cx="1600200" cy="419100"/>
                    </a:xfrm>
                    <a:prstGeom prst="rect">
                      <a:avLst/>
                    </a:prstGeom>
                    <a:noFill/>
                    <a:ln>
                      <a:noFill/>
                    </a:ln>
                  </pic:spPr>
                </pic:pic>
              </a:graphicData>
            </a:graphic>
          </wp:inline>
        </w:drawing>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262" w:name="_Toc274729481"/>
      <w:r>
        <w:rPr>
          <w:rFonts w:ascii="Times New Roman" w:hAnsi="Times New Roman" w:cs="Times New Roman" w:eastAsiaTheme="minorEastAsia"/>
          <w:color w:val="000000" w:themeColor="text1"/>
          <w:sz w:val="24"/>
          <w:szCs w:val="24"/>
          <w:lang w:val="en-US"/>
          <w14:textFill>
            <w14:solidFill>
              <w14:schemeClr w14:val="tx1"/>
            </w14:solidFill>
          </w14:textFill>
        </w:rPr>
        <w:t>Leqg——建设项目声源在预测点的等效声级贡献值，dB(A)；</w:t>
      </w:r>
      <w:bookmarkEnd w:id="262"/>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LAi——i声源在预测点产生的A声级，dB(A)；</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T——预测计算的时间段，s；</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ti——i声源在T时段内的运行时间，s。</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begin"/>
      </w:r>
      <w:r>
        <w:rPr>
          <w:rFonts w:ascii="Times New Roman" w:hAnsi="Times New Roman" w:cs="Times New Roman" w:eastAsiaTheme="minorEastAsia"/>
          <w:color w:val="000000" w:themeColor="text1"/>
          <w:sz w:val="24"/>
          <w:szCs w:val="24"/>
          <w:lang w:val="en-US"/>
          <w14:textFill>
            <w14:solidFill>
              <w14:schemeClr w14:val="tx1"/>
            </w14:solidFill>
          </w14:textFill>
        </w:rPr>
        <w:instrText xml:space="preserve"> = 2 \* GB3 </w:instrTex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separate"/>
      </w:r>
      <w:r>
        <w:rPr>
          <w:rFonts w:hint="eastAsia"/>
          <w:color w:val="000000" w:themeColor="text1"/>
          <w:sz w:val="24"/>
          <w:szCs w:val="24"/>
          <w:lang w:val="en-US"/>
          <w14:textFill>
            <w14:solidFill>
              <w14:schemeClr w14:val="tx1"/>
            </w14:solidFill>
          </w14:textFill>
        </w:rPr>
        <w:t>②</w:t>
      </w:r>
      <w:r>
        <w:rPr>
          <w:rFonts w:ascii="Times New Roman" w:hAnsi="Times New Roman" w:cs="Times New Roman" w:eastAsiaTheme="minorEastAsia"/>
          <w:color w:val="000000" w:themeColor="text1"/>
          <w:sz w:val="24"/>
          <w:szCs w:val="24"/>
          <w:lang w:val="en-US"/>
          <w14:textFill>
            <w14:solidFill>
              <w14:schemeClr w14:val="tx1"/>
            </w14:solidFill>
          </w14:textFill>
        </w:rPr>
        <w:fldChar w:fldCharType="end"/>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预测点的预测等效声级(Leq)计算公式： </w:t>
      </w:r>
    </w:p>
    <w:p>
      <w:pPr>
        <w:ind w:firstLine="180"/>
        <w:rPr>
          <w:color w:val="000000" w:themeColor="text1"/>
          <w:szCs w:val="21"/>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1685925" cy="228600"/>
            <wp:effectExtent l="0" t="0" r="952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1685925" cy="228600"/>
                    </a:xfrm>
                    <a:prstGeom prst="rect">
                      <a:avLst/>
                    </a:prstGeom>
                    <a:noFill/>
                    <a:ln>
                      <a:noFill/>
                    </a:ln>
                  </pic:spPr>
                </pic:pic>
              </a:graphicData>
            </a:graphic>
          </wp:inline>
        </w:drawing>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式中：</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263" w:name="_Toc274729482"/>
      <w:r>
        <w:rPr>
          <w:rFonts w:ascii="Times New Roman" w:hAnsi="Times New Roman" w:cs="Times New Roman" w:eastAsiaTheme="minorEastAsia"/>
          <w:color w:val="000000" w:themeColor="text1"/>
          <w:sz w:val="24"/>
          <w:szCs w:val="24"/>
          <w:lang w:val="en-US"/>
          <w14:textFill>
            <w14:solidFill>
              <w14:schemeClr w14:val="tx1"/>
            </w14:solidFill>
          </w14:textFill>
        </w:rPr>
        <w:t>Leqg——建设项目声源在预测点的等效声级贡献值，dB(A)；</w:t>
      </w:r>
      <w:bookmarkEnd w:id="263"/>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Leqb——预测点的背景值，dB(A)。</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264" w:name="_Toc4031"/>
      <w:r>
        <w:rPr>
          <w:rFonts w:hint="eastAsia" w:ascii="Times New Roman" w:hAnsi="Times New Roman" w:cs="Times New Roman" w:eastAsiaTheme="minorEastAsia"/>
          <w:color w:val="000000" w:themeColor="text1"/>
          <w:sz w:val="24"/>
          <w:szCs w:val="24"/>
          <w:lang w:val="en-US"/>
          <w14:textFill>
            <w14:solidFill>
              <w14:schemeClr w14:val="tx1"/>
            </w14:solidFill>
          </w14:textFill>
        </w:rPr>
        <w:t>5</w:t>
      </w:r>
      <w:r>
        <w:rPr>
          <w:rFonts w:ascii="Times New Roman" w:hAnsi="Times New Roman" w:cs="Times New Roman" w:eastAsiaTheme="minorEastAsia"/>
          <w:color w:val="000000" w:themeColor="text1"/>
          <w:sz w:val="24"/>
          <w:szCs w:val="24"/>
          <w:lang w:val="en-US"/>
          <w14:textFill>
            <w14:solidFill>
              <w14:schemeClr w14:val="tx1"/>
            </w14:solidFill>
          </w14:textFill>
        </w:rPr>
        <w:t>、预测结果及分析</w:t>
      </w:r>
      <w:bookmarkEnd w:id="264"/>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项目噪声影响预测结果见表5-4-</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表5-4-</w:t>
      </w:r>
      <w:r>
        <w:rPr>
          <w:rFonts w:hint="eastAsia" w:ascii="Times New Roman" w:hAnsiTheme="minorEastAsia" w:eastAsiaTheme="minorEastAsia"/>
          <w:b/>
          <w:bCs/>
          <w:color w:val="000000" w:themeColor="text1"/>
          <w:szCs w:val="24"/>
          <w14:textFill>
            <w14:solidFill>
              <w14:schemeClr w14:val="tx1"/>
            </w14:solidFill>
          </w14:textFill>
        </w:rPr>
        <w:t>5</w:t>
      </w:r>
      <w:r>
        <w:rPr>
          <w:rFonts w:ascii="Times New Roman" w:hAnsiTheme="minorEastAsia" w:eastAsiaTheme="minorEastAsia"/>
          <w:b/>
          <w:bCs/>
          <w:color w:val="000000" w:themeColor="text1"/>
          <w:szCs w:val="24"/>
          <w14:textFill>
            <w14:solidFill>
              <w14:schemeClr w14:val="tx1"/>
            </w14:solidFill>
          </w14:textFill>
        </w:rPr>
        <w:t xml:space="preserve"> 项目噪声影响预测结果单位：dB（A）</w:t>
      </w:r>
    </w:p>
    <w:tbl>
      <w:tblPr>
        <w:tblStyle w:val="70"/>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3815"/>
        <w:gridCol w:w="2416"/>
        <w:gridCol w:w="238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0" w:hRule="atLeast"/>
        </w:trPr>
        <w:tc>
          <w:tcPr>
            <w:tcW w:w="2214"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预测点</w:t>
            </w:r>
          </w:p>
        </w:tc>
        <w:tc>
          <w:tcPr>
            <w:tcW w:w="2786" w:type="pct"/>
            <w:gridSpan w:val="2"/>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贡献值</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0" w:hRule="atLeast"/>
        </w:trPr>
        <w:tc>
          <w:tcPr>
            <w:tcW w:w="2214"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0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Ld</w:t>
            </w:r>
          </w:p>
        </w:tc>
        <w:tc>
          <w:tcPr>
            <w:tcW w:w="1384"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Ln</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6" w:hRule="atLeast"/>
        </w:trPr>
        <w:tc>
          <w:tcPr>
            <w:tcW w:w="2214"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0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dB(A)</w:t>
            </w:r>
          </w:p>
        </w:tc>
        <w:tc>
          <w:tcPr>
            <w:tcW w:w="1384"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dB(A)</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0" w:hRule="atLeast"/>
        </w:trPr>
        <w:tc>
          <w:tcPr>
            <w:tcW w:w="2214"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厂区东侧</w:t>
            </w:r>
          </w:p>
        </w:tc>
        <w:tc>
          <w:tcPr>
            <w:tcW w:w="140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24.03</w:t>
            </w:r>
          </w:p>
        </w:tc>
        <w:tc>
          <w:tcPr>
            <w:tcW w:w="1384"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24.03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0" w:hRule="atLeast"/>
        </w:trPr>
        <w:tc>
          <w:tcPr>
            <w:tcW w:w="2214"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厂区南侧</w:t>
            </w:r>
          </w:p>
        </w:tc>
        <w:tc>
          <w:tcPr>
            <w:tcW w:w="140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18.42</w:t>
            </w:r>
          </w:p>
        </w:tc>
        <w:tc>
          <w:tcPr>
            <w:tcW w:w="1384"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18.42</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0" w:hRule="atLeast"/>
        </w:trPr>
        <w:tc>
          <w:tcPr>
            <w:tcW w:w="2214"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厂区西侧</w:t>
            </w:r>
          </w:p>
        </w:tc>
        <w:tc>
          <w:tcPr>
            <w:tcW w:w="140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17.53</w:t>
            </w:r>
          </w:p>
        </w:tc>
        <w:tc>
          <w:tcPr>
            <w:tcW w:w="1384"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17.53</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50" w:hRule="atLeast"/>
        </w:trPr>
        <w:tc>
          <w:tcPr>
            <w:tcW w:w="2214"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厂区北侧</w:t>
            </w:r>
          </w:p>
        </w:tc>
        <w:tc>
          <w:tcPr>
            <w:tcW w:w="140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30.04</w:t>
            </w:r>
          </w:p>
        </w:tc>
        <w:tc>
          <w:tcPr>
            <w:tcW w:w="1384"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30.04</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由表5-4-</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w:t>
      </w:r>
      <w:r>
        <w:rPr>
          <w:rFonts w:ascii="Times New Roman" w:hAnsi="Times New Roman" w:cs="Times New Roman" w:eastAsiaTheme="minorEastAsia"/>
          <w:color w:val="000000" w:themeColor="text1"/>
          <w:sz w:val="24"/>
          <w:szCs w:val="24"/>
          <w:lang w:val="en-US"/>
          <w14:textFill>
            <w14:solidFill>
              <w14:schemeClr w14:val="tx1"/>
            </w14:solidFill>
          </w14:textFill>
        </w:rPr>
        <w:t>可知，各厂界昼夜间噪声贡献值在1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7.53</w:t>
      </w:r>
      <w:r>
        <w:rPr>
          <w:rFonts w:ascii="Times New Roman" w:hAnsi="Times New Roman" w:cs="Times New Roman" w:eastAsiaTheme="minorEastAsia"/>
          <w:color w:val="000000" w:themeColor="text1"/>
          <w:sz w:val="24"/>
          <w:szCs w:val="24"/>
          <w:lang w:val="en-US"/>
          <w14:textFill>
            <w14:solidFill>
              <w14:schemeClr w14:val="tx1"/>
            </w14:solidFill>
          </w14:textFill>
        </w:rPr>
        <w:t>dB(A)~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30.04</w:t>
      </w:r>
      <w:r>
        <w:rPr>
          <w:rFonts w:ascii="Times New Roman" w:hAnsi="Times New Roman" w:cs="Times New Roman" w:eastAsiaTheme="minorEastAsia"/>
          <w:color w:val="000000" w:themeColor="text1"/>
          <w:sz w:val="24"/>
          <w:szCs w:val="24"/>
          <w:lang w:val="en-US"/>
          <w14:textFill>
            <w14:solidFill>
              <w14:schemeClr w14:val="tx1"/>
            </w14:solidFill>
          </w14:textFill>
        </w:rPr>
        <w:t>dB(A)之间，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能够</w:t>
      </w:r>
      <w:r>
        <w:rPr>
          <w:rFonts w:ascii="Times New Roman" w:hAnsi="Times New Roman" w:cs="Times New Roman" w:eastAsiaTheme="minorEastAsia"/>
          <w:color w:val="000000" w:themeColor="text1"/>
          <w:sz w:val="24"/>
          <w:szCs w:val="24"/>
          <w:lang w:val="en-US"/>
          <w14:textFill>
            <w14:solidFill>
              <w14:schemeClr w14:val="tx1"/>
            </w14:solidFill>
          </w14:textFill>
        </w:rPr>
        <w:t>满足《声环境质量标准》（GB3096-2008）中</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类标准限值的要求。</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5.4.2</w:t>
      </w:r>
      <w:r>
        <w:rPr>
          <w:rFonts w:hint="eastAsia" w:ascii="Times New Roman" w:hAnsi="Times New Roman" w:eastAsia="新宋体" w:cstheme="minorBidi"/>
          <w:color w:val="000000" w:themeColor="text1"/>
          <w:szCs w:val="24"/>
          <w:lang w:val="en-US" w:bidi="ar-SA"/>
          <w14:textFill>
            <w14:solidFill>
              <w14:schemeClr w14:val="tx1"/>
            </w14:solidFill>
          </w14:textFill>
        </w:rPr>
        <w:t>运输对沿线</w:t>
      </w:r>
      <w:r>
        <w:rPr>
          <w:rFonts w:ascii="Times New Roman" w:hAnsi="Times New Roman" w:eastAsia="新宋体" w:cstheme="minorBidi"/>
          <w:color w:val="000000" w:themeColor="text1"/>
          <w:szCs w:val="24"/>
          <w:lang w:val="en-US" w:bidi="ar-SA"/>
          <w14:textFill>
            <w14:solidFill>
              <w14:schemeClr w14:val="tx1"/>
            </w14:solidFill>
          </w14:textFill>
        </w:rPr>
        <w:t>噪声</w:t>
      </w:r>
      <w:r>
        <w:rPr>
          <w:rFonts w:hint="eastAsia" w:ascii="Times New Roman" w:hAnsi="Times New Roman" w:eastAsia="新宋体" w:cstheme="minorBidi"/>
          <w:color w:val="000000" w:themeColor="text1"/>
          <w:szCs w:val="24"/>
          <w:lang w:val="en-US" w:bidi="ar-SA"/>
          <w14:textFill>
            <w14:solidFill>
              <w14:schemeClr w14:val="tx1"/>
            </w14:solidFill>
          </w14:textFill>
        </w:rPr>
        <w:t>环境影响分析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本项目运输对环境的影响主要是运输汽车产生的噪声、扬尘及排放尾气对运输道路沿线环境的影响。</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次评价最主要为运输汽车产生的噪声对沿途声环境的影响。运输沿途有个别居民点，因此，本评价提出严格控制运输时间，禁止在夜间22:00时-次日6:00时运输，昼间运输车辆通过城区内居民区时，限制车速低于20km/h，并禁止鸣笛，以降低运灰汽车产生的噪声。另外，根据本工程只在采暖期运行，此时，运输线路两侧居民房屋窗户关闭较好，运输汽车产生的噪声对居民影响较小。总之，在采取上述噪声污染防治并严格落实的前提下，本期工程运输汽车产生的噪声对途经的声环境的影响较小，不会对居民正常生活产生影响。</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265" w:name="_Toc162605185"/>
      <w:r>
        <w:rPr>
          <w:rFonts w:ascii="Times New Roman" w:hAnsi="Times New Roman" w:cs="Times New Roman" w:eastAsiaTheme="minorEastAsia"/>
          <w:color w:val="000000" w:themeColor="text1"/>
          <w:szCs w:val="24"/>
          <w:lang w:val="en-US" w:bidi="ar-SA"/>
          <w14:textFill>
            <w14:solidFill>
              <w14:schemeClr w14:val="tx1"/>
            </w14:solidFill>
          </w14:textFill>
        </w:rPr>
        <w:t>5.5环境风险评价</w:t>
      </w:r>
      <w:bookmarkEnd w:id="265"/>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1、风险评价工作等级</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跟据《建设项目环境风险评价技术导则》（HJ169-2018）的有关规定，环境风险评价工作等级划分为一级、二级、三级。根据建设项目涉及的物质及工艺系统危险性和所在地的环境敏感性确定环境风险潜势，按照下表确定评价工作等级。风险潜势为Ⅳ及以上，进行一级评价；风险潜势为Ⅲ，进行二级评价；风险潜势为Ⅱ，进行三级评价；风险潜势为Ⅰ，可开展简单分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（一）物料风险识别</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对项目所涉及的原料、辅料、中间产品、产品及废物等物质，凡属于有毒物质(极度危害、高度危害)、强反应或爆炸物、易燃物的均需列表说明其物理化学和毒理学性质、危险性类别等。本工程的应用的危险物料主要为轻柴油，同时具有一定的可燃性和毒性，同时煤粉尘爆炸事故产生的一氧化碳和二氧化硫属于风险评价导则附录中的易燃易爆和有毒有害物质，因此本次风险评价重点分析煤粉尘爆炸事故和爆炸产生的对人体毒害性较大的轻柴油、一氧化碳和二氧化硫的物质危险性分析如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（1）轻柴油物质风险识别</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中文名称：机油</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英文名称：diesel oil</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外观与性状：油状液体, 淡黄色, 无气味或略带异味。</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闪点：180～220℃</w:t>
      </w:r>
      <w:r>
        <w:rPr>
          <w:rFonts w:ascii="Times New Roman" w:hAnsi="Times New Roman" w:cs="Times New Roman" w:eastAsiaTheme="minorEastAsia"/>
          <w:color w:val="000000" w:themeColor="text1"/>
          <w:sz w:val="24"/>
          <w:szCs w:val="24"/>
          <w:lang w:val="en-US"/>
          <w14:textFill>
            <w14:solidFill>
              <w14:schemeClr w14:val="tx1"/>
            </w14:solidFill>
          </w14:textFill>
        </w:rPr>
        <w:tab/>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引燃温度：248℃</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沸点：300~370℃</w:t>
      </w:r>
      <w:r>
        <w:rPr>
          <w:rFonts w:ascii="Times New Roman" w:hAnsi="Times New Roman" w:cs="Times New Roman" w:eastAsiaTheme="minorEastAsia"/>
          <w:color w:val="000000" w:themeColor="text1"/>
          <w:sz w:val="24"/>
          <w:szCs w:val="24"/>
          <w:lang w:val="en-US"/>
          <w14:textFill>
            <w14:solidFill>
              <w14:schemeClr w14:val="tx1"/>
            </w14:solidFill>
          </w14:textFill>
        </w:rPr>
        <w:tab/>
      </w:r>
      <w:r>
        <w:rPr>
          <w:rFonts w:ascii="Times New Roman" w:hAnsi="Times New Roman" w:cs="Times New Roman" w:eastAsiaTheme="minorEastAsia"/>
          <w:color w:val="000000" w:themeColor="text1"/>
          <w:sz w:val="24"/>
          <w:szCs w:val="24"/>
          <w:lang w:val="en-US"/>
          <w14:textFill>
            <w14:solidFill>
              <w14:schemeClr w14:val="tx1"/>
            </w14:solidFill>
          </w14:textFill>
        </w:rPr>
        <w:t>溶解性：不溶于水液</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密</w:t>
      </w:r>
      <w:r>
        <w:rPr>
          <w:rFonts w:ascii="Times New Roman" w:hAnsi="Times New Roman" w:cs="Times New Roman" w:eastAsiaTheme="minorEastAsia"/>
          <w:color w:val="000000" w:themeColor="text1"/>
          <w:sz w:val="24"/>
          <w:szCs w:val="24"/>
          <w:lang w:val="en-US"/>
          <w14:textFill>
            <w14:solidFill>
              <w14:schemeClr w14:val="tx1"/>
            </w14:solidFill>
          </w14:textFill>
        </w:rPr>
        <w:tab/>
      </w:r>
      <w:r>
        <w:rPr>
          <w:rFonts w:ascii="Times New Roman" w:hAnsi="Times New Roman" w:cs="Times New Roman" w:eastAsiaTheme="minorEastAsia"/>
          <w:color w:val="000000" w:themeColor="text1"/>
          <w:sz w:val="24"/>
          <w:szCs w:val="24"/>
          <w:lang w:val="en-US"/>
          <w14:textFill>
            <w14:solidFill>
              <w14:schemeClr w14:val="tx1"/>
            </w14:solidFill>
          </w14:textFill>
        </w:rPr>
        <w:t>度：相对密度(水=1)0.8</w:t>
      </w:r>
      <w:r>
        <w:rPr>
          <w:rFonts w:ascii="Times New Roman" w:hAnsi="Times New Roman" w:cs="Times New Roman" w:eastAsiaTheme="minorEastAsia"/>
          <w:color w:val="000000" w:themeColor="text1"/>
          <w:sz w:val="24"/>
          <w:szCs w:val="24"/>
          <w:lang w:val="en-US"/>
          <w14:textFill>
            <w14:solidFill>
              <w14:schemeClr w14:val="tx1"/>
            </w14:solidFill>
          </w14:textFill>
        </w:rPr>
        <w:tab/>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稳定性：遇明火、高热可燃。</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危险标记：急性吸入，可出现乏力、头晕、头痛、恶心，严重者可引起油脂性肺炎。</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主要用途：用于车辆、船舶的柴油发动机燃料。</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（2）一氧化碳物质风险识别</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理化特性：熔点（℃）-199.1 沸点（℃）-191.4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相对密度（水=1） 0.79 相对密度（空气=1）0.97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饱和蒸汽压（KPa）无资料燃烧热（Kj/mol）无资料</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临界温度（℃） -140.2 临界压力（MPa）3.50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溶解性微溶于水、溶于乙醇、苯等多数有机溶剂。</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燃爆特性：燃烧性：易燃闪点（℃）：&lt;-50 引燃温度（℃）：610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爆炸上限（%）：74.2 爆炸下限（%）： 12.5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最小点火能（mJ）：无资料最大爆炸压力（MPa）：0.720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危险特性：是一种易燃易爆气体，与空气可形成爆炸性混合物，遇明火、高温能引起燃烧爆炸。</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毒理学指标： LD50：无资料 LC50：2069mg/m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，4小时(大鼠吸入)。</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职业接触限值：最高容许浓度（mg/m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）：未制定标准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时间加权平均容许浓度（mg/m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）：20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短时间接触容许浓度（mg/m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）：30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（3）二氧化硫物质风险识别</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理化特性：</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外观与性状：无色气体，特臭。</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熔点(℃)：-75.5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沸点(℃)：-10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相对密度(水=1)：1.43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相对蒸气密度(空气=1)：2.26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饱和蒸气压(kPa)：338.42(21.1℃)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燃烧热(kJ/mol)：无意义</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临界温度(℃)：157.8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临界压力(MPa)：7.87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环境危害：对大气可造成严重污染。</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毒理学指标：LD50：无资料 LC50：6600mg/m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，1小时(大鼠吸入)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职业接触限值：短时间接触容许浓度Pc-Stel（mg/m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）：10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（二）生产过程风险识别</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根据《建设项目环境风险评价技术导则》（</w:t>
      </w:r>
      <w:r>
        <w:rPr>
          <w:rFonts w:ascii="Times New Roman" w:hAnsi="Times New Roman" w:cs="Times New Roman" w:eastAsiaTheme="minorEastAsia"/>
          <w:color w:val="000000" w:themeColor="text1"/>
          <w:sz w:val="24"/>
          <w:szCs w:val="24"/>
          <w:lang w:val="en-US"/>
          <w14:textFill>
            <w14:solidFill>
              <w14:schemeClr w14:val="tx1"/>
            </w14:solidFill>
          </w14:textFill>
        </w:rPr>
        <w:t>HJ169-2018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）对项目主要物料的毒性及其风险危害特性进行识别。本项目的危险物质主要包括</w:t>
      </w:r>
      <w:r>
        <w:rPr>
          <w:rFonts w:ascii="Times New Roman" w:hAnsi="Times New Roman" w:cs="Times New Roman" w:eastAsiaTheme="minorEastAsia"/>
          <w:color w:val="000000" w:themeColor="text1"/>
          <w:sz w:val="24"/>
          <w:szCs w:val="24"/>
          <w:lang w:val="en-US"/>
          <w14:textFill>
            <w14:solidFill>
              <w14:schemeClr w14:val="tx1"/>
            </w14:solidFill>
          </w14:textFill>
        </w:rPr>
        <w:t>锅炉点火助燃油采用轻柴油</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及废机油。</w:t>
      </w:r>
      <w:r>
        <w:rPr>
          <w:rFonts w:ascii="Times New Roman" w:hAnsi="Times New Roman" w:cs="Times New Roman" w:eastAsiaTheme="minorEastAsia"/>
          <w:color w:val="000000" w:themeColor="text1"/>
          <w:sz w:val="24"/>
          <w:szCs w:val="24"/>
          <w:lang w:val="en-US"/>
          <w14:textFill>
            <w14:solidFill>
              <w14:schemeClr w14:val="tx1"/>
            </w14:solidFill>
          </w14:textFill>
        </w:rPr>
        <w:t>本项目厂内不设柴油罐，仅点火时由罐车运输至厂区进行点火作业（油罐车→油过滤器→供油泵→锅炉）。根据当地的气象条件，锅炉点火助燃油采用轻柴油。一次性使用柴油0.05t。根据《建设项目环境风险评价技术导则》（HJ169-2018）中附录B给出的柴油临界量为2500t，本项目柴油仅是点火过程中的燃料，因此本项目危险物质为柴油</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。本项目废机油产生量为0.1t/a，在危废贮存库暂存最大值为0.1t/a。</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Q=0.05/2500+0.1/2500=0.00006&lt;1。因此Q&lt;1，本项目环境风险潜势为I级。本项目应对事故影响进行简单分析，提出防范、减缓和应急措施。</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2、事故影响分析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确定本次环境风险评价的大气环境影响的最大可信事故确定为燃煤输煤系统的筛分、破碎、输送环节可能产生的煤粉尘爆炸事故。煤粉尘一旦发生爆炸，后果极为严重，轻则停机影响设备运行，重则造成设备、厂房损坏乃至人身伤害。爆炸会将防爆阀爆裂，造成生产及生产人员伤害事故，但煤粉尘爆炸事故的影响范围只在工段附近，根据已发生的煤粉尘爆炸事故分析，最严重的煤粉尘爆炸事故造成了三个工人死亡，但没有造成周围居民死亡，说明煤粉尘爆炸的影响范围主要在工段附近。在煤粉尘中空气含量较低的情况下，爆炸会产生少量一氧化碳和二氧化硫，但由于爆炸时间很短，且煤粉尘爆炸产生的一氧化碳和二氧化硫量很小，在已发生的煤粉尘爆炸事故统计资料中未见有一氧化碳和二氧化硫造成居民中毒的案例，因此煤粉尘爆炸对厂区外环境影响很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3、环境防范措施及应急预案</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（1）风险防范措施</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本项目点火所用轻柴油须由有危险品运输资质单位负责运输，在点火作业，柴油罐车停靠在厂内内，应设置明显警示标志及隔离区，操作人员必须经过相关培训，做到专岗专人，罐车停留区域必须配备灭火设施或灭火器材并确保足够的通风，防止油气积聚。</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厂区内应有醒目的严禁烟火标志，严禁动火吸烟；采取有效措施防止电气线路和电气设施在开关断开、接触不良、短路、漏电时产生火花，防止静电放电火花；采取防雷接地措施，防止雷电放电火花。建立应急救援组织或者配备应急救援人员，配备必要的应急救援器材、设备，对消防措施定期检查，保证消防措施的有效性，并定期组织演练。</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3）通风除尘、泄爆、防爆设施，未经安全主管部门同意，不得拆除、更改及停止使用。</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4）燃煤输送系统内应杜绝非生产性明火出现，燃煤制备车间内不应存放易燃、易爆物品。</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5）燃煤输送系统应防止产生摩擦碰撞火花：应在系统适当位置安装除去物料中的铁质及其它杂物的装置；进行非动火检修维护作业时，不宜使用铁器敲击设备、管道，应采用防爆手工工具。</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6）良好的维护和清洁的房间是防爆的最佳措施，应建立定期的清扫制度，特别加强对于转动、发热等部位的清扫。</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7）宜采用真空吸尘装置进行清扫作业，不宜采用压缩空气进行清扫作业。</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8）系统内的设备停车后及检修前，应先清除设备内部积料和设备外部积尘。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9）应根据粉尘防爆实施细则和安全检查规范定期做防爆安全检查。</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10）系统作业时，不应实施明火作业。企业应根据具体情况划分防火防爆作业区域，并明确各区域办理明火作业的审批部门和权限。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11）防火防爆作业区域的建筑物，明火作业处10m半径范围内均应清扫干净，并用水淋湿地面，且所有门窗均应打开。</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12）在灰渣仓顶部进行明火作业，明火作业点10m半径范围内的所有仓顶孔、通风除尘口均应加盖并用阻燃材料覆盖，并将仓内煤粉排净。</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（2）应急预案</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的生产必然伴随着潜在的危害，如果安全措施水平高，则事故概率必然会降低，但不会为零。一旦发生事故，需要采取工程应急措施，控制和减少事故危害。如果有毒有害物泄漏到环境，则可能危害环境，需要实施社会求援，因此，需要制定《事故应急救援综合预案》。</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企业应建立完善的应急组织机构和应急预案，以防止安全生产事故的发生，迅速有效地控制和处置发生的事故，最大限度地减少人员伤亡、财产损失、环境破坏和社会影响等。一旦发生风险事故时，立即启动《事故应急救援综合预案》，在严格落实风险管理及应急措施后，可将风险发生的概率和影响后果降到最低限度，其风险水平可以被接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公司环境风险应急组织机构相关人员要明确职责，出现突发环境风险事件要做到各负其责、紧张有序，统一指挥、统一调度。应急预案内容见表5-5-1。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表5-5-1 应急预案主要内容</w:t>
      </w:r>
    </w:p>
    <w:tbl>
      <w:tblPr>
        <w:tblStyle w:val="7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8"/>
        <w:gridCol w:w="1547"/>
        <w:gridCol w:w="62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tcBorders>
              <w:top w:val="single" w:color="auto" w:sz="12" w:space="0"/>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898" w:type="pct"/>
            <w:tcBorders>
              <w:top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3610" w:type="pct"/>
            <w:tcBorders>
              <w:top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8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应急计划区</w:t>
            </w:r>
          </w:p>
        </w:tc>
        <w:tc>
          <w:tcPr>
            <w:tcW w:w="361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危险目标：锅炉房燃料系统、锅炉燃烧系统、承压设备、电力电缆、变压器与配电设施、燃料库、燃料堆场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8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应急组织机构、人员</w:t>
            </w:r>
          </w:p>
        </w:tc>
        <w:tc>
          <w:tcPr>
            <w:tcW w:w="361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公司成立以负责人为总指挥，分管生产负责人为副总指挥的事故应急救援队伍，指挥部下设办公室、工程救援组、医疗救护组、后勤保障组。制定《事故应急救预案》和实施细则，组织专业队伍学习和演练，提高队伍实战能力，防患于未然，一边应急救援工作的顺利开展。同时该公司必须将本单位的安全措施、应急措施报告有关地方人民政府的安全生产监督管理部门等有关部门，以便政府及其有关部门能够及时掌握有关情况，一旦发生事故，政府及其有关部门可以调动有关方面力量进行救援，以减少事故损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8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预案分级响应条件</w:t>
            </w:r>
          </w:p>
        </w:tc>
        <w:tc>
          <w:tcPr>
            <w:tcW w:w="361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规定预案的级别及分级响应程序。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8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应急救援保障</w:t>
            </w:r>
          </w:p>
        </w:tc>
        <w:tc>
          <w:tcPr>
            <w:tcW w:w="361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应急设施、设备与器材（自给正压式呼吸器、防护服）等。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w:t>
            </w:r>
          </w:p>
        </w:tc>
        <w:tc>
          <w:tcPr>
            <w:tcW w:w="8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报警、通迅联络方式</w:t>
            </w:r>
          </w:p>
        </w:tc>
        <w:tc>
          <w:tcPr>
            <w:tcW w:w="361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应急状态下的报警通迅方式为电话报告，发现事故者应当立即向厂调度室报警，厂调度室接到报警后，迅速向各救援队（包括通讯队、治安队、消防队、医疗队、抢修队、后勤队等）报警，通知各有关单位采取紧急措施，防止事故扩大，通知事故车间迅速查明事故原因，并将情况通知指挥部，治安队接到报警后，根据可能引起急性中毒和爆炸的浓度范围设置警戒线，封锁有关道路，制止无关人员进入，指挥各种抢救车辆，有秩序进入抢救区域，安排好群众疏散路线，必要时通知厂门卫关闭厂门，禁止无关人员入场围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w:t>
            </w:r>
          </w:p>
        </w:tc>
        <w:tc>
          <w:tcPr>
            <w:tcW w:w="8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应急环境监测、抢险、救援及控制措施</w:t>
            </w:r>
          </w:p>
        </w:tc>
        <w:tc>
          <w:tcPr>
            <w:tcW w:w="361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由市环境监测站负责队事故现场进行侦察监测，对事故性质、参数与后果进行评估，为指挥部门提供决策依据。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w:t>
            </w:r>
          </w:p>
        </w:tc>
        <w:tc>
          <w:tcPr>
            <w:tcW w:w="8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应急检测、防护措施、清除泄露措施和器材</w:t>
            </w:r>
          </w:p>
        </w:tc>
        <w:tc>
          <w:tcPr>
            <w:tcW w:w="361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事故现场、临近区域、控制防火区域，控制和清除污染措施及相应设备。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w:t>
            </w:r>
          </w:p>
        </w:tc>
        <w:tc>
          <w:tcPr>
            <w:tcW w:w="8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人员紧急撤离、疏散、撤离组织计划</w:t>
            </w:r>
          </w:p>
        </w:tc>
        <w:tc>
          <w:tcPr>
            <w:tcW w:w="361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撤离组织计划及救护，医疗救护与公众健康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w:t>
            </w:r>
          </w:p>
        </w:tc>
        <w:tc>
          <w:tcPr>
            <w:tcW w:w="8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事故应急救援关闭程序于恢复措施</w:t>
            </w:r>
          </w:p>
        </w:tc>
        <w:tc>
          <w:tcPr>
            <w:tcW w:w="361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专业队抢救结束后，做好事故现场善后处理，临近区域解除事故警戒及善后恢复措施，现场调查、清理、清洗工作，恢复工艺管线、电气仪表、设备的生产状态，组织生产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tcBorders>
              <w:lef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p>
        </w:tc>
        <w:tc>
          <w:tcPr>
            <w:tcW w:w="8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应急培训计划</w:t>
            </w:r>
          </w:p>
        </w:tc>
        <w:tc>
          <w:tcPr>
            <w:tcW w:w="3610" w:type="pct"/>
            <w:tcBorders>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应急计划制定后，每三个月安排人员培训与演练一次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2" w:type="pct"/>
            <w:tcBorders>
              <w:left w:val="nil"/>
              <w:bottom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w:t>
            </w:r>
          </w:p>
        </w:tc>
        <w:tc>
          <w:tcPr>
            <w:tcW w:w="898" w:type="pct"/>
            <w:tcBorders>
              <w:bottom w:val="single" w:color="auto"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公众教育和信息</w:t>
            </w:r>
          </w:p>
        </w:tc>
        <w:tc>
          <w:tcPr>
            <w:tcW w:w="3610" w:type="pct"/>
            <w:tcBorders>
              <w:bottom w:val="single" w:color="auto"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对临近地区将本项目有关风险事项风险告知公众，开展公众教育、培训和发布有关信息</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266" w:name="_Toc7270943"/>
      <w:bookmarkStart w:id="267" w:name="_Toc3212872"/>
      <w:bookmarkStart w:id="268" w:name="_Toc393723519"/>
      <w:bookmarkStart w:id="269" w:name="_Toc344905304"/>
      <w:bookmarkStart w:id="270" w:name="_Toc329786637"/>
      <w:bookmarkStart w:id="271" w:name="_Toc1480917"/>
      <w:bookmarkStart w:id="272" w:name="_Toc17704164"/>
      <w:bookmarkStart w:id="273" w:name="_Toc1480778"/>
      <w:bookmarkStart w:id="274" w:name="_Toc42197200"/>
      <w:r>
        <w:rPr>
          <w:rFonts w:ascii="Times New Roman" w:hAnsi="Times New Roman" w:cs="Times New Roman" w:eastAsiaTheme="minorEastAsia"/>
          <w:color w:val="000000" w:themeColor="text1"/>
          <w:sz w:val="24"/>
          <w:szCs w:val="24"/>
          <w:lang w:val="en-US"/>
          <w14:textFill>
            <w14:solidFill>
              <w14:schemeClr w14:val="tx1"/>
            </w14:solidFill>
          </w14:textFill>
        </w:rPr>
        <w:t>4、风险评价小结</w:t>
      </w:r>
      <w:bookmarkEnd w:id="266"/>
      <w:bookmarkEnd w:id="267"/>
      <w:bookmarkEnd w:id="268"/>
      <w:bookmarkEnd w:id="269"/>
      <w:bookmarkEnd w:id="270"/>
      <w:bookmarkEnd w:id="271"/>
      <w:bookmarkEnd w:id="272"/>
      <w:bookmarkEnd w:id="273"/>
      <w:bookmarkEnd w:id="274"/>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1）风险评价小结</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依据本工程风险识别章节对工程所涉及的装置、物料情况的分析，项目所涉及的物料、中间产物以及最终产品存在易燃、易爆物质。可能发生的事故类型为火灾、爆炸。通过对最大可信事故的分析，本工程最大可信事故的风险值为可接受水平。本项目环境风险程度可以接受。</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2）建设项目环境风险简单分析内容表如下：</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表5-5-2 建设项目环境风险简单分析内容表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04"/>
        <w:gridCol w:w="4122"/>
        <w:gridCol w:w="29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建设项目名称</w:t>
            </w:r>
          </w:p>
        </w:tc>
        <w:tc>
          <w:tcPr>
            <w:tcW w:w="4127"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2022年北大荒农垦集团红兴隆分公司农垦公用基础设施建设项目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建设地点</w:t>
            </w:r>
          </w:p>
        </w:tc>
        <w:tc>
          <w:tcPr>
            <w:tcW w:w="4127"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红兴隆管理局在管理局局直南侧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地理坐标</w:t>
            </w:r>
          </w:p>
        </w:tc>
        <w:tc>
          <w:tcPr>
            <w:tcW w:w="239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东经131.57286108</w:t>
            </w:r>
          </w:p>
        </w:tc>
        <w:tc>
          <w:tcPr>
            <w:tcW w:w="173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北纬46.70153995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主要危险物质及分布</w:t>
            </w:r>
          </w:p>
        </w:tc>
        <w:tc>
          <w:tcPr>
            <w:tcW w:w="4127"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煤粉尘爆炸事故</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环境影响途径及影响后果</w:t>
            </w:r>
          </w:p>
        </w:tc>
        <w:tc>
          <w:tcPr>
            <w:tcW w:w="4127"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煤粉尘一旦发生爆炸，后果极为严重，轻则停机影响设备运行，重则造成设备、厂房损坏乃至人身伤害。爆炸会将防爆阀爆裂，造成生产及生产人员伤害事故，但煤粉尘爆炸事故的影响范围只在工段附近。在煤粉尘中空气含量较低的情况下，爆炸会产生少量一氧化碳和二氧化硫，但由于爆炸时间很短，且煤粉尘爆炸产生的一氧化碳和二氧化硫量很小，因此煤粉尘爆炸对厂区外环境影响很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风险防范措施要求</w:t>
            </w:r>
          </w:p>
        </w:tc>
        <w:tc>
          <w:tcPr>
            <w:tcW w:w="4127"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本项目点火所用轻柴油须由有危险品运输资质单位负责运输，在点火作业，柴油罐车停靠在厂内内，应设置明显警示标志及隔离区，操作人员必须经过相关培训，做到专岗专人，罐车停留区域必须配备灭火设施或灭火器材并确保足够的通风，防止油气积聚。</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厂区内应有醒目的严禁烟火标志，严禁动火吸烟；采取有效措施防止电气线路和电气设施在开关断开、接触不良、短路、漏电时产生火花，防止静电放电火花；采取防雷接地措施，防止雷电放电火花。建立应急救援组织或者配备应急救援人员，配备必要的应急救援器材、设备，对消防措施定期检查，保证消防措施的有效性，并定期组织演练。</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3）通风除尘、泄爆、防爆设施，未经安全主管部门同意，不得拆除、更改及停止使用。</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4）燃煤输送系统内应杜绝非生产性明火出现，燃煤制备车间内不应存放易燃、易爆物品。</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5）燃煤输送系统应防止产生摩擦碰撞火花：应在系统适当位置安装除去物料中的铁质及其它杂物的装置；进行非动火检修维护作业时，不宜使用铁器敲击设备、管道，应采用防爆手工工具。</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6）良好的维护和清洁的房间是防爆的最佳措施，应建立定期的清扫制度，特别加强对于转动、发热等部位的清扫。</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7）宜采用真空吸尘装置进行清扫作业，不宜采用压缩空气进行清扫作业。</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8）系统内的设备停车后及检修前，应先清除设备内部积料和设备外部积尘。</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9）应根据粉尘防爆实施细则和安全检查规范定期做防爆安全检查。</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10）系统作业时，不应实施明火作业。企业应根据具体情况划分防火防爆作业区域，并明确各区域办理明火作业的审批部门和权限。</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11）防火防爆作业区域的建筑物，明火作业处10m半径范围内均应清扫干净，并用水淋湿地面，且所有门窗均应打开。</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12）在灰渣仓顶部进行明火作业，明火作业点10m半径范围内的所有仓顶孔、通风除尘口均应加盖并用阻燃材料覆盖，并将仓内煤粉排净。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7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填表说明</w:t>
            </w:r>
          </w:p>
        </w:tc>
        <w:tc>
          <w:tcPr>
            <w:tcW w:w="4127"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拟建项目环境风险潜势为Ⅰ，根据《建设项目环境风险评价技术导则》（HJ169-2018）中表C.2，Q＜1。</w:t>
            </w:r>
          </w:p>
        </w:tc>
      </w:tr>
    </w:tbl>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275" w:name="_Toc162605186"/>
      <w:r>
        <w:rPr>
          <w:rFonts w:ascii="Times New Roman" w:hAnsi="Times New Roman" w:cs="Times New Roman" w:eastAsiaTheme="minorEastAsia"/>
          <w:color w:val="000000" w:themeColor="text1"/>
          <w:szCs w:val="24"/>
          <w:lang w:val="en-US" w:bidi="ar-SA"/>
          <w14:textFill>
            <w14:solidFill>
              <w14:schemeClr w14:val="tx1"/>
            </w14:solidFill>
          </w14:textFill>
        </w:rPr>
        <w:t>5.6固废环境影响分析</w:t>
      </w:r>
      <w:bookmarkEnd w:id="275"/>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扩建锅炉运行后，固体废物主要是锅炉灰渣、脱硫渣、</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废催化剂、</w:t>
      </w:r>
      <w:r>
        <w:rPr>
          <w:rFonts w:ascii="Times New Roman" w:hAnsi="Times New Roman" w:cs="Times New Roman" w:eastAsiaTheme="minorEastAsia"/>
          <w:color w:val="000000" w:themeColor="text1"/>
          <w:sz w:val="24"/>
          <w:szCs w:val="24"/>
          <w:lang w:val="en-US"/>
          <w14:textFill>
            <w14:solidFill>
              <w14:schemeClr w14:val="tx1"/>
            </w14:solidFill>
          </w14:textFill>
        </w:rPr>
        <w:t>废树脂。厂内锅炉灰渣全部外售综合利用。厂外灰渣的运输车辆采用密闭式，可防止运输过程中灰渣飞扬污染环境。</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灰渣</w:t>
      </w:r>
      <w:r>
        <w:rPr>
          <w:rFonts w:ascii="Times New Roman" w:hAnsi="Times New Roman" w:cs="Times New Roman" w:eastAsiaTheme="minorEastAsia"/>
          <w:color w:val="000000" w:themeColor="text1"/>
          <w:sz w:val="24"/>
          <w:szCs w:val="24"/>
          <w:lang w:val="en-US"/>
          <w14:textFill>
            <w14:solidFill>
              <w14:schemeClr w14:val="tx1"/>
            </w14:solidFill>
          </w14:textFill>
        </w:rPr>
        <w:t>：本项目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全厂锅炉灰渣</w:t>
      </w:r>
      <w:r>
        <w:rPr>
          <w:rFonts w:ascii="Times New Roman" w:hAnsi="Times New Roman" w:cs="Times New Roman" w:eastAsiaTheme="minorEastAsia"/>
          <w:color w:val="000000" w:themeColor="text1"/>
          <w:sz w:val="24"/>
          <w:szCs w:val="24"/>
          <w:lang w:val="en-US"/>
          <w14:textFill>
            <w14:solidFill>
              <w14:schemeClr w14:val="tx1"/>
            </w14:solidFill>
          </w14:textFill>
        </w:rPr>
        <w:t>产生量为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8748.665</w:t>
      </w:r>
      <w:r>
        <w:rPr>
          <w:rFonts w:ascii="Times New Roman" w:hAnsi="Times New Roman" w:cs="Times New Roman" w:eastAsiaTheme="minorEastAsia"/>
          <w:color w:val="000000" w:themeColor="text1"/>
          <w:sz w:val="24"/>
          <w:szCs w:val="24"/>
          <w:lang w:val="en-US"/>
          <w14:textFill>
            <w14:solidFill>
              <w14:schemeClr w14:val="tx1"/>
            </w14:solidFill>
          </w14:textFill>
        </w:rPr>
        <w:t>t/a，锅炉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灰渣、</w:t>
      </w:r>
      <w:r>
        <w:rPr>
          <w:rFonts w:ascii="Times New Roman" w:hAnsi="Times New Roman" w:cs="Times New Roman" w:eastAsiaTheme="minorEastAsia"/>
          <w:color w:val="000000" w:themeColor="text1"/>
          <w:sz w:val="24"/>
          <w:szCs w:val="24"/>
          <w:lang w:val="en-US"/>
          <w14:textFill>
            <w14:solidFill>
              <w14:schemeClr w14:val="tx1"/>
            </w14:solidFill>
          </w14:textFill>
        </w:rPr>
        <w:t>除尘灰暂存于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灰渣场</w:t>
      </w:r>
      <w:r>
        <w:rPr>
          <w:rFonts w:ascii="Times New Roman" w:hAnsi="Times New Roman" w:cs="Times New Roman" w:eastAsiaTheme="minorEastAsia"/>
          <w:color w:val="000000" w:themeColor="text1"/>
          <w:sz w:val="24"/>
          <w:szCs w:val="24"/>
          <w:lang w:val="en-US"/>
          <w14:textFill>
            <w14:solidFill>
              <w14:schemeClr w14:val="tx1"/>
            </w14:solidFill>
          </w14:textFill>
        </w:rPr>
        <w:t>中，全部外售综合利用。</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2、脱硫渣：本项目新增脱硫渣产生量为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500</w:t>
      </w:r>
      <w:r>
        <w:rPr>
          <w:rFonts w:ascii="Times New Roman" w:hAnsi="Times New Roman" w:cs="Times New Roman" w:eastAsiaTheme="minorEastAsia"/>
          <w:color w:val="000000" w:themeColor="text1"/>
          <w:sz w:val="24"/>
          <w:szCs w:val="24"/>
          <w:lang w:val="en-US"/>
          <w14:textFill>
            <w14:solidFill>
              <w14:schemeClr w14:val="tx1"/>
            </w14:solidFill>
          </w14:textFill>
        </w:rPr>
        <w:t>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集中收集后与锅炉灰渣一并外售综合利用。</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、废树脂：本项目产生的废树脂主要在软水装置产生，主要成分为本项目原料水中的钙镁离子和树脂，软水装置树脂离子交换塔一年换料1次，年产生量1吨，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集中收集后在厂区</w:t>
      </w:r>
      <w:r>
        <w:rPr>
          <w:rFonts w:ascii="Times New Roman" w:hAnsi="Times New Roman" w:cs="Times New Roman" w:eastAsiaTheme="minorEastAsia"/>
          <w:color w:val="000000" w:themeColor="text1"/>
          <w:sz w:val="24"/>
          <w:szCs w:val="24"/>
          <w:lang w:val="en-US"/>
          <w14:textFill>
            <w14:solidFill>
              <w14:schemeClr w14:val="tx1"/>
            </w14:solidFill>
          </w14:textFill>
        </w:rPr>
        <w:t>暂存，</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后交</w:t>
      </w:r>
      <w:r>
        <w:rPr>
          <w:rFonts w:ascii="Times New Roman" w:hAnsi="Times New Roman" w:cs="Times New Roman" w:eastAsiaTheme="minorEastAsia"/>
          <w:color w:val="000000" w:themeColor="text1"/>
          <w:sz w:val="24"/>
          <w:szCs w:val="24"/>
          <w:lang w:val="en-US"/>
          <w14:textFill>
            <w14:solidFill>
              <w14:schemeClr w14:val="tx1"/>
            </w14:solidFill>
          </w14:textFill>
        </w:rPr>
        <w:t>由</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树脂生产企业回收</w:t>
      </w:r>
      <w:r>
        <w:rPr>
          <w:rFonts w:ascii="Times New Roman" w:hAnsi="Times New Roman" w:cs="Times New Roman" w:eastAsiaTheme="minorEastAsia"/>
          <w:color w:val="000000" w:themeColor="text1"/>
          <w:sz w:val="24"/>
          <w:szCs w:val="24"/>
          <w:lang w:val="en-US"/>
          <w14:textFill>
            <w14:solidFill>
              <w14:schemeClr w14:val="tx1"/>
            </w14:solidFill>
          </w14:textFill>
        </w:rPr>
        <w:t>处理。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4、设备定期检修、更换设备会产生废机油，产生量</w:t>
      </w:r>
      <w:r>
        <w:rPr>
          <w:rFonts w:ascii="Times New Roman" w:hAnsi="Times New Roman" w:cs="Times New Roman" w:eastAsiaTheme="minorEastAsia"/>
          <w:color w:val="000000" w:themeColor="text1"/>
          <w:sz w:val="24"/>
          <w:szCs w:val="24"/>
          <w:lang w:val="en-US"/>
          <w14:textFill>
            <w14:solidFill>
              <w14:schemeClr w14:val="tx1"/>
            </w14:solidFill>
          </w14:textFill>
        </w:rPr>
        <w:t>0.1t/a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，属于危险废物，</w:t>
      </w:r>
      <w:r>
        <w:rPr>
          <w:rFonts w:ascii="Times New Roman" w:hAnsi="Times New Roman" w:cs="Times New Roman" w:eastAsiaTheme="minorEastAsia"/>
          <w:color w:val="000000" w:themeColor="text1"/>
          <w:sz w:val="24"/>
          <w:szCs w:val="24"/>
          <w:lang w:val="en-US"/>
          <w14:textFill>
            <w14:solidFill>
              <w14:schemeClr w14:val="tx1"/>
            </w14:solidFill>
          </w14:textFill>
        </w:rPr>
        <w:t>HW08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，代码为</w:t>
      </w:r>
      <w:r>
        <w:rPr>
          <w:rFonts w:ascii="Times New Roman" w:hAnsi="Times New Roman" w:cs="Times New Roman" w:eastAsiaTheme="minorEastAsia"/>
          <w:color w:val="000000" w:themeColor="text1"/>
          <w:sz w:val="24"/>
          <w:szCs w:val="24"/>
          <w:lang w:val="en-US"/>
          <w14:textFill>
            <w14:solidFill>
              <w14:schemeClr w14:val="tx1"/>
            </w14:solidFill>
          </w14:textFill>
        </w:rPr>
        <w:t>“HW08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900-214-08”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，即</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车辆、轮船及其它机械维修过程中产生的废发动机油、制动器油、自动变速器油、齿轮油等废润滑油</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；废机油暂存在危废贮存库，定期委托有资质单位处理。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5、废催化剂：本项目脱硝工艺采取SNCR-SCR联合脱硝技术，其中催化剂主要成分为V2O5等。本项目选用蜂窝式催化剂，反应器中一次性装备量为5t（寿命3年）。废催化剂属于危险废物，暂存在危废贮存库，定期委托有资质单位处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6、废布袋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根据锅炉厂家提供的资料可知，布袋除尘器滤袋2 年更换一次，废滤袋产生量为974条/2a。由厂家回收。</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项目生产过程固体废物主要产生部位、种类及排放情况详见表5-6-1。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表5-6-1本项目固废物处理/处置措施</w:t>
      </w:r>
    </w:p>
    <w:tbl>
      <w:tblPr>
        <w:tblStyle w:val="70"/>
        <w:tblW w:w="8522"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5"/>
        <w:gridCol w:w="1134"/>
        <w:gridCol w:w="1276"/>
        <w:gridCol w:w="1134"/>
        <w:gridCol w:w="430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113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127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产生量（t/a）</w:t>
            </w:r>
          </w:p>
        </w:tc>
        <w:tc>
          <w:tcPr>
            <w:tcW w:w="113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类别</w:t>
            </w:r>
          </w:p>
        </w:tc>
        <w:tc>
          <w:tcPr>
            <w:tcW w:w="4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处理方式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13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灰渣</w:t>
            </w:r>
          </w:p>
        </w:tc>
        <w:tc>
          <w:tcPr>
            <w:tcW w:w="127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8748.665</w:t>
            </w:r>
          </w:p>
        </w:tc>
        <w:tc>
          <w:tcPr>
            <w:tcW w:w="113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一般固废</w:t>
            </w:r>
          </w:p>
        </w:tc>
        <w:tc>
          <w:tcPr>
            <w:tcW w:w="430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锅炉灰渣、脱硫废渣全部外售综合利用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113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脱硫废渣</w:t>
            </w:r>
          </w:p>
        </w:tc>
        <w:tc>
          <w:tcPr>
            <w:tcW w:w="127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500</w:t>
            </w:r>
          </w:p>
        </w:tc>
        <w:tc>
          <w:tcPr>
            <w:tcW w:w="113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一般固废</w:t>
            </w:r>
          </w:p>
        </w:tc>
        <w:tc>
          <w:tcPr>
            <w:tcW w:w="43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p>
        </w:tc>
        <w:tc>
          <w:tcPr>
            <w:tcW w:w="113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废树脂</w:t>
            </w:r>
          </w:p>
        </w:tc>
        <w:tc>
          <w:tcPr>
            <w:tcW w:w="127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13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一般固废</w:t>
            </w:r>
          </w:p>
        </w:tc>
        <w:tc>
          <w:tcPr>
            <w:tcW w:w="4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一般固体废物，集中收集后交由离子交换树脂生产企业回收处置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w:t>
            </w:r>
          </w:p>
        </w:tc>
        <w:tc>
          <w:tcPr>
            <w:tcW w:w="113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废布袋</w:t>
            </w:r>
          </w:p>
        </w:tc>
        <w:tc>
          <w:tcPr>
            <w:tcW w:w="127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974条/2a</w:t>
            </w:r>
          </w:p>
        </w:tc>
        <w:tc>
          <w:tcPr>
            <w:tcW w:w="113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一般固废</w:t>
            </w:r>
          </w:p>
        </w:tc>
        <w:tc>
          <w:tcPr>
            <w:tcW w:w="4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厂家回收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w:t>
            </w:r>
          </w:p>
        </w:tc>
        <w:tc>
          <w:tcPr>
            <w:tcW w:w="113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废机油</w:t>
            </w:r>
          </w:p>
        </w:tc>
        <w:tc>
          <w:tcPr>
            <w:tcW w:w="127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113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危险废物</w:t>
            </w:r>
          </w:p>
        </w:tc>
        <w:tc>
          <w:tcPr>
            <w:tcW w:w="4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暂存在危废贮存库，定期委托有资质单位处理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w:t>
            </w:r>
          </w:p>
        </w:tc>
        <w:tc>
          <w:tcPr>
            <w:tcW w:w="113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废催化剂</w:t>
            </w:r>
          </w:p>
        </w:tc>
        <w:tc>
          <w:tcPr>
            <w:tcW w:w="127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5t/3a</w:t>
            </w:r>
          </w:p>
        </w:tc>
        <w:tc>
          <w:tcPr>
            <w:tcW w:w="113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危险废物</w:t>
            </w:r>
          </w:p>
        </w:tc>
        <w:tc>
          <w:tcPr>
            <w:tcW w:w="43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暂存在危废贮存库，定期委托有资质单位处理</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w:t>
      </w:r>
      <w:r>
        <w:rPr>
          <w:rFonts w:ascii="Times New Roman" w:hAnsi="Times New Roman" w:cs="Times New Roman" w:eastAsiaTheme="minorEastAsia"/>
          <w:color w:val="000000" w:themeColor="text1"/>
          <w:sz w:val="24"/>
          <w:szCs w:val="24"/>
          <w:lang w:val="en-US"/>
          <w14:textFill>
            <w14:solidFill>
              <w14:schemeClr w14:val="tx1"/>
            </w14:solidFill>
          </w14:textFill>
        </w:rPr>
        <w:t>危废贮存库位于原有锅炉房东侧，建筑面积</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50</w:t>
      </w:r>
      <w:r>
        <w:rPr>
          <w:rFonts w:ascii="Times New Roman" w:hAnsi="Times New Roman" w:cs="Times New Roman" w:eastAsiaTheme="minorEastAsia"/>
          <w:color w:val="000000" w:themeColor="text1"/>
          <w:sz w:val="24"/>
          <w:szCs w:val="24"/>
          <w:lang w:val="en-US"/>
          <w14:textFill>
            <w14:solidFill>
              <w14:schemeClr w14:val="tx1"/>
            </w14:solidFill>
          </w14:textFill>
        </w:rPr>
        <w:t>平方米，危废贮存库采取严格的防渗措施，防渗层为水泥地面硬化，上铺设2mm厚高密度聚乙烯，或至少2mm厚的其它人工材料，渗透系数≤10-10cm/s，符合《危险废物贮存污染控制标准》（GB18597-20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23</w:t>
      </w:r>
      <w:r>
        <w:rPr>
          <w:rFonts w:ascii="Times New Roman" w:hAnsi="Times New Roman" w:cs="Times New Roman" w:eastAsiaTheme="minorEastAsia"/>
          <w:color w:val="000000" w:themeColor="text1"/>
          <w:sz w:val="24"/>
          <w:szCs w:val="24"/>
          <w:lang w:val="en-US"/>
          <w14:textFill>
            <w14:solidFill>
              <w14:schemeClr w14:val="tx1"/>
            </w14:solidFill>
          </w14:textFill>
        </w:rPr>
        <w:t>）要求。</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危废贮存库的贮存能力能够满足危险废物的贮存要求，危废贮存库已做好基础防渗工作；贮存过程中使用符合标准的容器盛装危险废物，装载危险废物的容器及材质要满足相应的强度要求；保存好危险废物情况的记录，记录上须注明危险废物的名称、来源、数量、特性和包装容器的类别、入库日期、存放库位、废物出库日期及接收单位名称。确保危险废物不非法流失，合法利用或处置；危废贮存库贮存多种危险废物的，应根据本项目所产生的危险废物类别和性质进行分类贮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本项目产生的固体废物可达到100%安全处置。本项目固体废物对外环境的影响可被接受。</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276" w:name="_Toc479340034"/>
      <w:bookmarkStart w:id="277" w:name="_Toc162605187"/>
      <w:bookmarkStart w:id="278" w:name="_Toc30073"/>
      <w:r>
        <w:rPr>
          <w:rFonts w:ascii="Times New Roman" w:hAnsi="Times New Roman" w:cs="Times New Roman" w:eastAsiaTheme="minorEastAsia"/>
          <w:color w:val="000000" w:themeColor="text1"/>
          <w:szCs w:val="24"/>
          <w:lang w:val="en-US" w:bidi="ar-SA"/>
          <w14:textFill>
            <w14:solidFill>
              <w14:schemeClr w14:val="tx1"/>
            </w14:solidFill>
          </w14:textFill>
        </w:rPr>
        <w:t xml:space="preserve">5.7 </w:t>
      </w:r>
      <w:bookmarkEnd w:id="276"/>
      <w:r>
        <w:rPr>
          <w:rFonts w:ascii="Times New Roman" w:hAnsi="Times New Roman" w:cs="Times New Roman" w:eastAsiaTheme="minorEastAsia"/>
          <w:color w:val="000000" w:themeColor="text1"/>
          <w:szCs w:val="24"/>
          <w:lang w:val="en-US" w:bidi="ar-SA"/>
          <w14:textFill>
            <w14:solidFill>
              <w14:schemeClr w14:val="tx1"/>
            </w14:solidFill>
          </w14:textFill>
        </w:rPr>
        <w:t>燃料及灰渣运输过程环境影响分析</w:t>
      </w:r>
      <w:bookmarkEnd w:id="277"/>
      <w:bookmarkEnd w:id="278"/>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279" w:name="_Toc28119"/>
      <w:r>
        <w:rPr>
          <w:rFonts w:ascii="Times New Roman" w:hAnsi="Times New Roman" w:eastAsia="新宋体" w:cstheme="minorBidi"/>
          <w:color w:val="000000" w:themeColor="text1"/>
          <w:szCs w:val="24"/>
          <w:lang w:val="en-US" w:bidi="ar-SA"/>
          <w14:textFill>
            <w14:solidFill>
              <w14:schemeClr w14:val="tx1"/>
            </w14:solidFill>
          </w14:textFill>
        </w:rPr>
        <w:t>5.7.1 运输路径</w:t>
      </w:r>
      <w:bookmarkEnd w:id="279"/>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bookmarkStart w:id="280" w:name="_Toc19218"/>
      <w:r>
        <w:rPr>
          <w:rFonts w:ascii="Times New Roman" w:hAnsi="Times New Roman" w:cs="Times New Roman" w:eastAsiaTheme="minorEastAsia"/>
          <w:color w:val="000000" w:themeColor="text1"/>
          <w:sz w:val="24"/>
          <w:szCs w:val="24"/>
          <w:lang w:val="en-US"/>
          <w14:textFill>
            <w14:solidFill>
              <w14:schemeClr w14:val="tx1"/>
            </w14:solidFill>
          </w14:textFill>
        </w:rPr>
        <w:t>本项目燃煤采用公路的运输方式，运输路径为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双鸭山市</w:t>
      </w:r>
      <w:r>
        <w:rPr>
          <w:rFonts w:ascii="Times New Roman" w:hAnsi="Times New Roman" w:cs="Times New Roman" w:eastAsiaTheme="minorEastAsia"/>
          <w:color w:val="000000" w:themeColor="text1"/>
          <w:sz w:val="24"/>
          <w:szCs w:val="24"/>
          <w:lang w:val="en-US"/>
          <w14:textFill>
            <w14:solidFill>
              <w14:schemeClr w14:val="tx1"/>
            </w14:solidFill>
          </w14:textFill>
        </w:rPr>
        <w:t>煤矿——黑龙江农垦兴隆热力有限公司</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储煤场</w:t>
      </w:r>
      <w:r>
        <w:rPr>
          <w:rFonts w:ascii="Times New Roman" w:hAnsi="Times New Roman" w:cs="Times New Roman" w:eastAsiaTheme="minorEastAsia"/>
          <w:color w:val="000000" w:themeColor="text1"/>
          <w:sz w:val="24"/>
          <w:szCs w:val="24"/>
          <w:lang w:val="en-US"/>
          <w14:textFill>
            <w14:solidFill>
              <w14:schemeClr w14:val="tx1"/>
            </w14:solidFill>
          </w14:textFill>
        </w:rPr>
        <w:t>。</w:t>
      </w:r>
      <w:bookmarkEnd w:id="280"/>
    </w:p>
    <w:p>
      <w:pPr>
        <w:pStyle w:val="89"/>
        <w:ind w:firstLine="180"/>
        <w:rPr>
          <w:color w:val="000000" w:themeColor="text1"/>
          <w:lang w:val="en-US"/>
          <w14:textFill>
            <w14:solidFill>
              <w14:schemeClr w14:val="tx1"/>
            </w14:solidFill>
          </w14:textFill>
        </w:rPr>
      </w:pP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281" w:name="_Toc2385"/>
      <w:r>
        <w:rPr>
          <w:rFonts w:ascii="Times New Roman" w:hAnsi="Times New Roman" w:eastAsia="新宋体" w:cstheme="minorBidi"/>
          <w:color w:val="000000" w:themeColor="text1"/>
          <w:szCs w:val="24"/>
          <w:lang w:val="en-US" w:bidi="ar-SA"/>
          <w14:textFill>
            <w14:solidFill>
              <w14:schemeClr w14:val="tx1"/>
            </w14:solidFill>
          </w14:textFill>
        </w:rPr>
        <w:t>5.7.2 环境影响分析</w:t>
      </w:r>
      <w:bookmarkEnd w:id="281"/>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1、运输扬尘</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根据《道路机动车大气污染物排放清单编制技术指南（试行）》中表6 柴油车各车型综合基准排放系数，本项目按照中型柴油车，执行国四排放标准计算。其中CO：1.65g/km、THC：0.103g/km、NOx：4.354g/km。本项目燃煤运输车辆所经路段采用中型卡车2313次/a，CO、THC、NOx 年排放量为0.015t/a、0.001t/a 和0.04t/a。本项目锅炉灰渣和脱硫渣运输距离为 15km，运输车辆所经路段新增中型卡 357次/a，CO、THC、NOx 年排放量为0.0088t/a、0.00055t/a 和0.0233t/a。</w:t>
      </w:r>
      <w:r>
        <w:rPr>
          <w:rFonts w:ascii="Times New Roman" w:hAnsi="Times New Roman" w:cs="Times New Roman" w:eastAsiaTheme="minorEastAsia"/>
          <w:color w:val="000000" w:themeColor="text1"/>
          <w:sz w:val="24"/>
          <w:szCs w:val="24"/>
          <w:lang w:val="en-US"/>
          <w14:textFill>
            <w14:solidFill>
              <w14:schemeClr w14:val="tx1"/>
            </w14:solidFill>
          </w14:textFill>
        </w:rPr>
        <w:t>燃料煤和锅炉燃烧灰渣的粒径均较大，运输过程中不易产生风吹扬尘，且燃料及灰渣等运输车辆均采用封闭的专用汽车，并通过硬化的路面，但运输过程中应严格控制装载量，使其装载高度不超过车厢高度。同时在车顶加盖苫布，车厢底加铺防漏衬垫。运输过程应控制车速，途经村庄时要减速慢行，以减少扬尘的产生量，将物料运输过程中产生的扬尘降低到最低程度。</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2、车辆噪声</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本项目物料运输采用汽运，车辆在正常行驶过程中会产生车辆噪声，噪声源强一般在70 dB(A)左右。</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表5-7-1项目噪声影响预测结果单位：dB（A）</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218"/>
        <w:gridCol w:w="803"/>
        <w:gridCol w:w="1106"/>
        <w:gridCol w:w="944"/>
        <w:gridCol w:w="765"/>
        <w:gridCol w:w="858"/>
        <w:gridCol w:w="982"/>
        <w:gridCol w:w="971"/>
        <w:gridCol w:w="96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70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车速（km/h）</w:t>
            </w:r>
          </w:p>
        </w:tc>
        <w:tc>
          <w:tcPr>
            <w:tcW w:w="466"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时间</w:t>
            </w:r>
          </w:p>
        </w:tc>
        <w:tc>
          <w:tcPr>
            <w:tcW w:w="3827" w:type="pct"/>
            <w:gridSpan w:val="7"/>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距离道路红线距离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70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p>
        </w:tc>
        <w:tc>
          <w:tcPr>
            <w:tcW w:w="54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w:t>
            </w:r>
          </w:p>
        </w:tc>
        <w:tc>
          <w:tcPr>
            <w:tcW w:w="4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w:t>
            </w:r>
          </w:p>
        </w:tc>
        <w:tc>
          <w:tcPr>
            <w:tcW w:w="4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40</w:t>
            </w:r>
          </w:p>
        </w:tc>
        <w:tc>
          <w:tcPr>
            <w:tcW w:w="57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w:t>
            </w:r>
          </w:p>
        </w:tc>
        <w:tc>
          <w:tcPr>
            <w:tcW w:w="56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60</w:t>
            </w:r>
          </w:p>
        </w:tc>
        <w:tc>
          <w:tcPr>
            <w:tcW w:w="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70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c>
          <w:tcPr>
            <w:tcW w:w="4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昼间</w:t>
            </w:r>
          </w:p>
        </w:tc>
        <w:tc>
          <w:tcPr>
            <w:tcW w:w="6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61.5</w:t>
            </w:r>
          </w:p>
        </w:tc>
        <w:tc>
          <w:tcPr>
            <w:tcW w:w="54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55.9</w:t>
            </w:r>
          </w:p>
        </w:tc>
        <w:tc>
          <w:tcPr>
            <w:tcW w:w="4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52</w:t>
            </w:r>
          </w:p>
        </w:tc>
        <w:tc>
          <w:tcPr>
            <w:tcW w:w="4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49.3</w:t>
            </w:r>
          </w:p>
        </w:tc>
        <w:tc>
          <w:tcPr>
            <w:tcW w:w="57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47.1</w:t>
            </w:r>
          </w:p>
        </w:tc>
        <w:tc>
          <w:tcPr>
            <w:tcW w:w="56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45.4</w:t>
            </w:r>
          </w:p>
        </w:tc>
        <w:tc>
          <w:tcPr>
            <w:tcW w:w="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43.9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70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夜间</w:t>
            </w:r>
          </w:p>
        </w:tc>
        <w:tc>
          <w:tcPr>
            <w:tcW w:w="6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59.5</w:t>
            </w:r>
          </w:p>
        </w:tc>
        <w:tc>
          <w:tcPr>
            <w:tcW w:w="54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55.4</w:t>
            </w:r>
          </w:p>
        </w:tc>
        <w:tc>
          <w:tcPr>
            <w:tcW w:w="4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50.5</w:t>
            </w:r>
          </w:p>
        </w:tc>
        <w:tc>
          <w:tcPr>
            <w:tcW w:w="4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47.7</w:t>
            </w:r>
          </w:p>
        </w:tc>
        <w:tc>
          <w:tcPr>
            <w:tcW w:w="57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45.6</w:t>
            </w:r>
          </w:p>
        </w:tc>
        <w:tc>
          <w:tcPr>
            <w:tcW w:w="56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43.9</w:t>
            </w:r>
          </w:p>
        </w:tc>
        <w:tc>
          <w:tcPr>
            <w:tcW w:w="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42.4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70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w:t>
            </w:r>
          </w:p>
        </w:tc>
        <w:tc>
          <w:tcPr>
            <w:tcW w:w="4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昼间</w:t>
            </w:r>
          </w:p>
        </w:tc>
        <w:tc>
          <w:tcPr>
            <w:tcW w:w="6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60.4</w:t>
            </w:r>
          </w:p>
        </w:tc>
        <w:tc>
          <w:tcPr>
            <w:tcW w:w="54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54.8</w:t>
            </w:r>
          </w:p>
        </w:tc>
        <w:tc>
          <w:tcPr>
            <w:tcW w:w="4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51.9</w:t>
            </w:r>
          </w:p>
        </w:tc>
        <w:tc>
          <w:tcPr>
            <w:tcW w:w="4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49.2</w:t>
            </w:r>
          </w:p>
        </w:tc>
        <w:tc>
          <w:tcPr>
            <w:tcW w:w="57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47.2</w:t>
            </w:r>
          </w:p>
        </w:tc>
        <w:tc>
          <w:tcPr>
            <w:tcW w:w="56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45.3</w:t>
            </w:r>
          </w:p>
        </w:tc>
        <w:tc>
          <w:tcPr>
            <w:tcW w:w="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exact"/>
          <w:jc w:val="center"/>
        </w:trPr>
        <w:tc>
          <w:tcPr>
            <w:tcW w:w="70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6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夜间</w:t>
            </w:r>
          </w:p>
        </w:tc>
        <w:tc>
          <w:tcPr>
            <w:tcW w:w="64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59.4</w:t>
            </w:r>
          </w:p>
        </w:tc>
        <w:tc>
          <w:tcPr>
            <w:tcW w:w="54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53.8</w:t>
            </w:r>
          </w:p>
        </w:tc>
        <w:tc>
          <w:tcPr>
            <w:tcW w:w="44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49.9</w:t>
            </w:r>
          </w:p>
        </w:tc>
        <w:tc>
          <w:tcPr>
            <w:tcW w:w="49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47.1</w:t>
            </w:r>
          </w:p>
        </w:tc>
        <w:tc>
          <w:tcPr>
            <w:tcW w:w="570"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45</w:t>
            </w:r>
          </w:p>
        </w:tc>
        <w:tc>
          <w:tcPr>
            <w:tcW w:w="56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43.3</w:t>
            </w:r>
          </w:p>
        </w:tc>
        <w:tc>
          <w:tcPr>
            <w:tcW w:w="56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41.8</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由上表可知，当昼间车速为50km/h 时，在距离道路红线距离40m 处即可满足《声环境质量标准》（GB3096-2008）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类标准要求。</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在运输过程中对道路两侧居民和周边居民区产生一定的噪声影响。为减轻交通噪声对两侧居民的影响，应避免将汽车运输安排在夜间进行，运输时应减速慢行、禁鸣，以减轻交通噪声对居民的影响。本项目厂区距离居民区较近，煤及灰渣在场内转运过程中会对周围居民造成一定影响，因此本次环评要求运输车辆在厂内进行物料转运时，要在规定的运输路线行驶，采取设置减速带，使车辆在厂内低速行驶；设置禁鸣标识，行驶过程中禁止鸣笛等措施，以免产生不必要的噪声影响。</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综上所述，为了减轻运输过程对环境影响，建议采取封闭式运输车辆转运燃煤和灰渣，运输车辆要限速，建议运输车辆速度低于50km/h。昼间运输车辆通过城区内居民区时，限制车速低于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20</w:t>
      </w:r>
      <w:r>
        <w:rPr>
          <w:rFonts w:ascii="Times New Roman" w:hAnsi="Times New Roman" w:cs="Times New Roman" w:eastAsiaTheme="minorEastAsia"/>
          <w:color w:val="000000" w:themeColor="text1"/>
          <w:sz w:val="24"/>
          <w:szCs w:val="24"/>
          <w:lang w:val="en-US"/>
          <w14:textFill>
            <w14:solidFill>
              <w14:schemeClr w14:val="tx1"/>
            </w14:solidFill>
          </w14:textFill>
        </w:rPr>
        <w:t>km/h，并禁止鸣笛，以降低运灰汽车产生的噪声</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在运输时间安排上昼间要尽量避开上下班交通繁忙时间和居民休息时间，在距道路较近的居民区地段，车辆要禁止鸣笛，夜间禁止运输。在此基础上，运输过程对沿途环境及敏感点影响较小。</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282" w:name="_Toc162605188"/>
      <w:r>
        <w:rPr>
          <w:rFonts w:ascii="Times New Roman" w:hAnsi="Times New Roman" w:cs="Times New Roman" w:eastAsiaTheme="minorEastAsia"/>
          <w:color w:val="000000" w:themeColor="text1"/>
          <w:szCs w:val="24"/>
          <w:lang w:val="en-US" w:bidi="ar-SA"/>
          <w14:textFill>
            <w14:solidFill>
              <w14:schemeClr w14:val="tx1"/>
            </w14:solidFill>
          </w14:textFill>
        </w:rPr>
        <w:t>5.</w:t>
      </w:r>
      <w:r>
        <w:rPr>
          <w:rFonts w:hint="eastAsia" w:ascii="Times New Roman" w:hAnsi="Times New Roman" w:cs="Times New Roman" w:eastAsiaTheme="minorEastAsia"/>
          <w:color w:val="000000" w:themeColor="text1"/>
          <w:szCs w:val="24"/>
          <w:lang w:val="en-US" w:bidi="ar-SA"/>
          <w14:textFill>
            <w14:solidFill>
              <w14:schemeClr w14:val="tx1"/>
            </w14:solidFill>
          </w14:textFill>
        </w:rPr>
        <w:t>8</w:t>
      </w:r>
      <w:r>
        <w:rPr>
          <w:rFonts w:ascii="Times New Roman" w:hAnsi="Times New Roman" w:cs="Times New Roman" w:eastAsiaTheme="minorEastAsia"/>
          <w:color w:val="000000" w:themeColor="text1"/>
          <w:szCs w:val="24"/>
          <w:lang w:val="en-US" w:bidi="ar-SA"/>
          <w14:textFill>
            <w14:solidFill>
              <w14:schemeClr w14:val="tx1"/>
            </w14:solidFill>
          </w14:textFill>
        </w:rPr>
        <w:t xml:space="preserve"> </w:t>
      </w:r>
      <w:r>
        <w:rPr>
          <w:rFonts w:hint="eastAsia" w:ascii="Times New Roman" w:hAnsi="Times New Roman" w:cs="Times New Roman" w:eastAsiaTheme="minorEastAsia"/>
          <w:color w:val="000000" w:themeColor="text1"/>
          <w:szCs w:val="24"/>
          <w:lang w:val="en-US" w:bidi="ar-SA"/>
          <w14:textFill>
            <w14:solidFill>
              <w14:schemeClr w14:val="tx1"/>
            </w14:solidFill>
          </w14:textFill>
        </w:rPr>
        <w:t>土壤</w:t>
      </w:r>
      <w:r>
        <w:rPr>
          <w:rFonts w:ascii="Times New Roman" w:hAnsi="Times New Roman" w:cs="Times New Roman" w:eastAsiaTheme="minorEastAsia"/>
          <w:color w:val="000000" w:themeColor="text1"/>
          <w:szCs w:val="24"/>
          <w:lang w:val="en-US" w:bidi="ar-SA"/>
          <w14:textFill>
            <w14:solidFill>
              <w14:schemeClr w14:val="tx1"/>
            </w14:solidFill>
          </w14:textFill>
        </w:rPr>
        <w:t>环境影响分析</w:t>
      </w:r>
      <w:bookmarkEnd w:id="282"/>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集中供热</w:t>
      </w:r>
      <w:r>
        <w:rPr>
          <w:rFonts w:ascii="Times New Roman" w:hAnsi="Times New Roman" w:cs="Times New Roman" w:eastAsiaTheme="minorEastAsia"/>
          <w:color w:val="000000" w:themeColor="text1"/>
          <w:sz w:val="24"/>
          <w:szCs w:val="24"/>
          <w:lang w:val="en-US"/>
          <w14:textFill>
            <w14:solidFill>
              <w14:schemeClr w14:val="tx1"/>
            </w14:solidFill>
          </w14:textFill>
        </w:rPr>
        <w:t>项目，对于土壤环境属于污染影响型项目，根据本项目特点，造成土壤污染的途径主要包括：废气中污染物汞随大气沉降渗入土壤。</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本项目选择汞作为土壤预测因子。</w:t>
      </w:r>
      <w:r>
        <w:rPr>
          <w:rFonts w:ascii="Times New Roman" w:hAnsi="Times New Roman" w:cs="Times New Roman" w:eastAsiaTheme="minorEastAsia"/>
          <w:color w:val="000000" w:themeColor="text1"/>
          <w:sz w:val="24"/>
          <w:szCs w:val="24"/>
          <w:lang w:val="en-US"/>
          <w14:textFill>
            <w14:solidFill>
              <w14:schemeClr w14:val="tx1"/>
            </w14:solidFill>
          </w14:textFill>
        </w:rPr>
        <w:t>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厂区内</w:t>
      </w:r>
      <w:r>
        <w:rPr>
          <w:rFonts w:ascii="Times New Roman" w:hAnsi="Times New Roman" w:cs="Times New Roman" w:eastAsiaTheme="minorEastAsia"/>
          <w:color w:val="000000" w:themeColor="text1"/>
          <w:sz w:val="24"/>
          <w:szCs w:val="24"/>
          <w:lang w:val="en-US"/>
          <w14:textFill>
            <w14:solidFill>
              <w14:schemeClr w14:val="tx1"/>
            </w14:solidFill>
          </w14:textFill>
        </w:rPr>
        <w:t>执行《土壤环境质量—建设用地土壤污染风险管控标准（试行）》（GB36600-2018）中表1第二类用地筛选值。</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项目厂区外有建设用地和农用地，其中厂区外建设用地执行《土壤环境质量建设用地土壤污染风险管控标准（试行）》（GB36600-2018）第二类用地土壤污染风险筛选值。厂区外东</w:t>
      </w:r>
      <w:r>
        <w:rPr>
          <w:rFonts w:ascii="Times New Roman" w:hAnsi="Times New Roman" w:cs="Times New Roman" w:eastAsiaTheme="minorEastAsia"/>
          <w:color w:val="000000" w:themeColor="text1"/>
          <w:sz w:val="24"/>
          <w:szCs w:val="24"/>
          <w:lang w:val="en-US"/>
          <w14:textFill>
            <w14:solidFill>
              <w14:schemeClr w14:val="tx1"/>
            </w14:solidFill>
          </w14:textFill>
        </w:rPr>
        <w:t>侧农用地执行</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《土壤环境质量农用地土壤污染风险管控标准（试行）》（GB15618-2018）土壤污染风险筛选值。</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类比已批复运营的同类集中供热建设项目，锅炉运行排放的废气通过大气沉降进入土壤，</w:t>
      </w:r>
      <w:r>
        <w:rPr>
          <w:rFonts w:ascii="Times New Roman" w:hAnsi="Times New Roman" w:cs="Times New Roman" w:eastAsiaTheme="minorEastAsia"/>
          <w:color w:val="000000" w:themeColor="text1"/>
          <w:sz w:val="24"/>
          <w:szCs w:val="24"/>
          <w:lang w:val="en-US"/>
          <w14:textFill>
            <w14:solidFill>
              <w14:schemeClr w14:val="tx1"/>
            </w14:solidFill>
          </w14:textFill>
        </w:rPr>
        <w:t>干沉降通量除以该质量即为单位质量土壤的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汞</w:t>
      </w:r>
      <w:r>
        <w:rPr>
          <w:rFonts w:ascii="Times New Roman" w:hAnsi="Times New Roman" w:cs="Times New Roman" w:eastAsiaTheme="minorEastAsia"/>
          <w:color w:val="000000" w:themeColor="text1"/>
          <w:sz w:val="24"/>
          <w:szCs w:val="24"/>
          <w:lang w:val="en-US"/>
          <w14:textFill>
            <w14:solidFill>
              <w14:schemeClr w14:val="tx1"/>
            </w14:solidFill>
          </w14:textFill>
        </w:rPr>
        <w:t>干沉降累积量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年累积沉降量采用大气环境影响预测章节预测点的年累积沉降量最大增值。评价因子同大气环境影响评价，即评价</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汞</w:t>
      </w:r>
      <w:r>
        <w:rPr>
          <w:rFonts w:ascii="Times New Roman" w:hAnsi="Times New Roman" w:cs="Times New Roman" w:eastAsiaTheme="minorEastAsia"/>
          <w:color w:val="000000" w:themeColor="text1"/>
          <w:sz w:val="24"/>
          <w:szCs w:val="24"/>
          <w:lang w:val="en-US"/>
          <w14:textFill>
            <w14:solidFill>
              <w14:schemeClr w14:val="tx1"/>
            </w14:solidFill>
          </w14:textFill>
        </w:rPr>
        <w:t>沉降对土壤的累积影响。</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采用《环境影响评价技术导则  土壤环境（试行）》（HJ964-2018）附录E中的方法。</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预测方法如下：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（1）单位质量土壤中某种物质的增量可用下式计算：</w:t>
      </w:r>
    </w:p>
    <w:p>
      <w:pPr>
        <w:pStyle w:val="134"/>
        <w:ind w:firstLine="360"/>
        <w:rPr>
          <w:color w:val="000000" w:themeColor="text1"/>
          <w14:textFill>
            <w14:solidFill>
              <w14:schemeClr w14:val="tx1"/>
            </w14:solidFill>
          </w14:textFill>
        </w:rPr>
      </w:pPr>
      <w:r>
        <w:rPr>
          <w:color w:val="000000" w:themeColor="text1"/>
          <w14:textFill>
            <w14:solidFill>
              <w14:schemeClr w14:val="tx1"/>
            </w14:solidFill>
          </w14:textFill>
        </w:rPr>
        <w:object>
          <v:shape id="_x0000_i1034" o:spt="75" type="#_x0000_t75" style="height:16.9pt;width:169.7pt;" o:ole="t" filled="f" o:preferrelative="t" stroked="f" coordsize="21600,21600">
            <v:path/>
            <v:fill on="f" focussize="0,0"/>
            <v:stroke on="f" joinstyle="miter"/>
            <v:imagedata r:id="rId107" o:title=""/>
            <o:lock v:ext="edit" aspectratio="t"/>
            <w10:wrap type="none"/>
            <w10:anchorlock/>
          </v:shape>
          <o:OLEObject Type="Embed" ProgID="Equation.3" ShapeID="_x0000_i1034" DrawAspect="Content" ObjectID="_1468075739" r:id="rId106">
            <o:LockedField>false</o:LockedField>
          </o:OLEObject>
        </w:objec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式中：△S--单位质量表层土壤中某种物质的增量，g/kg；</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IS--预测评价范围内单位年份表层土壤中某种物质的输入量，g；本项目选取大气环境影响预测与评价章节中汞及其化合物的区域最大落地年均干沉积为0.5k</w:t>
      </w:r>
      <w:r>
        <w:rPr>
          <w:rFonts w:ascii="Times New Roman" w:hAnsi="Times New Roman" w:cs="Times New Roman" w:eastAsiaTheme="minorEastAsia"/>
          <w:color w:val="000000" w:themeColor="text1"/>
          <w:sz w:val="24"/>
          <w:szCs w:val="24"/>
          <w:lang w:val="en-US"/>
          <w14:textFill>
            <w14:solidFill>
              <w14:schemeClr w14:val="tx1"/>
            </w14:solidFill>
          </w14:textFill>
        </w:rPr>
        <w:t>g/</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a。</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LS--预测评价范围内单位年份表层土壤中某种物质经淋溶排出的量，g；涉及大气沉降影响的可以不考虑输出量，LS取0；</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RS--预测评价范围内单位年份表层土壤中某种物质经径流排出的量，g；涉及大气沉降影响的可以不考虑输出量，RS取0；</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ρb--表层土壤容重，</w:t>
      </w:r>
      <w:r>
        <w:rPr>
          <w:rFonts w:ascii="Times New Roman" w:hAnsi="Times New Roman" w:cs="Times New Roman" w:eastAsiaTheme="minorEastAsia"/>
          <w:color w:val="000000" w:themeColor="text1"/>
          <w:sz w:val="24"/>
          <w:szCs w:val="24"/>
          <w:lang w:val="en-US"/>
          <w14:textFill>
            <w14:solidFill>
              <w14:schemeClr w14:val="tx1"/>
            </w14:solidFill>
          </w14:textFill>
        </w:rPr>
        <w:t>kg/m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取</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1316</w:t>
      </w:r>
      <w:r>
        <w:rPr>
          <w:rFonts w:ascii="Times New Roman" w:hAnsi="Times New Roman" w:cs="Times New Roman" w:eastAsiaTheme="minorEastAsia"/>
          <w:color w:val="000000" w:themeColor="text1"/>
          <w:sz w:val="24"/>
          <w:szCs w:val="24"/>
          <w:lang w:val="en-US"/>
          <w14:textFill>
            <w14:solidFill>
              <w14:schemeClr w14:val="tx1"/>
            </w14:solidFill>
          </w14:textFill>
        </w:rPr>
        <w:t>kg/m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A--预测评价范围，m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；取</w:t>
      </w:r>
      <w:r>
        <w:rPr>
          <w:rFonts w:ascii="Times New Roman" w:hAnsi="Times New Roman" w:cs="Times New Roman" w:eastAsiaTheme="minorEastAsia"/>
          <w:color w:val="000000" w:themeColor="text1"/>
          <w:sz w:val="24"/>
          <w:szCs w:val="24"/>
          <w:lang w:val="en-US"/>
          <w14:textFill>
            <w14:solidFill>
              <w14:schemeClr w14:val="tx1"/>
            </w14:solidFill>
          </w14:textFill>
        </w:rPr>
        <w:t>单位面积</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74880</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D--表层土壤深度，一般取0.2m；</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n--持续年份，a，分别计算5a，10a和20a；</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（2）单位质量土壤中某种物质的预测值可根据其增量叠加现状值进行计算，如式：S=Sb+△S</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式中：Sb--单位质量土壤中某种物质的现状值，g/kg，单位质量土壤中某种物质的现状值，g/kg；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计算</w:t>
      </w:r>
      <w:r>
        <w:rPr>
          <w:rFonts w:ascii="Times New Roman" w:hAnsi="Times New Roman" w:cs="Times New Roman" w:eastAsiaTheme="minorEastAsia"/>
          <w:color w:val="000000" w:themeColor="text1"/>
          <w:sz w:val="24"/>
          <w:szCs w:val="24"/>
          <w:lang w:val="en-US"/>
          <w14:textFill>
            <w14:solidFill>
              <w14:schemeClr w14:val="tx1"/>
            </w14:solidFill>
          </w14:textFill>
        </w:rPr>
        <w:t>结果显示，本项目汞的干沉降5年、10年、20年对土壤累计影响叠加值占地范围内满足《土壤环境质量建设用地土壤污染风险管控标准（试行）》（GB36600-2018）第二类用地土壤污染风险筛选值，占地范围外建设用地满足《土壤环境质量建设用地土壤污染风险管控标准（试行）》（GB36600-2018）第二类用地土壤污染风险筛选值，占地范围外农用地满足《土壤环境质量农用地土壤污染风险管控标准（试行）》（GB15618-2018）土壤污染风险筛选值，因此本项目土壤环境影响是可以接受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ind w:firstLine="180"/>
        <w:rPr>
          <w:color w:val="000000" w:themeColor="text1"/>
          <w14:textFill>
            <w14:solidFill>
              <w14:schemeClr w14:val="tx1"/>
            </w14:solidFill>
          </w14:textFill>
        </w:rPr>
      </w:pPr>
    </w:p>
    <w:p>
      <w:pPr>
        <w:pStyle w:val="89"/>
        <w:ind w:firstLine="180"/>
        <w:rPr>
          <w:color w:val="000000" w:themeColor="text1"/>
          <w14:textFill>
            <w14:solidFill>
              <w14:schemeClr w14:val="tx1"/>
            </w14:solidFill>
          </w14:textFill>
        </w:rPr>
      </w:pPr>
    </w:p>
    <w:p>
      <w:pPr>
        <w:pStyle w:val="90"/>
        <w:ind w:firstLine="210"/>
        <w:rPr>
          <w:color w:val="000000" w:themeColor="text1"/>
          <w14:textFill>
            <w14:solidFill>
              <w14:schemeClr w14:val="tx1"/>
            </w14:solidFill>
          </w14:textFill>
        </w:rPr>
        <w:sectPr>
          <w:pgSz w:w="11906" w:h="16838"/>
          <w:pgMar w:top="1440" w:right="1706"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3"/>
        <w:ind w:firstLine="878"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283" w:name="_Toc534545015"/>
      <w:bookmarkStart w:id="284" w:name="_Toc532974752"/>
      <w:bookmarkStart w:id="285" w:name="_Toc162605189"/>
      <w:r>
        <w:rPr>
          <w:rFonts w:ascii="Times New Roman" w:hAnsi="Times New Roman" w:eastAsia="新宋体" w:cstheme="minorBidi"/>
          <w:color w:val="000000" w:themeColor="text1"/>
          <w:szCs w:val="24"/>
          <w:lang w:val="en-US" w:bidi="ar-SA"/>
          <w14:textFill>
            <w14:solidFill>
              <w14:schemeClr w14:val="tx1"/>
            </w14:solidFill>
          </w14:textFill>
        </w:rPr>
        <w:t>6环境保护措施及其可行性论证</w:t>
      </w:r>
      <w:bookmarkEnd w:id="283"/>
      <w:bookmarkEnd w:id="284"/>
      <w:bookmarkEnd w:id="285"/>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286" w:name="_Toc171173123"/>
      <w:bookmarkStart w:id="287" w:name="_Toc177098217"/>
      <w:bookmarkStart w:id="288" w:name="_Toc459034233"/>
      <w:bookmarkStart w:id="289" w:name="_Toc479340026"/>
      <w:bookmarkStart w:id="290" w:name="_Toc162605190"/>
      <w:bookmarkStart w:id="291" w:name="_Toc7766"/>
      <w:r>
        <w:rPr>
          <w:rFonts w:ascii="Times New Roman" w:hAnsi="Times New Roman" w:cs="Times New Roman" w:eastAsiaTheme="minorEastAsia"/>
          <w:color w:val="000000" w:themeColor="text1"/>
          <w:szCs w:val="24"/>
          <w:lang w:val="en-US" w:bidi="ar-SA"/>
          <w14:textFill>
            <w14:solidFill>
              <w14:schemeClr w14:val="tx1"/>
            </w14:solidFill>
          </w14:textFill>
        </w:rPr>
        <w:t>6.1 施工期</w:t>
      </w:r>
      <w:bookmarkEnd w:id="286"/>
      <w:bookmarkEnd w:id="287"/>
      <w:bookmarkEnd w:id="288"/>
      <w:r>
        <w:rPr>
          <w:rFonts w:ascii="Times New Roman" w:hAnsi="Times New Roman" w:cs="Times New Roman" w:eastAsiaTheme="minorEastAsia"/>
          <w:color w:val="000000" w:themeColor="text1"/>
          <w:szCs w:val="24"/>
          <w:lang w:val="en-US" w:bidi="ar-SA"/>
          <w14:textFill>
            <w14:solidFill>
              <w14:schemeClr w14:val="tx1"/>
            </w14:solidFill>
          </w14:textFill>
        </w:rPr>
        <w:t>环境保护措施</w:t>
      </w:r>
      <w:bookmarkEnd w:id="289"/>
      <w:r>
        <w:rPr>
          <w:rFonts w:ascii="Times New Roman" w:hAnsi="Times New Roman" w:cs="Times New Roman" w:eastAsiaTheme="minorEastAsia"/>
          <w:color w:val="000000" w:themeColor="text1"/>
          <w:szCs w:val="24"/>
          <w:lang w:val="en-US" w:bidi="ar-SA"/>
          <w14:textFill>
            <w14:solidFill>
              <w14:schemeClr w14:val="tx1"/>
            </w14:solidFill>
          </w14:textFill>
        </w:rPr>
        <w:t>及其可行性论证</w:t>
      </w:r>
      <w:bookmarkEnd w:id="290"/>
      <w:bookmarkEnd w:id="291"/>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292" w:name="_Toc29949"/>
      <w:r>
        <w:rPr>
          <w:rFonts w:ascii="Times New Roman" w:hAnsi="Times New Roman" w:eastAsia="新宋体" w:cstheme="minorBidi"/>
          <w:color w:val="000000" w:themeColor="text1"/>
          <w:szCs w:val="24"/>
          <w:lang w:val="en-US" w:bidi="ar-SA"/>
          <w14:textFill>
            <w14:solidFill>
              <w14:schemeClr w14:val="tx1"/>
            </w14:solidFill>
          </w14:textFill>
        </w:rPr>
        <w:t>6.1.1 现场</w:t>
      </w:r>
      <w:bookmarkEnd w:id="292"/>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（1）环境保护的组织措施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施工现场环境保护的组织措施是施工组织设计或环境管理专项方案中的重要组成部分，是具体组织与指导环保施工的文件，旨在从组织和管理上采取措施，消除或减轻施工过程中的环境污染与危害。主要的组织措施包括：</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①</w:t>
      </w:r>
      <w:r>
        <w:rPr>
          <w:rFonts w:ascii="Times New Roman" w:hAnsi="Times New Roman" w:cs="Times New Roman" w:eastAsiaTheme="minorEastAsia"/>
          <w:color w:val="000000" w:themeColor="text1"/>
          <w:sz w:val="24"/>
          <w:szCs w:val="24"/>
          <w:lang w:val="en-US"/>
          <w14:textFill>
            <w14:solidFill>
              <w14:schemeClr w14:val="tx1"/>
            </w14:solidFill>
          </w14:textFill>
        </w:rPr>
        <w:t>建立施工现场环境管理体系，落实施工单位项目经理责任制。</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经理全面负责施工过程中的现场环境保护的管理工作，并根据工作规模、技术复杂程度和施工现场的具体情况，建立施工现场管理责任制并组织实施，将环境管理系统化、科学化、规范化，做到权责分明，管理有序，防治互相扯皮，提高管理水平和效率。主要包括环境岗位责任制、环境检查制度、环境保护教育制度以及环境保护奖惩制度。</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②</w:t>
      </w:r>
      <w:r>
        <w:rPr>
          <w:rFonts w:ascii="Times New Roman" w:hAnsi="Times New Roman" w:cs="Times New Roman" w:eastAsiaTheme="minorEastAsia"/>
          <w:color w:val="000000" w:themeColor="text1"/>
          <w:sz w:val="24"/>
          <w:szCs w:val="24"/>
          <w:lang w:val="en-US"/>
          <w14:textFill>
            <w14:solidFill>
              <w14:schemeClr w14:val="tx1"/>
            </w14:solidFill>
          </w14:textFill>
        </w:rPr>
        <w:t>加强施工现场环境的综合治理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加强全体职工的自觉保护环境意识，做好思想教育、纪律教育与社会公德、职业道德和法制观念相结合的宣传教育。</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（2）环境保护的技术措施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根据相关规定，施工单位应当采取下列防治环境污染的技术措施：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①</w:t>
      </w:r>
      <w:r>
        <w:rPr>
          <w:rFonts w:ascii="Times New Roman" w:hAnsi="Times New Roman" w:cs="Times New Roman" w:eastAsiaTheme="minorEastAsia"/>
          <w:color w:val="000000" w:themeColor="text1"/>
          <w:sz w:val="24"/>
          <w:szCs w:val="24"/>
          <w:lang w:val="en-US"/>
          <w14:textFill>
            <w14:solidFill>
              <w14:schemeClr w14:val="tx1"/>
            </w14:solidFill>
          </w14:textFill>
        </w:rPr>
        <w:t>妥善处理泥浆水，未经处理不得直接排入城市排水设施和河流；</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②</w:t>
      </w:r>
      <w:r>
        <w:rPr>
          <w:rFonts w:ascii="Times New Roman" w:hAnsi="Times New Roman" w:cs="Times New Roman" w:eastAsiaTheme="minorEastAsia"/>
          <w:color w:val="000000" w:themeColor="text1"/>
          <w:sz w:val="24"/>
          <w:szCs w:val="24"/>
          <w:lang w:val="en-US"/>
          <w14:textFill>
            <w14:solidFill>
              <w14:schemeClr w14:val="tx1"/>
            </w14:solidFill>
          </w14:textFill>
        </w:rPr>
        <w:t>除设有符合规定的装置外，不得在施工现场熔融沥青或者焚烧油毡、油漆以及其它会产生有毒有害烟尘和恶臭气体的物质；</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③</w:t>
      </w:r>
      <w:r>
        <w:rPr>
          <w:rFonts w:ascii="Times New Roman" w:hAnsi="Times New Roman" w:cs="Times New Roman" w:eastAsiaTheme="minorEastAsia"/>
          <w:color w:val="000000" w:themeColor="text1"/>
          <w:sz w:val="24"/>
          <w:szCs w:val="24"/>
          <w:lang w:val="en-US"/>
          <w14:textFill>
            <w14:solidFill>
              <w14:schemeClr w14:val="tx1"/>
            </w14:solidFill>
          </w14:textFill>
        </w:rPr>
        <w:t>使用密闭式的圈筒或者采取其他措施处理高空废弃物；</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④</w:t>
      </w:r>
      <w:r>
        <w:rPr>
          <w:rFonts w:ascii="Times New Roman" w:hAnsi="Times New Roman" w:cs="Times New Roman" w:eastAsiaTheme="minorEastAsia"/>
          <w:color w:val="000000" w:themeColor="text1"/>
          <w:sz w:val="24"/>
          <w:szCs w:val="24"/>
          <w:lang w:val="en-US"/>
          <w14:textFill>
            <w14:solidFill>
              <w14:schemeClr w14:val="tx1"/>
            </w14:solidFill>
          </w14:textFill>
        </w:rPr>
        <w:t>采取有效措施控制施工过程中的扬尘；</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⑤</w:t>
      </w:r>
      <w:r>
        <w:rPr>
          <w:rFonts w:ascii="Times New Roman" w:hAnsi="Times New Roman" w:cs="Times New Roman" w:eastAsiaTheme="minorEastAsia"/>
          <w:color w:val="000000" w:themeColor="text1"/>
          <w:sz w:val="24"/>
          <w:szCs w:val="24"/>
          <w:lang w:val="en-US"/>
          <w14:textFill>
            <w14:solidFill>
              <w14:schemeClr w14:val="tx1"/>
            </w14:solidFill>
          </w14:textFill>
        </w:rPr>
        <w:t>禁止将有毒有害废弃物用作土方回填；</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⑥</w:t>
      </w:r>
      <w:r>
        <w:rPr>
          <w:rFonts w:ascii="Times New Roman" w:hAnsi="Times New Roman" w:cs="Times New Roman" w:eastAsiaTheme="minorEastAsia"/>
          <w:color w:val="000000" w:themeColor="text1"/>
          <w:sz w:val="24"/>
          <w:szCs w:val="24"/>
          <w:lang w:val="en-US"/>
          <w14:textFill>
            <w14:solidFill>
              <w14:schemeClr w14:val="tx1"/>
            </w14:solidFill>
          </w14:textFill>
        </w:rPr>
        <w:t>对产生噪声、振动的施工机械，应采取有效控制措施，减轻噪声扰民。</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293" w:name="_Toc29075"/>
      <w:r>
        <w:rPr>
          <w:rFonts w:ascii="Times New Roman" w:hAnsi="Times New Roman" w:eastAsia="新宋体" w:cstheme="minorBidi"/>
          <w:color w:val="000000" w:themeColor="text1"/>
          <w:szCs w:val="24"/>
          <w:lang w:val="en-US" w:bidi="ar-SA"/>
          <w14:textFill>
            <w14:solidFill>
              <w14:schemeClr w14:val="tx1"/>
            </w14:solidFill>
          </w14:textFill>
        </w:rPr>
        <w:t>6.1.2 废气</w:t>
      </w:r>
      <w:bookmarkEnd w:id="293"/>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（1）施工现场道路应硬化。采用焦渣、级配砂石、混凝土等作为道路面层，有条件的可利用永久性道路，并指定专人定时洒水和清扫养护，防止道路扬尘。</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（2）施工现场物料应合理选定位置进行存放，并用苫布遮盖，防止扬尘污染。</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易飞扬材料入库密闭存放或覆盖存放。如水泥、白灰、珍珠岩等易飞扬的细颗粒散体材料，应入库存放。若室外临时露天存放时，必须下垫上盖，严密遮盖防尘扬尘。运输水泥、白灰、珍珠岩粉等易飞扬的细颗粒粉状材料时，要采取遮盖措施，防止沿途遗洒、扬尘。卸货时，应采取措施，以减少扬尘。</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在大门口铺设一定的石子（定期过筛洗选）路自动清理车轮或作一段混凝土路面和水沟用水冲洗车轮车身，或人工清扫车轮车身。装车时不应装的过满，行车时不应猛拐，不急刹车。卸货后清扫干净车厢，注意管好车厢门。场区内外定人定时清扫，做到车辆不外带泥沙、不洒污染物、不扬尘，消除或减轻对周围环境的污染。</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（5）禁止施工现场焚烧有毒、有害烟尘和恶臭气体的物资。如焚烧沥青、包装箱袋和建筑垃圾等。</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（6）禁止尾气排放超标的车辆通行，运输车辆应安装净化消声器，防治噪声和冒黑烟。</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（7）管线施工采取分段施工、择时施工的方式，管道敷设完成后及时进行土方回填、压实，以免产生扬尘对周围环境产生影响。</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采取上述措施，使施工期厂界扬尘浓度贡献值低于《大气污染物综合排放标准》（GB16297-1996）表2规定的颗粒物无组织排放监控浓度限值1.0mg/m3。</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294" w:name="_Toc24160"/>
      <w:r>
        <w:rPr>
          <w:rFonts w:ascii="Times New Roman" w:hAnsi="Times New Roman" w:eastAsia="新宋体" w:cstheme="minorBidi"/>
          <w:color w:val="000000" w:themeColor="text1"/>
          <w:szCs w:val="24"/>
          <w:lang w:val="en-US" w:bidi="ar-SA"/>
          <w14:textFill>
            <w14:solidFill>
              <w14:schemeClr w14:val="tx1"/>
            </w14:solidFill>
          </w14:textFill>
        </w:rPr>
        <w:t>6.1.3 废水</w:t>
      </w:r>
      <w:bookmarkEnd w:id="294"/>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（1）施工废水经沉淀池沉淀后回用。</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（2）施工现场生活污水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排入</w:t>
      </w:r>
      <w:r>
        <w:rPr>
          <w:rFonts w:ascii="Times New Roman" w:hAnsi="Times New Roman" w:cs="Times New Roman" w:eastAsiaTheme="minorEastAsia"/>
          <w:color w:val="000000" w:themeColor="text1"/>
          <w:sz w:val="24"/>
          <w:szCs w:val="24"/>
          <w:lang w:val="en-US"/>
          <w14:textFill>
            <w14:solidFill>
              <w14:schemeClr w14:val="tx1"/>
            </w14:solidFill>
          </w14:textFill>
        </w:rPr>
        <w:t>防渗化粪池</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，定期清运至黑龙江红兴隆农垦清洁污水处理有限公司（集中污水处理厂）进行处理。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（3）一次网打压试水产生的少量排水用于施工场地周边洒水抑尘。</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采取以上措施后，施工期废水不会对地表水环境造成污染。</w:t>
      </w:r>
    </w:p>
    <w:p>
      <w:pPr>
        <w:pStyle w:val="89"/>
        <w:ind w:firstLine="177"/>
        <w:rPr>
          <w:color w:val="000000" w:themeColor="text1"/>
          <w:lang w:val="en-US"/>
          <w14:textFill>
            <w14:solidFill>
              <w14:schemeClr w14:val="tx1"/>
            </w14:solidFill>
          </w14:textFill>
        </w:rPr>
      </w:pP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295" w:name="_Toc959"/>
      <w:r>
        <w:rPr>
          <w:rFonts w:ascii="Times New Roman" w:hAnsi="Times New Roman" w:eastAsia="新宋体" w:cstheme="minorBidi"/>
          <w:color w:val="000000" w:themeColor="text1"/>
          <w:szCs w:val="24"/>
          <w:lang w:val="en-US" w:bidi="ar-SA"/>
          <w14:textFill>
            <w14:solidFill>
              <w14:schemeClr w14:val="tx1"/>
            </w14:solidFill>
          </w14:textFill>
        </w:rPr>
        <w:t>6.1.4 噪声</w:t>
      </w:r>
      <w:bookmarkEnd w:id="295"/>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（1）合理布局施工场地，优化作业方案和运输方案，尽量降低施工现场附近敏感点噪声强度，避免噪声对周围环境的干扰。</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（2）严格控制作业时间，禁止夜间施工，以避免对周围施工现场周边动物的休息；对环境的污染不能控制在规定的范围内的，要尽量采取措施降低噪声。</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（3）夜间运输材料的车辆进入施工现场，严禁鸣笛和乱轰油门、装卸材料要做到轻拿轻放。</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进入施工现场不得高声喊叫和乱吹哨、不得无故甩打模板、钢筋软件和工具设备等，严禁使用高音喇叭、机械设备空转和不应当的碰撞其他物件（如混凝土振捣器碰撞钢筋或模板等），减少噪声对周围环境的干扰。</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（5）加强各种机械设备的维修保养，缩短维修保养周期，尽可能降低机械设备噪声的排放。</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6）施工现场超噪声值的声源，采取如下措施降低噪声或转移声源：尽量选用低噪声设备和工艺来替代高噪声设备和工艺（如用电动空压机代替柴油空压机；用静压桩施工方法代替锤击桩施工方法等），降低噪声。缩短一次开机时间。</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（7）在施工现场噪声的传播途径上，采取隔声屏障、利用原有绿化带等声学处理方法来降低噪声。</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（8）建筑施工过程中场界环境噪声不得超过《建筑施工场界环境噪声排放标准》（GB12523-2011）规定的排放限值。夜间噪声最大声级超过限值的幅度不得高于15dB(A)。</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（9）施工中在锅炉吹管前，应争得当地环保部门的同意，并在施工现场向周围发布公告；在吹管施工过程中，应控制排气朝向和采取隔声措施，减少吹管噪声对周围居民正常生活的影响。</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（10）一次网施工采取分段作业、择时施工的方式，避免对周围环境产生噪声影响。</w:t>
      </w:r>
    </w:p>
    <w:p>
      <w:pPr>
        <w:pStyle w:val="89"/>
        <w:ind w:firstLine="177"/>
        <w:rPr>
          <w:color w:val="000000" w:themeColor="text1"/>
          <w:lang w:val="en-US"/>
          <w14:textFill>
            <w14:solidFill>
              <w14:schemeClr w14:val="tx1"/>
            </w14:solidFill>
          </w14:textFill>
        </w:rPr>
      </w:pP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296" w:name="_Toc22017"/>
      <w:r>
        <w:rPr>
          <w:rFonts w:ascii="Times New Roman" w:hAnsi="Times New Roman" w:eastAsia="新宋体" w:cstheme="minorBidi"/>
          <w:color w:val="000000" w:themeColor="text1"/>
          <w:szCs w:val="24"/>
          <w:lang w:val="en-US" w:bidi="ar-SA"/>
          <w14:textFill>
            <w14:solidFill>
              <w14:schemeClr w14:val="tx1"/>
            </w14:solidFill>
          </w14:textFill>
        </w:rPr>
        <w:t>6.1.5 固体废物</w:t>
      </w:r>
      <w:bookmarkEnd w:id="296"/>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施工现场设立专门的固体废物临时贮存场所，废弃物应分类存放，对有可能造成二次污染的废弃物必须单独贮存、设置安全防范措施且由醒目标识。对储存物应及时收集并处理，可回收的废弃物做到回收再利用。</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（2）固体废物的运输应采取分类、密封、覆盖、避免泄漏、遗漏，并送到政府批准的单位或场所进行处理。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（3）施工现场应使用环保型的建筑材料、工器具、临时设施、灭火器和各种物质的包装箱袋等，减少固体废物污染。</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（4）提高工程施工质量，减少或杜绝工程返工，避免产生固体废物的污染。</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（5）施工中及时回收利用落地灰和其他施工材料，做到工完料尽，减少固体废物污染。</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（6）施工现场垃圾杂物要及时清理。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（7）管沟开挖产生的弃土临时堆存于施工带两侧，并用苫布遮盖，之后全部用于管沟回填就场地平整。</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（8）施工人员产生的生活垃圾量较少，可设置固定垃圾箱存放，由市政部门统一清运，不得随意丢弃。</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297" w:name="_Toc459034234"/>
      <w:bookmarkStart w:id="298" w:name="_Toc162605191"/>
      <w:bookmarkStart w:id="299" w:name="_Toc28579"/>
      <w:bookmarkStart w:id="300" w:name="_Toc479340027"/>
      <w:r>
        <w:rPr>
          <w:rFonts w:ascii="Times New Roman" w:hAnsi="Times New Roman" w:cs="Times New Roman" w:eastAsiaTheme="minorEastAsia"/>
          <w:color w:val="000000" w:themeColor="text1"/>
          <w:szCs w:val="24"/>
          <w:lang w:val="en-US" w:bidi="ar-SA"/>
          <w14:textFill>
            <w14:solidFill>
              <w14:schemeClr w14:val="tx1"/>
            </w14:solidFill>
          </w14:textFill>
        </w:rPr>
        <w:t>6.2 运营期环境保护措施</w:t>
      </w:r>
      <w:bookmarkEnd w:id="297"/>
      <w:r>
        <w:rPr>
          <w:rFonts w:ascii="Times New Roman" w:hAnsi="Times New Roman" w:cs="Times New Roman" w:eastAsiaTheme="minorEastAsia"/>
          <w:color w:val="000000" w:themeColor="text1"/>
          <w:szCs w:val="24"/>
          <w:lang w:val="en-US" w:bidi="ar-SA"/>
          <w14:textFill>
            <w14:solidFill>
              <w14:schemeClr w14:val="tx1"/>
            </w14:solidFill>
          </w14:textFill>
        </w:rPr>
        <w:t>及其可行性论证</w:t>
      </w:r>
      <w:bookmarkEnd w:id="298"/>
      <w:bookmarkEnd w:id="299"/>
      <w:bookmarkEnd w:id="300"/>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01" w:name="_Toc10536"/>
      <w:r>
        <w:rPr>
          <w:rFonts w:ascii="Times New Roman" w:hAnsi="Times New Roman" w:eastAsia="新宋体" w:cstheme="minorBidi"/>
          <w:color w:val="000000" w:themeColor="text1"/>
          <w:szCs w:val="24"/>
          <w:lang w:val="en-US" w:bidi="ar-SA"/>
          <w14:textFill>
            <w14:solidFill>
              <w14:schemeClr w14:val="tx1"/>
            </w14:solidFill>
          </w14:textFill>
        </w:rPr>
        <w:t>6.2.1 废气</w:t>
      </w:r>
      <w:bookmarkEnd w:id="301"/>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302" w:name="_Toc12136"/>
      <w:bookmarkStart w:id="303" w:name="_Toc18837"/>
      <w:bookmarkStart w:id="304" w:name="_Toc9598"/>
      <w:bookmarkStart w:id="305" w:name="_Toc15083"/>
      <w:bookmarkStart w:id="306" w:name="_Toc12730"/>
      <w:r>
        <w:rPr>
          <w:rFonts w:ascii="Times New Roman" w:hAnsi="Times New Roman" w:cs="Times New Roman" w:eastAsiaTheme="minorEastAsia"/>
          <w:color w:val="000000" w:themeColor="text1"/>
          <w:sz w:val="24"/>
          <w:szCs w:val="24"/>
          <w:lang w:val="en-US" w:bidi="ar-SA"/>
          <w14:textFill>
            <w14:solidFill>
              <w14:schemeClr w14:val="tx1"/>
            </w14:solidFill>
          </w14:textFill>
        </w:rPr>
        <w:t>6.2.1.1 锅炉烟气</w:t>
      </w:r>
      <w:bookmarkEnd w:id="302"/>
      <w:bookmarkEnd w:id="303"/>
      <w:bookmarkEnd w:id="304"/>
      <w:bookmarkEnd w:id="305"/>
      <w:bookmarkEnd w:id="306"/>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本次扩建的1台</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70</w:t>
      </w:r>
      <w:r>
        <w:rPr>
          <w:rFonts w:ascii="Times New Roman" w:hAnsi="Times New Roman" w:cs="Times New Roman" w:eastAsiaTheme="minorEastAsia"/>
          <w:color w:val="000000" w:themeColor="text1"/>
          <w:sz w:val="24"/>
          <w:szCs w:val="24"/>
          <w:lang w:val="en-US"/>
          <w14:textFill>
            <w14:solidFill>
              <w14:schemeClr w14:val="tx1"/>
            </w14:solidFill>
          </w14:textFill>
        </w:rPr>
        <w:t>MW燃煤热水锅炉，产生的烟气→</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低氮燃烧和</w:t>
      </w:r>
      <w:r>
        <w:rPr>
          <w:rFonts w:ascii="Times New Roman" w:hAnsi="Times New Roman" w:cs="Times New Roman" w:eastAsiaTheme="minorEastAsia"/>
          <w:color w:val="000000" w:themeColor="text1"/>
          <w:sz w:val="24"/>
          <w:szCs w:val="24"/>
          <w:lang w:val="en-US"/>
          <w14:textFill>
            <w14:solidFill>
              <w14:schemeClr w14:val="tx1"/>
            </w14:solidFill>
          </w14:textFill>
        </w:rPr>
        <w:t>SNCR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-SCR联合</w:t>
      </w:r>
      <w:r>
        <w:rPr>
          <w:rFonts w:ascii="Times New Roman" w:hAnsi="Times New Roman" w:cs="Times New Roman" w:eastAsiaTheme="minorEastAsia"/>
          <w:color w:val="000000" w:themeColor="text1"/>
          <w:sz w:val="24"/>
          <w:szCs w:val="24"/>
          <w:lang w:val="en-US"/>
          <w14:textFill>
            <w14:solidFill>
              <w14:schemeClr w14:val="tx1"/>
            </w14:solidFill>
          </w14:textFill>
        </w:rPr>
        <w:t>脱硝→布袋除尘器→湿式镁法脱硫塔后由原有的高度为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100</w:t>
      </w:r>
      <w:r>
        <w:rPr>
          <w:rFonts w:ascii="Times New Roman" w:hAnsi="Times New Roman" w:cs="Times New Roman" w:eastAsiaTheme="minorEastAsia"/>
          <w:color w:val="000000" w:themeColor="text1"/>
          <w:sz w:val="24"/>
          <w:szCs w:val="24"/>
          <w:lang w:val="en-US"/>
          <w14:textFill>
            <w14:solidFill>
              <w14:schemeClr w14:val="tx1"/>
            </w14:solidFill>
          </w14:textFill>
        </w:rPr>
        <w:t>m、出口内径为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3.0</w:t>
      </w:r>
      <w:r>
        <w:rPr>
          <w:rFonts w:ascii="Times New Roman" w:hAnsi="Times New Roman" w:cs="Times New Roman" w:eastAsiaTheme="minorEastAsia"/>
          <w:color w:val="000000" w:themeColor="text1"/>
          <w:sz w:val="24"/>
          <w:szCs w:val="24"/>
          <w:lang w:val="en-US"/>
          <w14:textFill>
            <w14:solidFill>
              <w14:schemeClr w14:val="tx1"/>
            </w14:solidFill>
          </w14:textFill>
        </w:rPr>
        <w:t>m的烟囱排放。本次扩建锅炉大气污染物排放满足《关于印发&lt;全面实施燃煤电厂超低排放和节能改造工作方案&gt;的通知》（环发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、35mg/m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）要求。</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1、颗粒物控制措施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依据《工业锅炉污染防治可行技术指南》（HJ1178—2021）中“6.1.2 颗粒物治理技术”中规定，颗粒物治理技术可采用干式电除尘技术、袋式除尘技术、湿式电除尘技术和电袋复合除尘技术，各项除尘技术比选如下：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（1）干式电除尘技术</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通过合理设计烟气流速、比集尘面积等参数，实现除尘效率 96%～99.9%。烟气流速宜取 0.8～1.2 m/s，当比集尘面积不小于 100m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/s）时，干式电除尘器出口颗粒物浓度可达50mg/m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以下；当比集尘面积不小于110m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/s）时，干式电除尘器出口颗粒物浓度可达30mg/m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以下。该技术适用于工况比电阻在1×10</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4</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～1×10</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11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Ω·cm 之间的燃煤锅炉颗粒物脱除，对高铝、高硅等高比电阻粉尘以及细颗粒物脱除效果较差；系统阻力小、占地面积相对较大、投资成本相对较高。</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（2）袋式除尘技术</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通过合理选择滤料种类、过滤风速等参数，实现除尘效率99%～99.99%。当采用常规针刺毡滤料，过滤风速不大于1.0m/min 时，袋式除尘器出口颗粒物浓度可达30mg/m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以下；当过滤风速不大于0.9m/min 时，袋式除尘器出口颗粒物浓度可达20mg/m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以下。当采用高精过滤滤料，过滤风速不大于 0.8m/min 时，袋式除尘器出口颗粒物浓度可达10mg/m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以下。当处理烟气循环流化床法脱硫后的高粉尘浓度烟气时，过滤风速宜不大于0.7m/min。该技术基本不受燃烧煤种、烟尘比电阻和烟气工况变化等影响，运行温度应高于酸露点 15℃以上且≤250℃；燃煤层燃炉和生物质成型燃料锅炉宜设置必要的保护措施，降低滤袋烧毁风险；系统阻力相对较大、占地面积小、投资成本低，滤袋更换成本高。</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（3）湿式电除尘技术</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该技术常用于烟气脱硫后，通过合理设计烟气流速、比集尘面积等参数，实现除尘效率60%～90%，湿式电除尘器出口颗粒物浓度可达10mg/m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 xml:space="preserve">3 </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以下。该技术分为板式湿式电除尘技术和蜂窝式湿式电除尘技术，可有效去除细颗粒物及湿法脱硫后烟气中夹带的液滴，并高效协同脱除三氧化硫（SO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）、汞及其化合物等；系统阻力小、占地面积小、投资成本较高。</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（4）电袋复合除尘技术</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通过合理选择滤料种类和合理设计过滤风速及电区比集尘面积等参数，实现除尘效率99%～99.99%。当采用常规针刺毡滤料，颗粒物排放浓度可达20mg/m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 xml:space="preserve">3 </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以下；当采用高精过滤滤料，颗粒物排放浓度可达10mg/m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以下。该技术适用于燃煤锅炉烟气颗粒物的脱除，兼具袋式除尘和干式电除尘的优点，滤袋使用寿命长，对难荷电颗粒物、细颗粒物及高比电阻粉尘脱除效果佳；系统阻力大、占地面积大、投资成本高，滤袋更换成本高。</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（5）本项目除尘措施选择</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根据《排污许可证申请与核发技术规范 锅炉》（HJ953-2018）5.2.1 可行技术，以及参照《工业锅炉污染防治可行技术指南》（HJ1178-2021）规定的工业锅炉污染防治可行技术及最佳可行技术，</w:t>
      </w:r>
      <w:r>
        <w:rPr>
          <w:rFonts w:ascii="Times New Roman" w:hAnsi="Times New Roman" w:cs="Times New Roman" w:eastAsiaTheme="minorEastAsia"/>
          <w:color w:val="000000" w:themeColor="text1"/>
          <w:sz w:val="24"/>
          <w:szCs w:val="24"/>
          <w:lang w:val="en-US"/>
          <w14:textFill>
            <w14:solidFill>
              <w14:schemeClr w14:val="tx1"/>
            </w14:solidFill>
          </w14:textFill>
        </w:rPr>
        <w:t>本项目选用布袋除尘器，除尘效率不低于99.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5%，可以确保本项目烟气经除尘器处理后，颗粒物排放浓度能够满足《关于印发&lt;全面实施燃煤电厂超低排放和节能改造工作方案&gt;的通知》（环发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、35mg/m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控制措施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锅炉烟气脱硫可分为干法和湿法两大类，其中干法采用粉状或粒状吸收剂、吸附剂或催化剂来脱出烟尘中的SO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，其特点是处理后的烟气温度降低很少，利于烟囱的排气扩散，同时烟囱附近不会出现雨雾现象，但是干法脱硫时的SO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吸附或吸收速度较慢，设备庞大、投资费用高。湿法是采用液体吸收剂洗涤烟气去除SO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，液体吸收剂与SO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的反应速度很快，且设备小、投资少，但处理后的烟气温度较低，含水量增加，烟气扩散效果降低。</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目前，应用在燃煤锅炉上的脱硫工艺方法很多，这些方法的应用主要取决于锅炉容量、燃烧设备的类型、燃料的种类含硫量的多少、脱硫率、脱硫剂的供应条件及电厂的地理条件、副产品的利用等因素。</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按脱硫工艺在生产中所处的部位不同可采用：</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①</w:t>
      </w:r>
      <w:r>
        <w:rPr>
          <w:rFonts w:ascii="Times New Roman" w:hAnsi="Times New Roman" w:cs="Times New Roman" w:eastAsiaTheme="minorEastAsia"/>
          <w:color w:val="000000" w:themeColor="text1"/>
          <w:sz w:val="24"/>
          <w:szCs w:val="24"/>
          <w:lang w:val="en-US"/>
          <w14:textFill>
            <w14:solidFill>
              <w14:schemeClr w14:val="tx1"/>
            </w14:solidFill>
          </w14:textFill>
        </w:rPr>
        <w:t>燃烧前脱硫，如原煤洗选脱硫；</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②</w:t>
      </w:r>
      <w:r>
        <w:rPr>
          <w:rFonts w:ascii="Times New Roman" w:hAnsi="Times New Roman" w:cs="Times New Roman" w:eastAsiaTheme="minorEastAsia"/>
          <w:color w:val="000000" w:themeColor="text1"/>
          <w:sz w:val="24"/>
          <w:szCs w:val="24"/>
          <w:lang w:val="en-US"/>
          <w14:textFill>
            <w14:solidFill>
              <w14:schemeClr w14:val="tx1"/>
            </w14:solidFill>
          </w14:textFill>
        </w:rPr>
        <w:t>燃烧中脱硫，如洁净煤燃烧和湿式镁法脱硫；</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③</w:t>
      </w:r>
      <w:r>
        <w:rPr>
          <w:rFonts w:ascii="Times New Roman" w:hAnsi="Times New Roman" w:cs="Times New Roman" w:eastAsiaTheme="minorEastAsia"/>
          <w:color w:val="000000" w:themeColor="text1"/>
          <w:sz w:val="24"/>
          <w:szCs w:val="24"/>
          <w:lang w:val="en-US"/>
          <w14:textFill>
            <w14:solidFill>
              <w14:schemeClr w14:val="tx1"/>
            </w14:solidFill>
          </w14:textFill>
        </w:rPr>
        <w:t>燃烧后脱硫，如石灰石-石膏湿法、烟气循环流化床脱硫技术、旋转喷雾半干法、海水脱硫、电子束脱硫干法、湿式镁法脱硫等。</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燃烧后的烟气脱硫是目前国际上广泛采用的控制SO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的成熟技术。近年来，世界各经济发达国家在烟气脱硫方面均取得了很大的进展。国内外已采用的电厂烟气脱硫方法主要有石灰石—石膏湿法、镁法脱硫、双碱法脱硫和氨法脱硫。脱硫装置主要技术指标见表6-2-4。</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表6-2-4脱硫装置主要技术指标</w:t>
      </w:r>
    </w:p>
    <w:tbl>
      <w:tblPr>
        <w:tblStyle w:val="70"/>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764"/>
        <w:gridCol w:w="1294"/>
        <w:gridCol w:w="1412"/>
        <w:gridCol w:w="1580"/>
        <w:gridCol w:w="1679"/>
        <w:gridCol w:w="160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76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129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脱硫效率</w:t>
            </w:r>
          </w:p>
        </w:tc>
        <w:tc>
          <w:tcPr>
            <w:tcW w:w="141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脱硫方法</w:t>
            </w:r>
          </w:p>
        </w:tc>
        <w:tc>
          <w:tcPr>
            <w:tcW w:w="158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液气比（L/m3）</w:t>
            </w:r>
          </w:p>
        </w:tc>
        <w:tc>
          <w:tcPr>
            <w:tcW w:w="167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钙（镁）硫比</w:t>
            </w:r>
          </w:p>
        </w:tc>
        <w:tc>
          <w:tcPr>
            <w:tcW w:w="16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循环液pH值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76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29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&gt;80%</w:t>
            </w:r>
          </w:p>
        </w:tc>
        <w:tc>
          <w:tcPr>
            <w:tcW w:w="141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石灰法</w:t>
            </w:r>
          </w:p>
        </w:tc>
        <w:tc>
          <w:tcPr>
            <w:tcW w:w="158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&gt;5</w:t>
            </w:r>
          </w:p>
        </w:tc>
        <w:tc>
          <w:tcPr>
            <w:tcW w:w="167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&lt;1.10</w:t>
            </w:r>
          </w:p>
        </w:tc>
        <w:tc>
          <w:tcPr>
            <w:tcW w:w="16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76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129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1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氧化镁</w:t>
            </w:r>
          </w:p>
        </w:tc>
        <w:tc>
          <w:tcPr>
            <w:tcW w:w="158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&gt;2</w:t>
            </w:r>
          </w:p>
        </w:tc>
        <w:tc>
          <w:tcPr>
            <w:tcW w:w="167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&lt;1.05</w:t>
            </w:r>
          </w:p>
        </w:tc>
        <w:tc>
          <w:tcPr>
            <w:tcW w:w="16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5.0-7.0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76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129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1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石灰石法</w:t>
            </w:r>
          </w:p>
        </w:tc>
        <w:tc>
          <w:tcPr>
            <w:tcW w:w="158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&gt;10</w:t>
            </w:r>
          </w:p>
        </w:tc>
        <w:tc>
          <w:tcPr>
            <w:tcW w:w="167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&lt;1.05</w:t>
            </w:r>
          </w:p>
        </w:tc>
        <w:tc>
          <w:tcPr>
            <w:tcW w:w="16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76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129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1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双碱法</w:t>
            </w:r>
          </w:p>
        </w:tc>
        <w:tc>
          <w:tcPr>
            <w:tcW w:w="158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&gt;2</w:t>
            </w:r>
          </w:p>
        </w:tc>
        <w:tc>
          <w:tcPr>
            <w:tcW w:w="167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&lt;1.10</w:t>
            </w:r>
          </w:p>
        </w:tc>
        <w:tc>
          <w:tcPr>
            <w:tcW w:w="160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5.0-8.0</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表6-2-5几种主要烟气脱硫工艺的比较表</w:t>
      </w:r>
    </w:p>
    <w:tbl>
      <w:tblPr>
        <w:tblStyle w:val="70"/>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1192"/>
        <w:gridCol w:w="1544"/>
        <w:gridCol w:w="1506"/>
        <w:gridCol w:w="1442"/>
        <w:gridCol w:w="1560"/>
        <w:gridCol w:w="109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blHeader/>
        </w:trPr>
        <w:tc>
          <w:tcPr>
            <w:tcW w:w="11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15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炉内喷钙</w:t>
            </w:r>
          </w:p>
        </w:tc>
        <w:tc>
          <w:tcPr>
            <w:tcW w:w="150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石灰石-石膏法</w:t>
            </w:r>
          </w:p>
        </w:tc>
        <w:tc>
          <w:tcPr>
            <w:tcW w:w="14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镁法</w:t>
            </w:r>
          </w:p>
        </w:tc>
        <w:tc>
          <w:tcPr>
            <w:tcW w:w="15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双碱法</w:t>
            </w:r>
          </w:p>
        </w:tc>
        <w:tc>
          <w:tcPr>
            <w:tcW w:w="10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氨法</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11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适用煤种</w:t>
            </w:r>
          </w:p>
        </w:tc>
        <w:tc>
          <w:tcPr>
            <w:tcW w:w="15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不限</w:t>
            </w:r>
          </w:p>
        </w:tc>
        <w:tc>
          <w:tcPr>
            <w:tcW w:w="150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不限</w:t>
            </w:r>
          </w:p>
        </w:tc>
        <w:tc>
          <w:tcPr>
            <w:tcW w:w="14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中低硫煤</w:t>
            </w:r>
          </w:p>
        </w:tc>
        <w:tc>
          <w:tcPr>
            <w:tcW w:w="15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不限</w:t>
            </w:r>
          </w:p>
        </w:tc>
        <w:tc>
          <w:tcPr>
            <w:tcW w:w="10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中低硫煤</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11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脱硫率</w:t>
            </w:r>
          </w:p>
        </w:tc>
        <w:tc>
          <w:tcPr>
            <w:tcW w:w="15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80%以上</w:t>
            </w:r>
          </w:p>
        </w:tc>
        <w:tc>
          <w:tcPr>
            <w:tcW w:w="150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90%以上</w:t>
            </w:r>
          </w:p>
        </w:tc>
        <w:tc>
          <w:tcPr>
            <w:tcW w:w="14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90%以上</w:t>
            </w:r>
          </w:p>
        </w:tc>
        <w:tc>
          <w:tcPr>
            <w:tcW w:w="15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90%以上</w:t>
            </w:r>
          </w:p>
        </w:tc>
        <w:tc>
          <w:tcPr>
            <w:tcW w:w="10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85%以上</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11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吸收剂</w:t>
            </w:r>
          </w:p>
        </w:tc>
        <w:tc>
          <w:tcPr>
            <w:tcW w:w="15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氧化镁</w:t>
            </w:r>
          </w:p>
        </w:tc>
        <w:tc>
          <w:tcPr>
            <w:tcW w:w="150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石灰</w:t>
            </w:r>
          </w:p>
        </w:tc>
        <w:tc>
          <w:tcPr>
            <w:tcW w:w="14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氧化镁</w:t>
            </w:r>
          </w:p>
        </w:tc>
        <w:tc>
          <w:tcPr>
            <w:tcW w:w="15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钠碱、石灰</w:t>
            </w:r>
          </w:p>
        </w:tc>
        <w:tc>
          <w:tcPr>
            <w:tcW w:w="10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氨水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11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市场占有率</w:t>
            </w:r>
          </w:p>
        </w:tc>
        <w:tc>
          <w:tcPr>
            <w:tcW w:w="15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中等</w:t>
            </w:r>
          </w:p>
        </w:tc>
        <w:tc>
          <w:tcPr>
            <w:tcW w:w="150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较高</w:t>
            </w:r>
          </w:p>
        </w:tc>
        <w:tc>
          <w:tcPr>
            <w:tcW w:w="14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较低</w:t>
            </w:r>
          </w:p>
        </w:tc>
        <w:tc>
          <w:tcPr>
            <w:tcW w:w="15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较高</w:t>
            </w:r>
          </w:p>
        </w:tc>
        <w:tc>
          <w:tcPr>
            <w:tcW w:w="10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较低</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11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副产物</w:t>
            </w:r>
          </w:p>
        </w:tc>
        <w:tc>
          <w:tcPr>
            <w:tcW w:w="15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无</w:t>
            </w:r>
          </w:p>
        </w:tc>
        <w:tc>
          <w:tcPr>
            <w:tcW w:w="150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石膏</w:t>
            </w:r>
          </w:p>
        </w:tc>
        <w:tc>
          <w:tcPr>
            <w:tcW w:w="14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硫酸镁</w:t>
            </w:r>
          </w:p>
        </w:tc>
        <w:tc>
          <w:tcPr>
            <w:tcW w:w="15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石膏</w:t>
            </w:r>
          </w:p>
        </w:tc>
        <w:tc>
          <w:tcPr>
            <w:tcW w:w="10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氨水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11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副产物处置</w:t>
            </w:r>
          </w:p>
        </w:tc>
        <w:tc>
          <w:tcPr>
            <w:tcW w:w="15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无</w:t>
            </w:r>
          </w:p>
        </w:tc>
        <w:tc>
          <w:tcPr>
            <w:tcW w:w="150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综合利用</w:t>
            </w:r>
          </w:p>
        </w:tc>
        <w:tc>
          <w:tcPr>
            <w:tcW w:w="14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综合利用</w:t>
            </w:r>
          </w:p>
        </w:tc>
        <w:tc>
          <w:tcPr>
            <w:tcW w:w="15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综合利用</w:t>
            </w:r>
          </w:p>
        </w:tc>
        <w:tc>
          <w:tcPr>
            <w:tcW w:w="10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综合利用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11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工艺成熟度</w:t>
            </w:r>
          </w:p>
        </w:tc>
        <w:tc>
          <w:tcPr>
            <w:tcW w:w="15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成熟</w:t>
            </w:r>
          </w:p>
        </w:tc>
        <w:tc>
          <w:tcPr>
            <w:tcW w:w="150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成熟</w:t>
            </w:r>
          </w:p>
        </w:tc>
        <w:tc>
          <w:tcPr>
            <w:tcW w:w="14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不成熟</w:t>
            </w:r>
          </w:p>
        </w:tc>
        <w:tc>
          <w:tcPr>
            <w:tcW w:w="15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较成熟</w:t>
            </w:r>
          </w:p>
        </w:tc>
        <w:tc>
          <w:tcPr>
            <w:tcW w:w="10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不成熟</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11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废水</w:t>
            </w:r>
          </w:p>
        </w:tc>
        <w:tc>
          <w:tcPr>
            <w:tcW w:w="15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无</w:t>
            </w:r>
          </w:p>
        </w:tc>
        <w:tc>
          <w:tcPr>
            <w:tcW w:w="150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少量</w:t>
            </w:r>
          </w:p>
        </w:tc>
        <w:tc>
          <w:tcPr>
            <w:tcW w:w="14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大量</w:t>
            </w:r>
          </w:p>
        </w:tc>
        <w:tc>
          <w:tcPr>
            <w:tcW w:w="15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少量</w:t>
            </w:r>
          </w:p>
        </w:tc>
        <w:tc>
          <w:tcPr>
            <w:tcW w:w="10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11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药剂市场</w:t>
            </w:r>
          </w:p>
        </w:tc>
        <w:tc>
          <w:tcPr>
            <w:tcW w:w="15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较大</w:t>
            </w:r>
          </w:p>
        </w:tc>
        <w:tc>
          <w:tcPr>
            <w:tcW w:w="150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较大</w:t>
            </w:r>
          </w:p>
        </w:tc>
        <w:tc>
          <w:tcPr>
            <w:tcW w:w="14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中</w:t>
            </w:r>
          </w:p>
        </w:tc>
        <w:tc>
          <w:tcPr>
            <w:tcW w:w="15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中</w:t>
            </w:r>
          </w:p>
        </w:tc>
        <w:tc>
          <w:tcPr>
            <w:tcW w:w="10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11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投资</w:t>
            </w:r>
          </w:p>
        </w:tc>
        <w:tc>
          <w:tcPr>
            <w:tcW w:w="15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较低</w:t>
            </w:r>
          </w:p>
        </w:tc>
        <w:tc>
          <w:tcPr>
            <w:tcW w:w="150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较高</w:t>
            </w:r>
          </w:p>
        </w:tc>
        <w:tc>
          <w:tcPr>
            <w:tcW w:w="14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较低</w:t>
            </w:r>
          </w:p>
        </w:tc>
        <w:tc>
          <w:tcPr>
            <w:tcW w:w="15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较低</w:t>
            </w:r>
          </w:p>
        </w:tc>
        <w:tc>
          <w:tcPr>
            <w:tcW w:w="10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较低</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425" w:hRule="exact"/>
        </w:trPr>
        <w:tc>
          <w:tcPr>
            <w:tcW w:w="11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适用锅炉</w:t>
            </w:r>
          </w:p>
        </w:tc>
        <w:tc>
          <w:tcPr>
            <w:tcW w:w="15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循环流化床锅炉</w:t>
            </w:r>
          </w:p>
        </w:tc>
        <w:tc>
          <w:tcPr>
            <w:tcW w:w="150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不限</w:t>
            </w:r>
          </w:p>
        </w:tc>
        <w:tc>
          <w:tcPr>
            <w:tcW w:w="144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不限</w:t>
            </w:r>
          </w:p>
        </w:tc>
        <w:tc>
          <w:tcPr>
            <w:tcW w:w="15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不限</w:t>
            </w:r>
          </w:p>
        </w:tc>
        <w:tc>
          <w:tcPr>
            <w:tcW w:w="1092"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不限</w:t>
            </w: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燃用燃煤含硫量较低，脱硫压力较小。本项目拟采用湿式镁法脱硫工艺，脱硫吸收塔采用超强湍流发生器+喷淋装置的双模装置。锅炉烟气由引风机送入吸收塔预冷段，冷却至适合的温度后进入吸收塔，往上与逆向流下的吸收浆液反应，湿式镁法脱硫法脱去烟气中的硫份。吸收塔顶部安装有除雾器，用以除去净烟气中携带的细小雾滴。净烟气经过除雾器降低烟气中的水分后排入烟囱。粉尘与脏东西附着在除雾器上，会导致除雾器堵塞、系统压损增大，需由除雾器冲洗水泵提供工业水对除雾器进行喷雾清洗。</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（1）吸收过程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吸收过程发生的主要反应如下：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Mg(OH)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 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 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 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O</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 xml:space="preserve">3 </w:t>
      </w:r>
      <w:r>
        <w:rPr>
          <w:rFonts w:ascii="Times New Roman" w:hAnsi="Times New Roman" w:cs="Times New Roman" w:eastAsiaTheme="minorEastAsia"/>
          <w:color w:val="000000" w:themeColor="text1"/>
          <w:sz w:val="24"/>
          <w:szCs w:val="24"/>
          <w:lang w:val="en-US"/>
          <w14:textFill>
            <w14:solidFill>
              <w14:schemeClr w14:val="tx1"/>
            </w14:solidFill>
          </w14:textFill>
        </w:rPr>
        <w:t>+ 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 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O → Mg(HSO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Mg(HSO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 xml:space="preserve">2 </w:t>
      </w:r>
      <w:r>
        <w:rPr>
          <w:rFonts w:ascii="Times New Roman" w:hAnsi="Times New Roman" w:cs="Times New Roman" w:eastAsiaTheme="minorEastAsia"/>
          <w:color w:val="000000" w:themeColor="text1"/>
          <w:sz w:val="24"/>
          <w:szCs w:val="24"/>
          <w:lang w:val="en-US"/>
          <w14:textFill>
            <w14:solidFill>
              <w14:schemeClr w14:val="tx1"/>
            </w14:solidFill>
          </w14:textFill>
        </w:rPr>
        <w:t>+ Mg(OH)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 xml:space="preserve">2 </w:t>
      </w:r>
      <w:r>
        <w:rPr>
          <w:rFonts w:ascii="Times New Roman" w:hAnsi="Times New Roman" w:cs="Times New Roman" w:eastAsiaTheme="minorEastAsia"/>
          <w:color w:val="000000" w:themeColor="text1"/>
          <w:sz w:val="24"/>
          <w:szCs w:val="24"/>
          <w:lang w:val="en-US"/>
          <w14:textFill>
            <w14:solidFill>
              <w14:schemeClr w14:val="tx1"/>
            </w14:solidFill>
          </w14:textFill>
        </w:rPr>
        <w:t>→ 2MgSO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+ 2H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O</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吸收了硫分的吸收液落入吸收塔底，吸收塔底部主要为氧化、循环过程。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（2）氧化过程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由曝气鼓风机向塔底浆液内强制提供大量压缩空气，使得造成化学需氧量的MgSO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氧化成MgSO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。这个阶段化学反应如下: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+ 1/2O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 xml:space="preserve">2 </w:t>
      </w:r>
      <w:r>
        <w:rPr>
          <w:rFonts w:ascii="Times New Roman" w:hAnsi="Times New Roman" w:cs="Times New Roman" w:eastAsiaTheme="minorEastAsia"/>
          <w:color w:val="000000" w:themeColor="text1"/>
          <w:sz w:val="24"/>
          <w:szCs w:val="24"/>
          <w:lang w:val="en-US"/>
          <w14:textFill>
            <w14:solidFill>
              <w14:schemeClr w14:val="tx1"/>
            </w14:solidFill>
          </w14:textFill>
        </w:rPr>
        <w:t>→ 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4</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Mg(HSO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 xml:space="preserve">3)2 </w:t>
      </w:r>
      <w:r>
        <w:rPr>
          <w:rFonts w:ascii="Times New Roman" w:hAnsi="Times New Roman" w:cs="Times New Roman" w:eastAsiaTheme="minorEastAsia"/>
          <w:color w:val="000000" w:themeColor="text1"/>
          <w:sz w:val="24"/>
          <w:szCs w:val="24"/>
          <w:lang w:val="en-US"/>
          <w14:textFill>
            <w14:solidFill>
              <w14:schemeClr w14:val="tx1"/>
            </w14:solidFill>
          </w14:textFill>
        </w:rPr>
        <w:t>+ 1/2O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 xml:space="preserve">2 </w:t>
      </w:r>
      <w:r>
        <w:rPr>
          <w:rFonts w:ascii="Times New Roman" w:hAnsi="Times New Roman" w:cs="Times New Roman" w:eastAsiaTheme="minorEastAsia"/>
          <w:color w:val="000000" w:themeColor="text1"/>
          <w:sz w:val="24"/>
          <w:szCs w:val="24"/>
          <w:lang w:val="en-US"/>
          <w14:textFill>
            <w14:solidFill>
              <w14:schemeClr w14:val="tx1"/>
            </w14:solidFill>
          </w14:textFill>
        </w:rPr>
        <w:t>→ 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 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 Mg(OH)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 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+ 2H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O</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+ 1/2O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 → 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4</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（3）固液分离</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脱硫后的吸收液内部会形成大量MgSO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结晶体，在曝气鼓风机的作用下，溶液中MgSO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氧化成MgSO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，逐渐形成MgSO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的过饱和溶液，大量的MgSO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结晶体从溶液中析出，通过板式压滤机的作用实现固液分离，分离后的废渣外售综合利用。</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（4）循环过程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将落入塔底的吸收液经浆液循环泵重新输送至吸收塔上部吸收区。塔底吸收液pH由自动喷注的20%氢氧化镁浆液调整，而且与酸碱计连锁控制。当塔底浆液pH低于设定值时，氢氧化镁浆液通过输送泵自动补充到吸收塔底，在塔底搅拌器的作用下使浆液混合均匀，至pH达到设定值时停止补充氢氧化镁浆液。20 %氢氧化镁溶液由氧化镁粉加热水熟化产生。</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脱硫效果分析：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本项目新建70MW燃煤热水锅炉经过脱硫塔进行脱硫。</w:t>
      </w:r>
      <w:r>
        <w:rPr>
          <w:rFonts w:ascii="Times New Roman" w:hAnsi="Times New Roman" w:cs="Times New Roman" w:eastAsiaTheme="minorEastAsia"/>
          <w:color w:val="000000" w:themeColor="text1"/>
          <w:sz w:val="24"/>
          <w:szCs w:val="24"/>
          <w:lang w:val="en-US"/>
          <w14:textFill>
            <w14:solidFill>
              <w14:schemeClr w14:val="tx1"/>
            </w14:solidFill>
          </w14:textFill>
        </w:rPr>
        <w:t>设计脱硫效率</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0%~9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%，本项目取值</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95</w:t>
      </w:r>
      <w:r>
        <w:rPr>
          <w:rFonts w:ascii="Times New Roman" w:hAnsi="Times New Roman" w:cs="Times New Roman" w:eastAsiaTheme="minorEastAsia"/>
          <w:color w:val="000000" w:themeColor="text1"/>
          <w:sz w:val="24"/>
          <w:szCs w:val="24"/>
          <w:lang w:val="en-US"/>
          <w14:textFill>
            <w14:solidFill>
              <w14:schemeClr w14:val="tx1"/>
            </w14:solidFill>
          </w14:textFill>
        </w:rPr>
        <w:t>%，可确保本项目SO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排放浓度</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满足</w:t>
      </w:r>
      <w:r>
        <w:rPr>
          <w:rFonts w:ascii="Times New Roman" w:hAnsi="Times New Roman" w:cs="Times New Roman" w:eastAsiaTheme="minorEastAsia"/>
          <w:color w:val="000000" w:themeColor="text1"/>
          <w:sz w:val="24"/>
          <w:szCs w:val="24"/>
          <w:lang w:val="en-US"/>
          <w14:textFill>
            <w14:solidFill>
              <w14:schemeClr w14:val="tx1"/>
            </w14:solidFill>
          </w14:textFill>
        </w:rPr>
        <w:t>《关于印发&lt;全面实施燃煤电厂超低排放和节能改造工作方案&gt;的通知》（环发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、35mg/m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3、NOx污染防治措施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本项目新建锅炉脱硝工艺采用低氮燃烧和SNCR-SCR联合脱硝工艺。</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SNCR法脱硝采用固体尿素作为还原剂，SCR法脱硝采用V</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5</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等活性物质作为催化剂。联合SNCR-SCR工艺具有2个反应区，通过布置在锅炉炉墙上的喷射系统，首先将还原剂喷入第一个反应区炉膛，在高温下，还原剂与烟气中的NO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X</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在没有催化剂参与的情况下发生还原反应，实现初步脱氮。然后未反应完全的还原剂进入混合工艺的第二个反应区SCR反应器，再有催化剂的情况下进一步脱氮。</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联合SNCR-SCR工艺主要的改进就是省去了SCR工艺设置在烟道的复杂氨喷射隔栅系统，并大幅度减少了催化剂的用量。首先将尿素溶解制备成50%浓度的溶液，经输送泵输送至尿素储罐。储罐中的尿素溶液经计量稀释模块稀释成5-15%（浓度可调节）的溶液后被分配至每杆喷枪，喷入炉膛特定窗口（850℃—1100℃）与烟气充分混合反应，将烟气中的NOx还原为氮气分子（N</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）和水蒸气，最终达到脱除NOx的目的。</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以尿素为还原剂其在SNCR工艺中主要化学反应式为：</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CO(NH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—2NH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+CO</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NH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+NO—N</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O</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CO+NO—N</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+CO2</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然后未反应完全的还原剂经过热解进入混合工艺的第二个反应区SCR反应器，在催化</w:t>
      </w:r>
      <w:r>
        <w:rPr>
          <w:rFonts w:ascii="Times New Roman" w:hAnsi="Times New Roman" w:cs="Times New Roman" w:eastAsiaTheme="minorEastAsia"/>
          <w:color w:val="000000" w:themeColor="text1"/>
          <w:sz w:val="24"/>
          <w:szCs w:val="24"/>
          <w:lang w:val="en-US"/>
          <w14:textFill>
            <w14:solidFill>
              <w14:schemeClr w14:val="tx1"/>
            </w14:solidFill>
          </w14:textFill>
        </w:rPr>
        <w:t>剂的作用下将NO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X</w:t>
      </w:r>
      <w:r>
        <w:rPr>
          <w:rFonts w:ascii="Times New Roman" w:hAnsi="Times New Roman" w:cs="Times New Roman" w:eastAsiaTheme="minorEastAsia"/>
          <w:color w:val="000000" w:themeColor="text1"/>
          <w:sz w:val="24"/>
          <w:szCs w:val="24"/>
          <w:lang w:val="en-US"/>
          <w14:textFill>
            <w14:solidFill>
              <w14:schemeClr w14:val="tx1"/>
            </w14:solidFill>
          </w14:textFill>
        </w:rPr>
        <w:t>(主要是NO)还原为对大气没有多少影响的N</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和水。在SCR反应器内，NO通过以下反应被还原：</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4NO+4NH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→3N</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+6H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O</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6NO+4NH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→5N</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+6H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O</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当烟气中有氧气时，反应第一式优先进行，因</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此</w:t>
      </w:r>
      <w:r>
        <w:rPr>
          <w:rFonts w:ascii="Times New Roman" w:hAnsi="Times New Roman" w:cs="Times New Roman" w:eastAsiaTheme="minorEastAsia"/>
          <w:color w:val="000000" w:themeColor="text1"/>
          <w:sz w:val="24"/>
          <w:szCs w:val="24"/>
          <w:lang w:val="en-US"/>
          <w14:textFill>
            <w14:solidFill>
              <w14:schemeClr w14:val="tx1"/>
            </w14:solidFill>
          </w14:textFill>
        </w:rPr>
        <w:t>氨消耗量与NO还原量有一对一的关系。</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在锅炉的烟气中，NO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一般约占总的NO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X</w:t>
      </w:r>
      <w:r>
        <w:rPr>
          <w:rFonts w:ascii="Times New Roman" w:hAnsi="Times New Roman" w:cs="Times New Roman" w:eastAsiaTheme="minorEastAsia"/>
          <w:color w:val="000000" w:themeColor="text1"/>
          <w:sz w:val="24"/>
          <w:szCs w:val="24"/>
          <w:lang w:val="en-US"/>
          <w14:textFill>
            <w14:solidFill>
              <w14:schemeClr w14:val="tx1"/>
            </w14:solidFill>
          </w14:textFill>
        </w:rPr>
        <w:t>浓度的5%，NO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参与的反应如下：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+4NH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→3N</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+6H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O</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6NO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+8NH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→7N</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+12H</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O</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上面两个反应表明还原NO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比还原NO需要更多的氨。</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尿素溶液制备与储存系统，尿素溶液输送系统，计量混合系统，分配系统，喷射组件等。尿素在高温常压下会分解成氨气和二氧化碳，为了易于操作，首先将尿素溶于水中配制成50%尿素水溶液，然后经输送泵送至储罐中暂存，储罐中的尿素溶液通过尿素溶液升压泵撬后，以一定压力送至计量模块。在计量模块中，50%的尿素水溶液与稀释水按一定比例在混合器中稀释成10%的尿素溶液，其中稀释水来自于稀释水罐，由稀释水输送泵送到计量系统与50%的尿素水溶液进行混合，且在50%尿素水溶液管路设有远传的电磁流量计及调节阀，稀释水管路上设有带远传的金属转子流量计及调节阀，控制稀释水和尿素水溶液的进入量，使混合后的尿素稀溶液达到适宜的浓度要求。同时在计量撬上还设置压缩空气计量管路，上面设有调压器，流量计等。在尿素溶液的喷射撬上，被稀释后的 10%的尿素水溶液与调压后的压缩空气按一定比例进入喷枪后雾化再喷射到锅炉中分解。此外，每支喷枪还配有冷却风系统，防止喷枪温度过高，减少喷枪的使用寿命。然后未反应的还原剂进入混合工艺的第 2 个反应区 SCR 反应器，在有催化还原的情况下进一步脱硝。在锅炉尾部合适烟温（320℃～400℃）位置处安装 SCR 反应器，反应器内布置平板式催化剂，烟气中 NOX 经 SNCR 工艺已大部分除去，但由于较高的氨逃逸，到达 SCR 反应器的还原剂（NH3 等）还有相当的含量，在催化剂的作用下，还原剂和NO</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X</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反应生成N</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 xml:space="preserve">2 </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和H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O。</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因此本次脱硝技术选择联合低氮燃烧和SNCR-SCR工艺，低氮燃烧和联合SNCR-SCR工艺脱硝效率取值80%。</w:t>
      </w:r>
      <w:r>
        <w:rPr>
          <w:rFonts w:ascii="Times New Roman" w:hAnsi="Times New Roman" w:cs="Times New Roman" w:eastAsiaTheme="minorEastAsia"/>
          <w:color w:val="000000" w:themeColor="text1"/>
          <w:sz w:val="24"/>
          <w:szCs w:val="24"/>
          <w:lang w:val="en-US"/>
          <w14:textFill>
            <w14:solidFill>
              <w14:schemeClr w14:val="tx1"/>
            </w14:solidFill>
          </w14:textFill>
        </w:rPr>
        <w:t>NOx 排放可满足《关于印发&lt;全面实施燃煤电厂超低排放和节能改造工作方案&gt;的通知》（环发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、35mg/m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）要求。</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4、汞及其化合物控制措施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本项目锅炉烟气汞及其化合物采用协同去除，去除效率可达70%。</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燃煤烟气中Hg 主要有三种形态：气态单质Hg（为主要形式，占85%以上），气态二价Hg，固态颗粒Hg。固态颗粒Hg 极易被除尘器去除，气态二价Hg 极易溶于水，可在脱硫过程协同去除。因此，保守估计，</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本项目采取的烟气除尘、脱硫系统对汞及其化合物产生协同脱除效率可达70%以上。本项目汞及其化合物最终排放浓度为0.0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15</w:t>
      </w:r>
      <w:r>
        <w:rPr>
          <w:rFonts w:ascii="Times New Roman" w:hAnsi="Times New Roman" w:cs="Times New Roman" w:eastAsiaTheme="minorEastAsia"/>
          <w:color w:val="000000" w:themeColor="text1"/>
          <w:sz w:val="24"/>
          <w:szCs w:val="24"/>
          <w:lang w:val="en-US"/>
          <w14:textFill>
            <w14:solidFill>
              <w14:schemeClr w14:val="tx1"/>
            </w14:solidFill>
          </w14:textFill>
        </w:rPr>
        <w:t>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，可满足《锅炉大气污染物排放标准》（GB13271-2014）表2标准中0.05mg/m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的限值要求。</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综上所述，在上述环保措施落实的情况下，本评价要求锅炉烟气处理系统还应安装脱硫剂自动投加计量系统、DCS等，并设置烟气在线监测系统，确保大气污染物稳定达标排放。</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5、氨逃逸</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本项目脱硝采用尿素脱硝，与 NOx 反应过程中将产生无组织排放的 NH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产生逃逸现象。本项目的脱硝方法为炉内喷淋尿素，合理控制尿素的喷淋量以及其分布的均匀性，同时采用控制反应区内温度及足够的停留时间等措施，确保氨与烟气中氮氧化物具备良好的接触，降低氨的逃逸量。采取上述废气污染防治措施后，氨厂界浓度满足《恶臭污染物排放标准》（GB14554-93）表1 恶臭污染物厂界标准值中二级标准要求，氨的有组织排放速率满足《恶臭污染物排放标准》（GB14554-93）表2 恶臭污染物排放标准值，同时，脱硝过程中氨逃逸满足《火电厂烟气脱硝工程技术规范选择性催化还原法》（HJ562-2010）要求脱硝系统氨逃逸质量浓度应控制在2.5mg/m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的要求。</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6</w:t>
      </w:r>
      <w:r>
        <w:rPr>
          <w:rFonts w:ascii="Times New Roman" w:hAnsi="Times New Roman" w:cs="Times New Roman" w:eastAsiaTheme="minorEastAsia"/>
          <w:color w:val="000000" w:themeColor="text1"/>
          <w:sz w:val="24"/>
          <w:szCs w:val="24"/>
          <w:lang w:val="en-US"/>
          <w14:textFill>
            <w14:solidFill>
              <w14:schemeClr w14:val="tx1"/>
            </w14:solidFill>
          </w14:textFill>
        </w:rPr>
        <w:t>、在线监测设备</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需要在烟道上安装1套在线烟气自动连续监测系统，以监控颗粒物、SO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X</w:t>
      </w:r>
      <w:r>
        <w:rPr>
          <w:rFonts w:ascii="Times New Roman" w:hAnsi="Times New Roman" w:cs="Times New Roman" w:eastAsiaTheme="minorEastAsia"/>
          <w:color w:val="000000" w:themeColor="text1"/>
          <w:sz w:val="24"/>
          <w:szCs w:val="24"/>
          <w:lang w:val="en-US"/>
          <w14:textFill>
            <w14:solidFill>
              <w14:schemeClr w14:val="tx1"/>
            </w14:solidFill>
          </w14:textFill>
        </w:rPr>
        <w:t>等污染物的排放情况，为锅炉的运行管理和环境管理提供依据。烟气连续监测装置留有与当地环境保护主管部门的接口。</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在线监测装置设置位置遵照《固定污染源烟气排放连续监测技术规范》要求：“为了便于颗粒物和流速参比方法的校验和比对监测，烟气CEMS不宜安装在烟道内烟气流速小于5m/s的位置”，“颗粒物CEMS，应设置在距弯头、阀门、变径管下游方向不小于4倍烟道直径，以及距上述部件上游方向不小于2倍烟道直径处；对于气态污染物CEMS，应设置在距弯头、阀门、变径管下游方向不小于2倍烟道直径，以及距上述部件上游方向不小于0.5倍烟道直径处。”</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根据《排污许可证申请与核发技术规范</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锅炉》（HJ953-2018），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本项目所采取的污染防治措施均为可行性措施。</w:t>
      </w:r>
    </w:p>
    <w:p>
      <w:pPr>
        <w:pStyle w:val="6"/>
        <w:ind w:firstLine="475" w:firstLineChars="0"/>
        <w:jc w:val="both"/>
        <w:rPr>
          <w:rFonts w:ascii="Times New Roman" w:hAnsi="Times New Roman" w:cs="Times New Roman" w:eastAsiaTheme="minorEastAsia"/>
          <w:color w:val="000000" w:themeColor="text1"/>
          <w:sz w:val="24"/>
          <w:szCs w:val="24"/>
          <w:lang w:val="en-US" w:bidi="ar-SA"/>
          <w14:textFill>
            <w14:solidFill>
              <w14:schemeClr w14:val="tx1"/>
            </w14:solidFill>
          </w14:textFill>
        </w:rPr>
      </w:pPr>
      <w:bookmarkStart w:id="307" w:name="_Toc7249"/>
      <w:bookmarkStart w:id="308" w:name="_Toc21429"/>
      <w:bookmarkStart w:id="309" w:name="_Toc24110"/>
      <w:bookmarkStart w:id="310" w:name="_Toc18065"/>
      <w:bookmarkStart w:id="311" w:name="_Toc3828"/>
      <w:r>
        <w:rPr>
          <w:rFonts w:ascii="Times New Roman" w:hAnsi="Times New Roman" w:cs="Times New Roman" w:eastAsiaTheme="minorEastAsia"/>
          <w:color w:val="000000" w:themeColor="text1"/>
          <w:sz w:val="24"/>
          <w:szCs w:val="24"/>
          <w:lang w:val="en-US" w:bidi="ar-SA"/>
          <w14:textFill>
            <w14:solidFill>
              <w14:schemeClr w14:val="tx1"/>
            </w14:solidFill>
          </w14:textFill>
        </w:rPr>
        <w:t>6.2.1.2 无组织废气</w:t>
      </w:r>
      <w:bookmarkEnd w:id="307"/>
      <w:bookmarkEnd w:id="308"/>
      <w:bookmarkEnd w:id="309"/>
      <w:bookmarkEnd w:id="310"/>
      <w:bookmarkEnd w:id="311"/>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输煤栈桥侧面及屋面均用100mm厚金属保温墙板或屋面板封闭，输送皮带上方设有喷淋水管用于燃料干燥时的加湿。煤机室的各落煤点会产生煤尘扬尘，在碎煤机室设置2套布袋除尘器，除尘效率99%（每台布袋除尘器的风量3000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/h）；碎煤机室产生的粉尘经脉冲布袋除尘器除尘后，尾气直接经风机排放，碎煤机室有效排放高度20m。</w:t>
      </w:r>
      <w:r>
        <w:rPr>
          <w:rFonts w:ascii="Times New Roman" w:hAnsi="Times New Roman" w:cs="Times New Roman" w:eastAsiaTheme="minorEastAsia"/>
          <w:color w:val="000000" w:themeColor="text1"/>
          <w:sz w:val="24"/>
          <w:szCs w:val="24"/>
          <w:lang w:val="en-US"/>
          <w14:textFill>
            <w14:solidFill>
              <w14:schemeClr w14:val="tx1"/>
            </w14:solidFill>
          </w14:textFill>
        </w:rPr>
        <w:t>依托现有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半</w:t>
      </w:r>
      <w:r>
        <w:rPr>
          <w:rFonts w:ascii="Times New Roman" w:hAnsi="Times New Roman" w:cs="Times New Roman" w:eastAsiaTheme="minorEastAsia"/>
          <w:color w:val="000000" w:themeColor="text1"/>
          <w:sz w:val="24"/>
          <w:szCs w:val="24"/>
          <w:lang w:val="en-US"/>
          <w14:textFill>
            <w14:solidFill>
              <w14:schemeClr w14:val="tx1"/>
            </w14:solidFill>
          </w14:textFill>
        </w:rPr>
        <w:t>封闭式储煤场，占地面积</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360</w:t>
      </w:r>
      <w:r>
        <w:rPr>
          <w:rFonts w:ascii="Times New Roman" w:hAnsi="Times New Roman" w:cs="Times New Roman" w:eastAsiaTheme="minorEastAsia"/>
          <w:color w:val="000000" w:themeColor="text1"/>
          <w:sz w:val="24"/>
          <w:szCs w:val="24"/>
          <w:lang w:val="en-US"/>
          <w14:textFill>
            <w14:solidFill>
              <w14:schemeClr w14:val="tx1"/>
            </w14:solidFill>
          </w14:textFill>
        </w:rPr>
        <w:t>00m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在储煤场四周设置防风抑尘网（长度550m，高度10m）并才用苫布遮盖，定期洒水增湿降尘；</w:t>
      </w:r>
      <w:r>
        <w:rPr>
          <w:rFonts w:ascii="Times New Roman" w:hAnsi="Times New Roman" w:cs="Times New Roman" w:eastAsiaTheme="minorEastAsia"/>
          <w:color w:val="000000" w:themeColor="text1"/>
          <w:sz w:val="24"/>
          <w:szCs w:val="24"/>
          <w:lang w:val="en-US"/>
          <w14:textFill>
            <w14:solidFill>
              <w14:schemeClr w14:val="tx1"/>
            </w14:solidFill>
          </w14:textFill>
        </w:rPr>
        <w:t>依托现有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半</w:t>
      </w:r>
      <w:r>
        <w:rPr>
          <w:rFonts w:ascii="Times New Roman" w:hAnsi="Times New Roman" w:cs="Times New Roman" w:eastAsiaTheme="minorEastAsia"/>
          <w:color w:val="000000" w:themeColor="text1"/>
          <w:sz w:val="24"/>
          <w:szCs w:val="24"/>
          <w:lang w:val="en-US"/>
          <w14:textFill>
            <w14:solidFill>
              <w14:schemeClr w14:val="tx1"/>
            </w14:solidFill>
          </w14:textFill>
        </w:rPr>
        <w:t>封闭式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灰渣场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现有锅炉房东侧，占地面积为21000m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，在灰渣场四周设置防风抑尘网（长度400m，高度10m）并才用苫布遮盖，定期洒水增湿降尘。</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经采取以上措施，厂界颗粒物浓度可以满足《大气污染物综合排放标准》（GB16297~1996）中无组织排放源周界外浓度限值（1.0mg/m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）的要求，厂区扬尘对外环境影响较小，可被周围环境所接受。根据《排污许可证申请与核发技术规范锅炉》（HJ953-2018），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本项目所采取的污染防治措施均为可行性措施。</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12" w:name="_Toc16248"/>
      <w:r>
        <w:rPr>
          <w:rFonts w:ascii="Times New Roman" w:hAnsi="Times New Roman" w:eastAsia="新宋体" w:cstheme="minorBidi"/>
          <w:color w:val="000000" w:themeColor="text1"/>
          <w:szCs w:val="24"/>
          <w:lang w:val="en-US" w:bidi="ar-SA"/>
          <w14:textFill>
            <w14:solidFill>
              <w14:schemeClr w14:val="tx1"/>
            </w14:solidFill>
          </w14:textFill>
        </w:rPr>
        <w:t>6.2.2 废水</w:t>
      </w:r>
      <w:bookmarkEnd w:id="312"/>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一、地表水</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项目建成后，运行过程中产生的废水主要是锅炉定期排水和</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软化水系统脱盐浓水</w:t>
      </w:r>
      <w:r>
        <w:rPr>
          <w:rFonts w:ascii="Times New Roman" w:hAnsi="Times New Roman" w:cs="Times New Roman" w:eastAsiaTheme="minorEastAsia"/>
          <w:color w:val="000000" w:themeColor="text1"/>
          <w:sz w:val="24"/>
          <w:szCs w:val="24"/>
          <w:lang w:val="en-US"/>
          <w14:textFill>
            <w14:solidFill>
              <w14:schemeClr w14:val="tx1"/>
            </w14:solidFill>
          </w14:textFill>
        </w:rPr>
        <w:t>等，锅炉排污主要是热污染，且含有一定碱度和溶解性固体这些废水不含有毒有害成分。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厂区生产废水包括软化水系统脱盐浓水、脱硫废水、锅炉排污水排入脱硫水池，经中和沉淀+絮凝处理后回用于地面冲洗水、输煤系统降尘水和冷渣机用水，不外排。本项目脱硫水池的容积为600m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，能够储存7d 的厂区生产废水最大产生量，排污降温池采用“中和沉淀+絮凝”处理工艺，属于《排污许可证申请与核发技术规范 锅炉》（HJ953-2018），表9 锅炉废水污染防治可行技术中生产废水（不外排）污染防治可行技术。</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根据建设单位提供的生产管理资料，锅炉炉渣由540℃降温至80℃，每吨炉渣冷却用水量为0.85m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/吨，本项目炉渣产生量为2.988t/h，所以本项目冷渣机用水量为2.54m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/h；输煤系统的煤库输煤区域、受煤坑、输煤栈桥、碎煤机室区域的面积为2800m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，上述输煤系统的降尘用水系数为0.25L/m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，输煤系统降尘总用水量为0.7m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/h，本项目新建70MW 锅炉所在区域的工作面积为 400m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，地面冲洗水系数为 0.1L/m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，锅炉房工作区地面冲洗水的用量为 0.04m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/h，综上所述，本项目软化水系统脱盐浓水、脱硫废水、锅炉排污水经中和沉淀+絮凝处理后的水量为3.28m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/h，能够满足冷渣机用水、输煤系统降尘、地面冲洗水的用量，生产废水回用厂区不外排合理可行。</w:t>
      </w:r>
      <w:r>
        <w:rPr>
          <w:rFonts w:ascii="Times New Roman" w:hAnsi="Times New Roman" w:cs="Times New Roman" w:eastAsiaTheme="minorEastAsia"/>
          <w:color w:val="000000" w:themeColor="text1"/>
          <w:sz w:val="24"/>
          <w:szCs w:val="24"/>
          <w:lang w:val="en-US"/>
          <w14:textFill>
            <w14:solidFill>
              <w14:schemeClr w14:val="tx1"/>
            </w14:solidFill>
          </w14:textFill>
        </w:rPr>
        <w:t>建设单位在厂区设置1座25m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的初期雨水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收集池，收集雨季初期雨水，初期雨水用于储煤场洒水降尘。厂区内部设置雨水管网，雨水排入周边雨水管网。</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本项目不新增员工，不新增生活污水。</w:t>
      </w:r>
      <w:r>
        <w:rPr>
          <w:rFonts w:ascii="Times New Roman" w:hAnsi="Times New Roman" w:cs="Times New Roman" w:eastAsiaTheme="minorEastAsia"/>
          <w:color w:val="000000" w:themeColor="text1"/>
          <w:sz w:val="24"/>
          <w:szCs w:val="24"/>
          <w:lang w:val="en-US"/>
          <w14:textFill>
            <w14:solidFill>
              <w14:schemeClr w14:val="tx1"/>
            </w14:solidFill>
          </w14:textFill>
        </w:rPr>
        <w:t>厂区生活污水其主要污染物为COD、氨氮，浓度分别为300mg/L、30mg/L，可以满足《</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黑龙江红兴隆农垦清洁污水处理厂</w:t>
      </w:r>
      <w:r>
        <w:rPr>
          <w:rFonts w:ascii="Times New Roman" w:hAnsi="Times New Roman" w:cs="Times New Roman" w:eastAsiaTheme="minorEastAsia"/>
          <w:color w:val="000000" w:themeColor="text1"/>
          <w:sz w:val="24"/>
          <w:szCs w:val="24"/>
          <w:lang w:val="en-US"/>
          <w14:textFill>
            <w14:solidFill>
              <w14:schemeClr w14:val="tx1"/>
            </w14:solidFill>
          </w14:textFill>
        </w:rPr>
        <w:t>入厂水质控制指标》，废水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定期清运至黑龙江红兴隆农垦清洁污水处理有限公司（集中污水处理厂）进行处理。黑龙江红兴隆农垦清洁污水处理有限公司污水处理能力为6000m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/d，目前污水处理量为1800 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/d，剩余污水处理能力为4200 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/d，本项目生活污水排放量</w:t>
      </w:r>
      <w:r>
        <w:rPr>
          <w:rFonts w:ascii="Times New Roman" w:hAnsi="Times New Roman" w:cs="Times New Roman" w:eastAsiaTheme="minorEastAsia"/>
          <w:color w:val="000000" w:themeColor="text1"/>
          <w:sz w:val="24"/>
          <w:szCs w:val="24"/>
          <w:lang w:val="en-US"/>
          <w14:textFill>
            <w14:solidFill>
              <w14:schemeClr w14:val="tx1"/>
            </w14:solidFill>
          </w14:textFill>
        </w:rPr>
        <w:t>占污水处理厂可纳污空间很小，且项目排水指标浓度满足污水处理厂设计进水指标，不会对污水处理厂的运行负荷造成冲击。因此</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黑龙江红兴隆农垦清洁污水处理</w:t>
      </w:r>
      <w:r>
        <w:rPr>
          <w:rFonts w:ascii="Times New Roman" w:hAnsi="Times New Roman" w:cs="Times New Roman" w:eastAsiaTheme="minorEastAsia"/>
          <w:color w:val="000000" w:themeColor="text1"/>
          <w:sz w:val="24"/>
          <w:szCs w:val="24"/>
          <w:lang w:val="en-US"/>
          <w14:textFill>
            <w14:solidFill>
              <w14:schemeClr w14:val="tx1"/>
            </w14:solidFill>
          </w14:textFill>
        </w:rPr>
        <w:t>厂完全有能力接纳并处理项目废水，并使项目废水得到充分处理，项目废水治理排放方案合理可行。经过污水处理厂集中处理后，污染物排海量很小，对</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周边地表水体</w:t>
      </w:r>
      <w:r>
        <w:rPr>
          <w:rFonts w:ascii="Times New Roman" w:hAnsi="Times New Roman" w:cs="Times New Roman" w:eastAsiaTheme="minorEastAsia"/>
          <w:color w:val="000000" w:themeColor="text1"/>
          <w:sz w:val="24"/>
          <w:szCs w:val="24"/>
          <w:lang w:val="en-US"/>
          <w14:textFill>
            <w14:solidFill>
              <w14:schemeClr w14:val="tx1"/>
            </w14:solidFill>
          </w14:textFill>
        </w:rPr>
        <w:t>环境影响</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较小</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综上，本项目生产废水和生活污水均得到了妥善处理，对地表水环境影响较小。</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二、地下水</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（1）对厂内排水系统和水池池体及排放管道均做防渗处理。防渗等级应达到《一般工业固体废物贮存和填埋污染控制标准》（GB 18599-2020）中规定的渗透系数不大于10-7cm/s 的要求，防止污水下渗污染地下水。</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（2）危废贮存库地面需采取防渗处理，参照《危险废物贮存污染控制标准》（GB18597-20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23</w:t>
      </w:r>
      <w:r>
        <w:rPr>
          <w:rFonts w:ascii="Times New Roman" w:hAnsi="Times New Roman" w:cs="Times New Roman" w:eastAsiaTheme="minorEastAsia"/>
          <w:color w:val="000000" w:themeColor="text1"/>
          <w:sz w:val="24"/>
          <w:szCs w:val="24"/>
          <w:lang w:val="en-US"/>
          <w14:textFill>
            <w14:solidFill>
              <w14:schemeClr w14:val="tx1"/>
            </w14:solidFill>
          </w14:textFill>
        </w:rPr>
        <w:t>），该区防渗层为至少1m厚粘土层（渗透系数≤10</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-7</w:t>
      </w:r>
      <w:r>
        <w:rPr>
          <w:rFonts w:ascii="Times New Roman" w:hAnsi="Times New Roman" w:cs="Times New Roman" w:eastAsiaTheme="minorEastAsia"/>
          <w:color w:val="000000" w:themeColor="text1"/>
          <w:sz w:val="24"/>
          <w:szCs w:val="24"/>
          <w:lang w:val="en-US"/>
          <w14:textFill>
            <w14:solidFill>
              <w14:schemeClr w14:val="tx1"/>
            </w14:solidFill>
          </w14:textFill>
        </w:rPr>
        <w:t>cm/s），或2mm厚高密度聚乙烯，或至少2mm厚的其他人工材料，渗透系数≤10</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-10</w:t>
      </w:r>
      <w:r>
        <w:rPr>
          <w:rFonts w:ascii="Times New Roman" w:hAnsi="Times New Roman" w:cs="Times New Roman" w:eastAsiaTheme="minorEastAsia"/>
          <w:color w:val="000000" w:themeColor="text1"/>
          <w:sz w:val="24"/>
          <w:szCs w:val="24"/>
          <w:lang w:val="en-US"/>
          <w14:textFill>
            <w14:solidFill>
              <w14:schemeClr w14:val="tx1"/>
            </w14:solidFill>
          </w14:textFill>
        </w:rPr>
        <w:t>cm/s。</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（3）厂区内其他生产区地面应进行固化及防渗处理，防止泄露及地面雨水下渗对地下水造成污染。</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13" w:name="_Toc31801"/>
      <w:r>
        <w:rPr>
          <w:rFonts w:ascii="Times New Roman" w:hAnsi="Times New Roman" w:eastAsia="新宋体" w:cstheme="minorBidi"/>
          <w:color w:val="000000" w:themeColor="text1"/>
          <w:szCs w:val="24"/>
          <w:lang w:val="en-US" w:bidi="ar-SA"/>
          <w14:textFill>
            <w14:solidFill>
              <w14:schemeClr w14:val="tx1"/>
            </w14:solidFill>
          </w14:textFill>
        </w:rPr>
        <w:t>6.2.3 噪声</w:t>
      </w:r>
      <w:bookmarkEnd w:id="313"/>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主要噪声源为锅炉引风、送风机、空压机及各类泵等。按噪声产生的机理来看，设备噪声以机械噪声与空气动力噪声为主，通常一种发声设备同时存在几种噪声形式。对噪声进行治理，主要从噪声声源、噪声的传播途径、受声体等三方面采取措施。具体对策如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（1）从总平面布置上，本项目噪音较大的设备均布置在室内，在工艺合理的前提下，充分考虑了重点噪声源的均匀分布；</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（2）在锅炉房内墙安装隔声板；</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（3）编制设备招标书时，对重点噪声源严格控制，向设备制造厂家提出严格的噪声控制要求；</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（4）送风机对整机加隔音罩，为了散热，罩壁须开口打洞，注意在进口通风处安装适当的消声器，并采取减振措施，使之（进风口1m 处）噪声值控制在90dB(A)之内。</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（5）对引风机整机加隔音罩与外界隔离，同时采取减振措施，使之（距声源1m处）噪声值控制在85dB(A)之内；</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（6）各种噪声较大的泵，辅机循环水泵等设备，均采取消音措施，使之（距声源1m 处）噪声值控制在85dB(A)之内；并分别布置在各类泵房以内，采取围护结构降噪；可降低噪声20～25dB(A)。</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（7）物料运输过程中运输车辆噪声采取如下措施：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①</w:t>
      </w:r>
      <w:r>
        <w:rPr>
          <w:rFonts w:ascii="Times New Roman" w:hAnsi="Times New Roman" w:cs="Times New Roman" w:eastAsiaTheme="minorEastAsia"/>
          <w:color w:val="000000" w:themeColor="text1"/>
          <w:sz w:val="24"/>
          <w:szCs w:val="24"/>
          <w:lang w:val="en-US"/>
          <w14:textFill>
            <w14:solidFill>
              <w14:schemeClr w14:val="tx1"/>
            </w14:solidFill>
          </w14:textFill>
        </w:rPr>
        <w:t>尽量将汽车运输安排在昼间进行；</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②</w:t>
      </w:r>
      <w:r>
        <w:rPr>
          <w:rFonts w:ascii="Times New Roman" w:hAnsi="Times New Roman" w:cs="Times New Roman" w:eastAsiaTheme="minorEastAsia"/>
          <w:color w:val="000000" w:themeColor="text1"/>
          <w:sz w:val="24"/>
          <w:szCs w:val="24"/>
          <w:lang w:val="en-US"/>
          <w14:textFill>
            <w14:solidFill>
              <w14:schemeClr w14:val="tx1"/>
            </w14:solidFill>
          </w14:textFill>
        </w:rPr>
        <w:t>运输路线尽可能选取高等级公路；</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③</w:t>
      </w:r>
      <w:r>
        <w:rPr>
          <w:rFonts w:ascii="Times New Roman" w:hAnsi="Times New Roman" w:cs="Times New Roman" w:eastAsiaTheme="minorEastAsia"/>
          <w:color w:val="000000" w:themeColor="text1"/>
          <w:sz w:val="24"/>
          <w:szCs w:val="24"/>
          <w:lang w:val="en-US"/>
          <w14:textFill>
            <w14:solidFill>
              <w14:schemeClr w14:val="tx1"/>
            </w14:solidFill>
          </w14:textFill>
        </w:rPr>
        <w:t>汽车行驶到有村庄路段时应减速慢行、禁鸣；</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④</w:t>
      </w:r>
      <w:r>
        <w:rPr>
          <w:rFonts w:ascii="Times New Roman" w:hAnsi="Times New Roman" w:cs="Times New Roman" w:eastAsiaTheme="minorEastAsia"/>
          <w:color w:val="000000" w:themeColor="text1"/>
          <w:sz w:val="24"/>
          <w:szCs w:val="24"/>
          <w:lang w:val="en-US"/>
          <w14:textFill>
            <w14:solidFill>
              <w14:schemeClr w14:val="tx1"/>
            </w14:solidFill>
          </w14:textFill>
        </w:rPr>
        <w:t>在厂内进行物料转运时，要在规定的运输路线行驶，厂内低速行驶，行驶过程中尽量禁鸣。</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（8）物料运输路线：</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本项目运输路线确定原则为尽量行驶高等级公路，并绕避居民区。本项目主要噪声源、噪声源强及防噪措施见表6-2-7。</w:t>
      </w:r>
    </w:p>
    <w:p>
      <w:pPr>
        <w:pStyle w:val="96"/>
        <w:wordWrap w:val="0"/>
        <w:autoSpaceDE w:val="0"/>
        <w:autoSpaceDN w:val="0"/>
        <w:snapToGrid w:val="0"/>
        <w:spacing w:line="240" w:lineRule="auto"/>
        <w:jc w:val="right"/>
        <w:textAlignment w:val="bottom"/>
        <w:rPr>
          <w:rFonts w:ascii="Times New Roman" w:eastAsiaTheme="minorEastAsia"/>
          <w:color w:val="000000" w:themeColor="text1"/>
          <w:sz w:val="21"/>
          <w:szCs w:val="21"/>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w:t>
      </w:r>
      <w:r>
        <w:rPr>
          <w:rFonts w:ascii="Times New Roman" w:eastAsiaTheme="minorEastAsia"/>
          <w:b/>
          <w:bCs/>
          <w:color w:val="000000" w:themeColor="text1"/>
          <w:szCs w:val="24"/>
          <w14:textFill>
            <w14:solidFill>
              <w14:schemeClr w14:val="tx1"/>
            </w14:solidFill>
          </w14:textFill>
        </w:rPr>
        <w:t>6-2-7</w:t>
      </w:r>
      <w:r>
        <w:rPr>
          <w:rFonts w:ascii="Times New Roman" w:hAnsiTheme="minorEastAsia" w:eastAsiaTheme="minorEastAsia"/>
          <w:b/>
          <w:bCs/>
          <w:color w:val="000000" w:themeColor="text1"/>
          <w:szCs w:val="24"/>
          <w14:textFill>
            <w14:solidFill>
              <w14:schemeClr w14:val="tx1"/>
            </w14:solidFill>
          </w14:textFill>
        </w:rPr>
        <w:t>主要噪声源治理情况一览表</w:t>
      </w:r>
      <w:r>
        <w:rPr>
          <w:rFonts w:hint="eastAsia" w:ascii="Times New Roman" w:hAnsiTheme="minorEastAsia" w:eastAsiaTheme="minorEastAsia"/>
          <w:b/>
          <w:bCs/>
          <w:color w:val="000000" w:themeColor="text1"/>
          <w:szCs w:val="24"/>
          <w14:textFill>
            <w14:solidFill>
              <w14:schemeClr w14:val="tx1"/>
            </w14:solidFill>
          </w14:textFill>
        </w:rPr>
        <w:t xml:space="preserve">      </w:t>
      </w:r>
      <w:r>
        <w:rPr>
          <w:rFonts w:ascii="Times New Roman" w:hAnsiTheme="minorEastAsia" w:eastAsiaTheme="minorEastAsia"/>
          <w:b/>
          <w:bCs/>
          <w:color w:val="000000" w:themeColor="text1"/>
          <w:szCs w:val="24"/>
          <w14:textFill>
            <w14:solidFill>
              <w14:schemeClr w14:val="tx1"/>
            </w14:solidFill>
          </w14:textFill>
        </w:rPr>
        <w:t>单位：</w:t>
      </w:r>
      <w:r>
        <w:rPr>
          <w:rFonts w:ascii="Times New Roman" w:eastAsiaTheme="minorEastAsia"/>
          <w:b/>
          <w:color w:val="000000" w:themeColor="text1"/>
          <w:szCs w:val="24"/>
          <w14:textFill>
            <w14:solidFill>
              <w14:schemeClr w14:val="tx1"/>
            </w14:solidFill>
          </w14:textFill>
        </w:rPr>
        <w:t>dB</w:t>
      </w:r>
      <w:r>
        <w:rPr>
          <w:rFonts w:ascii="Times New Roman" w:hAnsiTheme="minorEastAsia" w:eastAsiaTheme="minorEastAsia"/>
          <w:b/>
          <w:color w:val="000000" w:themeColor="text1"/>
          <w:szCs w:val="24"/>
          <w14:textFill>
            <w14:solidFill>
              <w14:schemeClr w14:val="tx1"/>
            </w14:solidFill>
          </w14:textFill>
        </w:rPr>
        <w:t>（</w:t>
      </w:r>
      <w:r>
        <w:rPr>
          <w:rFonts w:ascii="Times New Roman" w:eastAsiaTheme="minorEastAsia"/>
          <w:b/>
          <w:color w:val="000000" w:themeColor="text1"/>
          <w:szCs w:val="24"/>
          <w14:textFill>
            <w14:solidFill>
              <w14:schemeClr w14:val="tx1"/>
            </w14:solidFill>
          </w14:textFill>
        </w:rPr>
        <w:t>A</w:t>
      </w:r>
      <w:r>
        <w:rPr>
          <w:rFonts w:ascii="Times New Roman" w:hAnsiTheme="minorEastAsia" w:eastAsiaTheme="minorEastAsia"/>
          <w:b/>
          <w:color w:val="000000" w:themeColor="text1"/>
          <w:szCs w:val="24"/>
          <w14:textFill>
            <w14:solidFill>
              <w14:schemeClr w14:val="tx1"/>
            </w14:solidFill>
          </w14:textFill>
        </w:rPr>
        <w:t>）</w:t>
      </w:r>
    </w:p>
    <w:tbl>
      <w:tblPr>
        <w:tblStyle w:val="70"/>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45"/>
        <w:gridCol w:w="1229"/>
        <w:gridCol w:w="1588"/>
        <w:gridCol w:w="1498"/>
        <w:gridCol w:w="1446"/>
        <w:gridCol w:w="191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jc w:val="center"/>
        </w:trPr>
        <w:tc>
          <w:tcPr>
            <w:tcW w:w="84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序号</w:t>
            </w:r>
          </w:p>
        </w:tc>
        <w:tc>
          <w:tcPr>
            <w:tcW w:w="12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设备名称</w:t>
            </w:r>
          </w:p>
        </w:tc>
        <w:tc>
          <w:tcPr>
            <w:tcW w:w="158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源强</w:t>
            </w:r>
          </w:p>
        </w:tc>
        <w:tc>
          <w:tcPr>
            <w:tcW w:w="149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治理措施</w:t>
            </w:r>
          </w:p>
        </w:tc>
        <w:tc>
          <w:tcPr>
            <w:tcW w:w="144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声源特征</w:t>
            </w:r>
          </w:p>
        </w:tc>
        <w:tc>
          <w:tcPr>
            <w:tcW w:w="191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所在位置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4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12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鼓风机</w:t>
            </w:r>
          </w:p>
        </w:tc>
        <w:tc>
          <w:tcPr>
            <w:tcW w:w="158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90-95</w:t>
            </w:r>
          </w:p>
        </w:tc>
        <w:tc>
          <w:tcPr>
            <w:tcW w:w="149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厂房隔声，安装消声器</w:t>
            </w:r>
          </w:p>
        </w:tc>
        <w:tc>
          <w:tcPr>
            <w:tcW w:w="1446"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连续、稳定</w:t>
            </w:r>
          </w:p>
        </w:tc>
        <w:tc>
          <w:tcPr>
            <w:tcW w:w="1916"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锅炉房内风机间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4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w:t>
            </w:r>
          </w:p>
        </w:tc>
        <w:tc>
          <w:tcPr>
            <w:tcW w:w="12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引风机</w:t>
            </w:r>
          </w:p>
        </w:tc>
        <w:tc>
          <w:tcPr>
            <w:tcW w:w="158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90-95</w:t>
            </w:r>
          </w:p>
        </w:tc>
        <w:tc>
          <w:tcPr>
            <w:tcW w:w="149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46"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16"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4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w:t>
            </w:r>
          </w:p>
        </w:tc>
        <w:tc>
          <w:tcPr>
            <w:tcW w:w="12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循环水泵</w:t>
            </w:r>
          </w:p>
        </w:tc>
        <w:tc>
          <w:tcPr>
            <w:tcW w:w="158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80-85</w:t>
            </w:r>
          </w:p>
        </w:tc>
        <w:tc>
          <w:tcPr>
            <w:tcW w:w="1498"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厂房隔声，隔声罩</w:t>
            </w:r>
          </w:p>
        </w:tc>
        <w:tc>
          <w:tcPr>
            <w:tcW w:w="144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连续、稳定</w:t>
            </w:r>
          </w:p>
        </w:tc>
        <w:tc>
          <w:tcPr>
            <w:tcW w:w="1916"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锅炉房内设备用房</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84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w:t>
            </w:r>
          </w:p>
        </w:tc>
        <w:tc>
          <w:tcPr>
            <w:tcW w:w="122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补水泵</w:t>
            </w:r>
          </w:p>
        </w:tc>
        <w:tc>
          <w:tcPr>
            <w:tcW w:w="1588"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80-85</w:t>
            </w:r>
          </w:p>
        </w:tc>
        <w:tc>
          <w:tcPr>
            <w:tcW w:w="1498"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46"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连续、稳定</w:t>
            </w:r>
          </w:p>
        </w:tc>
        <w:tc>
          <w:tcPr>
            <w:tcW w:w="1916"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通过采取上述噪声防控措施，热源厂厂界噪声可满足《工业企业厂界环境噪声排放标准》（GB12348-2008）中</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类标准，对周围环境影响较小。</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14" w:name="_Toc128906462"/>
      <w:bookmarkStart w:id="315" w:name="_Toc26574"/>
      <w:r>
        <w:rPr>
          <w:rFonts w:ascii="Times New Roman" w:hAnsi="Times New Roman" w:eastAsia="新宋体" w:cstheme="minorBidi"/>
          <w:color w:val="000000" w:themeColor="text1"/>
          <w:szCs w:val="24"/>
          <w:lang w:val="en-US" w:bidi="ar-SA"/>
          <w14:textFill>
            <w14:solidFill>
              <w14:schemeClr w14:val="tx1"/>
            </w14:solidFill>
          </w14:textFill>
        </w:rPr>
        <w:t xml:space="preserve">6.2.4 </w:t>
      </w:r>
      <w:bookmarkEnd w:id="314"/>
      <w:r>
        <w:rPr>
          <w:rFonts w:ascii="Times New Roman" w:hAnsi="Times New Roman" w:eastAsia="新宋体" w:cstheme="minorBidi"/>
          <w:color w:val="000000" w:themeColor="text1"/>
          <w:szCs w:val="24"/>
          <w:lang w:val="en-US" w:bidi="ar-SA"/>
          <w14:textFill>
            <w14:solidFill>
              <w14:schemeClr w14:val="tx1"/>
            </w14:solidFill>
          </w14:textFill>
        </w:rPr>
        <w:t>固体废物</w:t>
      </w:r>
      <w:bookmarkEnd w:id="315"/>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扩建锅炉运行后，固体废物主要是锅炉灰渣、脱硫渣、废树脂、员工生活垃圾等。厂内锅炉灰渣全部外售综合利用。厂外灰渣的运输车辆采用密闭式，可防止运输过程中灰渣飞扬污染环境。</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锅炉灰渣</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本项目灰渣、炉渣</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在厂区内灰渣场暂存</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灰渣场占地面积为21000m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，可存储灰渣量约为20000t，能够存储本项目锅炉灰渣及脱硫渣的产生量，为半封闭结构。</w:t>
      </w:r>
      <w:r>
        <w:rPr>
          <w:rFonts w:ascii="Times New Roman" w:hAnsi="Times New Roman" w:cs="Times New Roman" w:eastAsiaTheme="minorEastAsia"/>
          <w:color w:val="000000" w:themeColor="text1"/>
          <w:sz w:val="24"/>
          <w:szCs w:val="24"/>
          <w:lang w:val="en-US"/>
          <w14:textFill>
            <w14:solidFill>
              <w14:schemeClr w14:val="tx1"/>
            </w14:solidFill>
          </w14:textFill>
        </w:rPr>
        <w:t>全部外售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给黑龙江省东北大自然粮油集团有限公司及盛博煤炭经销处</w:t>
      </w:r>
      <w:r>
        <w:rPr>
          <w:rFonts w:ascii="Times New Roman" w:hAnsi="Times New Roman" w:cs="Times New Roman" w:eastAsiaTheme="minorEastAsia"/>
          <w:color w:val="000000" w:themeColor="text1"/>
          <w:sz w:val="24"/>
          <w:szCs w:val="24"/>
          <w:lang w:val="en-US"/>
          <w14:textFill>
            <w14:solidFill>
              <w14:schemeClr w14:val="tx1"/>
            </w14:solidFill>
          </w14:textFill>
        </w:rPr>
        <w:t>综合利用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（买卖协议见附件）。</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2、脱硫渣</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、废催化剂</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脱硫系统氧化塔排出的废水进入沉淀池中，经中和沉淀后，进行固液分离，分离出的固体（脱硫渣）暂存于厂区内</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灰渣场</w:t>
      </w:r>
      <w:r>
        <w:rPr>
          <w:rFonts w:ascii="Times New Roman" w:hAnsi="Times New Roman" w:cs="Times New Roman" w:eastAsiaTheme="minorEastAsia"/>
          <w:color w:val="000000" w:themeColor="text1"/>
          <w:sz w:val="24"/>
          <w:szCs w:val="24"/>
          <w:lang w:val="en-US"/>
          <w14:textFill>
            <w14:solidFill>
              <w14:schemeClr w14:val="tx1"/>
            </w14:solidFill>
          </w14:textFill>
        </w:rPr>
        <w:t>内，本项目新增脱硫渣全部外售综合利用。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本项目脱硝过程中产生的废催化剂属于危险废物，暂存在危废贮存库，定期委托有资质单位处理。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厂区建设有1座50m</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的危废贮存库，危险废物暂存后应委托有危险废物处理资质的单位统一处理。根据《建设项目危险废物环境影响评价指南》要求，危废贮存库应符合以下要求：①基础必须防渗，防渗层为至少1m 厚粘土层（渗透系数≤10</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-7</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cm/s），或 2mm 厚高密度聚乙烯，或至少 2mm 厚的其它人工材料，渗透系数≤10</w:t>
      </w:r>
      <w:r>
        <w:rPr>
          <w:rFonts w:hint="eastAsia" w:ascii="Times New Roman" w:hAnsi="Times New Roman" w:cs="Times New Roman" w:eastAsiaTheme="minorEastAsia"/>
          <w:color w:val="000000" w:themeColor="text1"/>
          <w:sz w:val="24"/>
          <w:szCs w:val="24"/>
          <w:vertAlign w:val="superscript"/>
          <w:lang w:val="en-US"/>
          <w14:textFill>
            <w14:solidFill>
              <w14:schemeClr w14:val="tx1"/>
            </w14:solidFill>
          </w14:textFill>
        </w:rPr>
        <w:t>-10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cm/s。②应当使用符合标准的容器盛装危险废物，装载危险废物的容器及材质要满足相应的强度要求，装载危险废物的容器必须完好无损；装载液体、半固体危险废物的容器内须留足够空间，容器顶部与液体表面之间保留100 毫米以上的空间；盛装危险废物的容器上必须粘贴符合《危险废物识别标志设置技术规范》（HJ1276-2022）的标签。③有泄漏液体收集装置、安全照明设施和观察窗口。④保存好危险废物情况的记录，记录上须注明危险废物的名称、来源、数量、特性和包装容器的类别、入库日期、存放库位、废物出库日期及接收单位名称。⑤应配备通讯设备、照明设施、安全防护服装及工具，并设有应急防护设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本次改扩建工程淘汰</w:t>
      </w:r>
      <w:r>
        <w:rPr>
          <w:rFonts w:ascii="Times New Roman" w:hAnsi="Times New Roman" w:cs="Times New Roman" w:eastAsiaTheme="minorEastAsia"/>
          <w:color w:val="000000" w:themeColor="text1"/>
          <w:sz w:val="24"/>
          <w:szCs w:val="24"/>
          <w:lang w:val="en-US"/>
          <w14:textFill>
            <w14:solidFill>
              <w14:schemeClr w14:val="tx1"/>
            </w14:solidFill>
          </w14:textFill>
        </w:rPr>
        <w:t>现有两台70MW锅炉</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，原有项目危险废物不再存在，本项目依托厂区现有危废贮存库，可以满足本次新建锅炉的危险废物暂存需求，依托危废贮存库可行。</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、生活垃圾</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本项目生活垃圾集中收集后交由市政环卫部门清运处理。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4</w:t>
      </w:r>
      <w:r>
        <w:rPr>
          <w:rFonts w:ascii="Times New Roman" w:hAnsi="Times New Roman" w:cs="Times New Roman" w:eastAsiaTheme="minorEastAsia"/>
          <w:color w:val="000000" w:themeColor="text1"/>
          <w:sz w:val="24"/>
          <w:szCs w:val="24"/>
          <w:lang w:val="en-US"/>
          <w14:textFill>
            <w14:solidFill>
              <w14:schemeClr w14:val="tx1"/>
            </w14:solidFill>
          </w14:textFill>
        </w:rPr>
        <w:t>、废树脂</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本项目产生的废树脂主要在软水装置产生，主要成分为本项目原料水中的钙镁离子和树脂，软水装置树脂离子交换塔一年换料1次，年产生量1吨，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集中收集后在厂区暂存，后交由树脂生产企业回收处理</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5、设备定期检修、更换设备会产生废机油，产生量</w:t>
      </w:r>
      <w:r>
        <w:rPr>
          <w:rFonts w:ascii="Times New Roman" w:hAnsi="Times New Roman" w:cs="Times New Roman" w:eastAsiaTheme="minorEastAsia"/>
          <w:color w:val="000000" w:themeColor="text1"/>
          <w:sz w:val="24"/>
          <w:szCs w:val="24"/>
          <w:lang w:val="en-US"/>
          <w14:textFill>
            <w14:solidFill>
              <w14:schemeClr w14:val="tx1"/>
            </w14:solidFill>
          </w14:textFill>
        </w:rPr>
        <w:t>0.1t/a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，属于危险废物，</w:t>
      </w:r>
      <w:r>
        <w:rPr>
          <w:rFonts w:ascii="Times New Roman" w:hAnsi="Times New Roman" w:cs="Times New Roman" w:eastAsiaTheme="minorEastAsia"/>
          <w:color w:val="000000" w:themeColor="text1"/>
          <w:sz w:val="24"/>
          <w:szCs w:val="24"/>
          <w:lang w:val="en-US"/>
          <w14:textFill>
            <w14:solidFill>
              <w14:schemeClr w14:val="tx1"/>
            </w14:solidFill>
          </w14:textFill>
        </w:rPr>
        <w:t>HW08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，代码为</w:t>
      </w:r>
      <w:r>
        <w:rPr>
          <w:rFonts w:ascii="Times New Roman" w:hAnsi="Times New Roman" w:cs="Times New Roman" w:eastAsiaTheme="minorEastAsia"/>
          <w:color w:val="000000" w:themeColor="text1"/>
          <w:sz w:val="24"/>
          <w:szCs w:val="24"/>
          <w:lang w:val="en-US"/>
          <w14:textFill>
            <w14:solidFill>
              <w14:schemeClr w14:val="tx1"/>
            </w14:solidFill>
          </w14:textFill>
        </w:rPr>
        <w:t>“HW08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900-214-08”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，即</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车辆、轮船及其它机械维修过程中产生的废发动机油、制动器油、自动变速器油、齿轮油等废润滑油</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；废机油暂存在危废贮存库，定期委托有资质单位处理。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6、废布袋：根据锅炉厂家提供的资料可知，布袋除尘器滤袋2 年更换一次，废滤袋产生量为974条/2a。由厂家回收。</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炉渣运输过程污染防治与控制措施：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本项目炉渣和脱硫渣采用密封汽车运送，或对炉渣和脱硫渣加湿后遮盖运送。为避免炉渣和脱硫渣运输对环境造成污染，特采取措施如下：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①</w:t>
      </w:r>
      <w:r>
        <w:rPr>
          <w:rFonts w:ascii="Times New Roman" w:hAnsi="Times New Roman" w:cs="Times New Roman" w:eastAsiaTheme="minorEastAsia"/>
          <w:color w:val="000000" w:themeColor="text1"/>
          <w:sz w:val="24"/>
          <w:szCs w:val="24"/>
          <w:lang w:val="en-US"/>
          <w14:textFill>
            <w14:solidFill>
              <w14:schemeClr w14:val="tx1"/>
            </w14:solidFill>
          </w14:textFill>
        </w:rPr>
        <w:t>为避免车辆噪声对周围居民生活造成影响，应避免夜间运输，运输时间为早8：30～11：30，下午 2：00～5：00。</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②</w:t>
      </w:r>
      <w:r>
        <w:rPr>
          <w:rFonts w:ascii="Times New Roman" w:hAnsi="Times New Roman" w:cs="Times New Roman" w:eastAsiaTheme="minorEastAsia"/>
          <w:color w:val="000000" w:themeColor="text1"/>
          <w:sz w:val="24"/>
          <w:szCs w:val="24"/>
          <w:lang w:val="en-US"/>
          <w14:textFill>
            <w14:solidFill>
              <w14:schemeClr w14:val="tx1"/>
            </w14:solidFill>
          </w14:textFill>
        </w:rPr>
        <w:t>为防止大风天气或车辆转弯使运输过程中炉渣和脱硫渣散落，装车前应保证炉渣和脱硫渣含有一定的水分，并限速行驶。</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综上所述：在正常情况下，项目运营期固体废物可实现全部合理地处理处置。</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6.2.</w:t>
      </w:r>
      <w:r>
        <w:rPr>
          <w:rFonts w:hint="eastAsia" w:ascii="Times New Roman" w:hAnsi="Times New Roman" w:eastAsia="新宋体" w:cstheme="minorBidi"/>
          <w:color w:val="000000" w:themeColor="text1"/>
          <w:szCs w:val="24"/>
          <w:lang w:val="en-US" w:bidi="ar-SA"/>
          <w14:textFill>
            <w14:solidFill>
              <w14:schemeClr w14:val="tx1"/>
            </w14:solidFill>
          </w14:textFill>
        </w:rPr>
        <w:t>5</w:t>
      </w:r>
      <w:r>
        <w:rPr>
          <w:rFonts w:ascii="Times New Roman" w:hAnsi="Times New Roman" w:eastAsia="新宋体" w:cstheme="minorBidi"/>
          <w:color w:val="000000" w:themeColor="text1"/>
          <w:szCs w:val="24"/>
          <w:lang w:val="en-US" w:bidi="ar-SA"/>
          <w14:textFill>
            <w14:solidFill>
              <w14:schemeClr w14:val="tx1"/>
            </w14:solidFill>
          </w14:textFill>
        </w:rPr>
        <w:t xml:space="preserve"> </w:t>
      </w:r>
      <w:r>
        <w:rPr>
          <w:rFonts w:hint="eastAsia" w:ascii="Times New Roman" w:hAnsi="Times New Roman" w:eastAsia="新宋体" w:cstheme="minorBidi"/>
          <w:color w:val="000000" w:themeColor="text1"/>
          <w:szCs w:val="24"/>
          <w:lang w:val="en-US" w:bidi="ar-SA"/>
          <w14:textFill>
            <w14:solidFill>
              <w14:schemeClr w14:val="tx1"/>
            </w14:solidFill>
          </w14:textFill>
        </w:rPr>
        <w:t>土壤</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（1）源头控制措施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锅炉废气采用高效除尘脱硫协同除汞，除汞效率70%，锅炉废气经治理措施后烟气中汞及其化合物的排放速率为0.001kg/h，在大气沉降过程中对土壤环境影响可以忽略。厂区内不设储油罐，不会发生柴油泄漏污染土壤环境。</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（2）跟踪监测</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根据《环境影响评价技术导则 土壤环境（试行）》（HJ964-2018），结合项目区域土壤特性，考虑潜在污染源、环境保护目标等因素，布置土壤环境跟踪监测点。结合项目特性以及区域地形，本评价将土壤跟踪监测点位布置在新建锅炉间东侧空地。</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316" w:name="_Toc162605192"/>
      <w:bookmarkStart w:id="317" w:name="_Toc479340028"/>
      <w:bookmarkStart w:id="318" w:name="_Toc13430"/>
      <w:r>
        <w:rPr>
          <w:rFonts w:ascii="Times New Roman" w:hAnsi="Times New Roman" w:cs="Times New Roman" w:eastAsiaTheme="minorEastAsia"/>
          <w:color w:val="000000" w:themeColor="text1"/>
          <w:szCs w:val="24"/>
          <w:lang w:val="en-US" w:bidi="ar-SA"/>
          <w14:textFill>
            <w14:solidFill>
              <w14:schemeClr w14:val="tx1"/>
            </w14:solidFill>
          </w14:textFill>
        </w:rPr>
        <w:t>6.3 风险防范措施</w:t>
      </w:r>
      <w:bookmarkEnd w:id="316"/>
      <w:bookmarkEnd w:id="317"/>
      <w:bookmarkEnd w:id="318"/>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点火所用轻柴油须由有危险品运输资质单位负责运输，在点火作业，柴油罐车停靠在厂内内，应设置明显警示标志及隔离区，操作人员必须经过相关培训，做到专岗专人，罐车停留区域必须配备灭火设施或灭火器材并确保足够的通风，防止油气积聚。厂区内应有醒目的严禁烟火标志，严禁动火吸烟；采取有效措施防止电气线路和电气设施在开关断开、接触不良、短路、漏电时产生火花，防止静电放电火花；采取防雷接地措施，防止雷电放电火花。建立应急救援组织或者配备应急救援人员，配备必要的应急救援器材、设备，对消防措施定期检查，保证消防措施的有效性，并定期组织演练。</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319" w:name="_Toc377"/>
      <w:bookmarkStart w:id="320" w:name="_Toc479340029"/>
      <w:bookmarkStart w:id="321" w:name="_Toc162605193"/>
      <w:r>
        <w:rPr>
          <w:rFonts w:ascii="Times New Roman" w:hAnsi="Times New Roman" w:cs="Times New Roman" w:eastAsiaTheme="minorEastAsia"/>
          <w:color w:val="000000" w:themeColor="text1"/>
          <w:szCs w:val="24"/>
          <w:lang w:val="en-US" w:bidi="ar-SA"/>
          <w14:textFill>
            <w14:solidFill>
              <w14:schemeClr w14:val="tx1"/>
            </w14:solidFill>
          </w14:textFill>
        </w:rPr>
        <w:t>6.4 风险应急预案</w:t>
      </w:r>
      <w:bookmarkEnd w:id="319"/>
      <w:bookmarkEnd w:id="320"/>
      <w:bookmarkEnd w:id="321"/>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本项目的生产必然伴随着潜在的危害，如果安全措施水平高，则事故概率必然会降低，但不会为零。一旦发生事故，需要采取工程应急措施，控制和减少事故危害。</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企业应建立完善的应急组织机构和应急预案，以防止安全生产事故的发生，迅速有效地控制和处置发生的事故，最大限度地减少人员伤亡、财产损失、环境破坏和社会影响等。一旦发生风险事故时，立即启动《事故应急救援综合预案》，在严格落实风险管理及应急措施后，可将风险发生的概率和影响后果降到最低限度，其风险水平可以被接受。</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322" w:name="_Toc10452"/>
      <w:bookmarkStart w:id="323" w:name="_Toc162605194"/>
      <w:r>
        <w:rPr>
          <w:rFonts w:hint="eastAsia" w:ascii="Times New Roman" w:hAnsi="Times New Roman" w:cs="Times New Roman" w:eastAsiaTheme="minorEastAsia"/>
          <w:color w:val="000000" w:themeColor="text1"/>
          <w:szCs w:val="24"/>
          <w:lang w:val="en-US" w:bidi="ar-SA"/>
          <w14:textFill>
            <w14:solidFill>
              <w14:schemeClr w14:val="tx1"/>
            </w14:solidFill>
          </w14:textFill>
        </w:rPr>
        <w:t>6.5</w:t>
      </w:r>
      <w:r>
        <w:rPr>
          <w:rFonts w:ascii="Times New Roman" w:hAnsi="Times New Roman" w:cs="Times New Roman" w:eastAsiaTheme="minorEastAsia"/>
          <w:color w:val="000000" w:themeColor="text1"/>
          <w:szCs w:val="24"/>
          <w:lang w:val="en-US" w:bidi="ar-SA"/>
          <w14:textFill>
            <w14:solidFill>
              <w14:schemeClr w14:val="tx1"/>
            </w14:solidFill>
          </w14:textFill>
        </w:rPr>
        <w:t xml:space="preserve"> 环保投资估算</w:t>
      </w:r>
      <w:bookmarkEnd w:id="322"/>
      <w:bookmarkEnd w:id="323"/>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本项目总投资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3000</w:t>
      </w:r>
      <w:r>
        <w:rPr>
          <w:rFonts w:ascii="Times New Roman" w:hAnsi="Times New Roman" w:cs="Times New Roman" w:eastAsiaTheme="minorEastAsia"/>
          <w:color w:val="000000" w:themeColor="text1"/>
          <w:sz w:val="24"/>
          <w:szCs w:val="24"/>
          <w:lang w:val="en-US"/>
          <w14:textFill>
            <w14:solidFill>
              <w14:schemeClr w14:val="tx1"/>
            </w14:solidFill>
          </w14:textFill>
        </w:rPr>
        <w:t>万元，其中环保投资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550</w:t>
      </w:r>
      <w:r>
        <w:rPr>
          <w:rFonts w:ascii="Times New Roman" w:hAnsi="Times New Roman" w:cs="Times New Roman" w:eastAsiaTheme="minorEastAsia"/>
          <w:color w:val="000000" w:themeColor="text1"/>
          <w:sz w:val="24"/>
          <w:szCs w:val="24"/>
          <w:lang w:val="en-US"/>
          <w14:textFill>
            <w14:solidFill>
              <w14:schemeClr w14:val="tx1"/>
            </w14:solidFill>
          </w14:textFill>
        </w:rPr>
        <w:t>万元，占总投资的比例为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18.33</w:t>
      </w:r>
      <w:r>
        <w:rPr>
          <w:rFonts w:ascii="Times New Roman" w:hAnsi="Times New Roman" w:cs="Times New Roman" w:eastAsiaTheme="minorEastAsia"/>
          <w:color w:val="000000" w:themeColor="text1"/>
          <w:sz w:val="24"/>
          <w:szCs w:val="24"/>
          <w:lang w:val="en-US"/>
          <w14:textFill>
            <w14:solidFill>
              <w14:schemeClr w14:val="tx1"/>
            </w14:solidFill>
          </w14:textFill>
        </w:rPr>
        <w:t>%。环保投资估算见表</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6-6</w:t>
      </w:r>
      <w:r>
        <w:rPr>
          <w:rFonts w:ascii="Times New Roman" w:hAnsi="Times New Roman" w:cs="Times New Roman" w:eastAsiaTheme="minorEastAsia"/>
          <w:color w:val="000000" w:themeColor="text1"/>
          <w:sz w:val="24"/>
          <w:szCs w:val="24"/>
          <w:lang w:val="en-US"/>
          <w14:textFill>
            <w14:solidFill>
              <w14:schemeClr w14:val="tx1"/>
            </w14:solidFill>
          </w14:textFill>
        </w:rPr>
        <w:t>-1。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w:t>
      </w:r>
      <w:r>
        <w:rPr>
          <w:rFonts w:hint="eastAsia" w:ascii="Times New Roman" w:hAnsiTheme="minorEastAsia" w:eastAsiaTheme="minorEastAsia"/>
          <w:b/>
          <w:bCs/>
          <w:color w:val="000000" w:themeColor="text1"/>
          <w:szCs w:val="24"/>
          <w14:textFill>
            <w14:solidFill>
              <w14:schemeClr w14:val="tx1"/>
            </w14:solidFill>
          </w14:textFill>
        </w:rPr>
        <w:t>6-6</w:t>
      </w:r>
      <w:r>
        <w:rPr>
          <w:rFonts w:ascii="Times New Roman" w:hAnsiTheme="minorEastAsia" w:eastAsiaTheme="minorEastAsia"/>
          <w:b/>
          <w:bCs/>
          <w:color w:val="000000" w:themeColor="text1"/>
          <w:szCs w:val="24"/>
          <w14:textFill>
            <w14:solidFill>
              <w14:schemeClr w14:val="tx1"/>
            </w14:solidFill>
          </w14:textFill>
        </w:rPr>
        <w:t>-1</w:t>
      </w:r>
      <w:r>
        <w:rPr>
          <w:rFonts w:hint="eastAsia" w:ascii="Times New Roman" w:hAnsiTheme="minorEastAsia" w:eastAsiaTheme="minorEastAsia"/>
          <w:b/>
          <w:bCs/>
          <w:color w:val="000000" w:themeColor="text1"/>
          <w:szCs w:val="24"/>
          <w14:textFill>
            <w14:solidFill>
              <w14:schemeClr w14:val="tx1"/>
            </w14:solidFill>
          </w14:textFill>
        </w:rPr>
        <w:t xml:space="preserve">  </w:t>
      </w:r>
      <w:r>
        <w:rPr>
          <w:rFonts w:ascii="Times New Roman" w:hAnsiTheme="minorEastAsia" w:eastAsiaTheme="minorEastAsia"/>
          <w:b/>
          <w:bCs/>
          <w:color w:val="000000" w:themeColor="text1"/>
          <w:szCs w:val="24"/>
          <w14:textFill>
            <w14:solidFill>
              <w14:schemeClr w14:val="tx1"/>
            </w14:solidFill>
          </w14:textFill>
        </w:rPr>
        <w:t>本项目环保投资估算表</w:t>
      </w:r>
    </w:p>
    <w:tbl>
      <w:tblPr>
        <w:tblStyle w:val="70"/>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2457"/>
        <w:gridCol w:w="3254"/>
        <w:gridCol w:w="262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426"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15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费用估算（万元）</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1474"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废气</w:t>
            </w:r>
          </w:p>
        </w:tc>
        <w:tc>
          <w:tcPr>
            <w:tcW w:w="195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烟气除尘系统</w:t>
            </w:r>
          </w:p>
        </w:tc>
        <w:tc>
          <w:tcPr>
            <w:tcW w:w="15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147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烟气脱硝系统</w:t>
            </w:r>
          </w:p>
        </w:tc>
        <w:tc>
          <w:tcPr>
            <w:tcW w:w="15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147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烟气脱硫系统</w:t>
            </w:r>
          </w:p>
        </w:tc>
        <w:tc>
          <w:tcPr>
            <w:tcW w:w="15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r>
              <w:rPr>
                <w:rFonts w:ascii="Times New Roman" w:eastAsiaTheme="minorEastAsia"/>
                <w:color w:val="000000" w:themeColor="text1"/>
                <w:sz w:val="21"/>
                <w:szCs w:val="21"/>
                <w14:textFill>
                  <w14:solidFill>
                    <w14:schemeClr w14:val="tx1"/>
                  </w14:solidFill>
                </w14:textFill>
              </w:rPr>
              <w:t>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1474"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5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烟气在线监测系统</w:t>
            </w:r>
          </w:p>
        </w:tc>
        <w:tc>
          <w:tcPr>
            <w:tcW w:w="15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14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195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消声器、减振基础等噪声治理措施</w:t>
            </w:r>
          </w:p>
        </w:tc>
        <w:tc>
          <w:tcPr>
            <w:tcW w:w="15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14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固废</w:t>
            </w:r>
          </w:p>
        </w:tc>
        <w:tc>
          <w:tcPr>
            <w:tcW w:w="1952"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固体废物收集装置</w:t>
            </w:r>
          </w:p>
        </w:tc>
        <w:tc>
          <w:tcPr>
            <w:tcW w:w="15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426"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环保措施运行及维护费用</w:t>
            </w:r>
          </w:p>
        </w:tc>
        <w:tc>
          <w:tcPr>
            <w:tcW w:w="15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426"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合计</w:t>
            </w:r>
          </w:p>
        </w:tc>
        <w:tc>
          <w:tcPr>
            <w:tcW w:w="15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426"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本项目总投资</w:t>
            </w:r>
          </w:p>
        </w:tc>
        <w:tc>
          <w:tcPr>
            <w:tcW w:w="15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426"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环保投资占工程总投资的比例</w:t>
            </w:r>
          </w:p>
        </w:tc>
        <w:tc>
          <w:tcPr>
            <w:tcW w:w="1574"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18.33</w:t>
            </w:r>
            <w:r>
              <w:rPr>
                <w:rFonts w:ascii="Times New Roman" w:eastAsiaTheme="minorEastAsia"/>
                <w:color w:val="000000" w:themeColor="text1"/>
                <w:sz w:val="21"/>
                <w:szCs w:val="21"/>
                <w14:textFill>
                  <w14:solidFill>
                    <w14:schemeClr w14:val="tx1"/>
                  </w14:solidFill>
                </w14:textFill>
              </w:rPr>
              <w:t>%</w:t>
            </w:r>
          </w:p>
        </w:tc>
      </w:tr>
    </w:tbl>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本项目总投资是</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3000</w:t>
      </w:r>
      <w:r>
        <w:rPr>
          <w:rFonts w:ascii="Times New Roman" w:hAnsi="Times New Roman" w:cs="Times New Roman" w:eastAsiaTheme="minorEastAsia"/>
          <w:color w:val="000000" w:themeColor="text1"/>
          <w:sz w:val="24"/>
          <w:szCs w:val="24"/>
          <w:lang w:val="en-US"/>
          <w14:textFill>
            <w14:solidFill>
              <w14:schemeClr w14:val="tx1"/>
            </w14:solidFill>
          </w14:textFill>
        </w:rPr>
        <w:t>万元，其中环保投资为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550</w:t>
      </w:r>
      <w:r>
        <w:rPr>
          <w:rFonts w:ascii="Times New Roman" w:hAnsi="Times New Roman" w:cs="Times New Roman" w:eastAsiaTheme="minorEastAsia"/>
          <w:color w:val="000000" w:themeColor="text1"/>
          <w:sz w:val="24"/>
          <w:szCs w:val="24"/>
          <w:lang w:val="en-US"/>
          <w14:textFill>
            <w14:solidFill>
              <w14:schemeClr w14:val="tx1"/>
            </w14:solidFill>
          </w14:textFill>
        </w:rPr>
        <w:t>万元，环保投资比例</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18.33</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5"/>
        <w:rPr>
          <w:rFonts w:ascii="Times New Roman" w:eastAsiaTheme="minorEastAsia"/>
          <w:color w:val="000000" w:themeColor="text1"/>
          <w14:textFill>
            <w14:solidFill>
              <w14:schemeClr w14:val="tx1"/>
            </w14:solidFill>
          </w14:textFill>
        </w:rPr>
        <w:sectPr>
          <w:headerReference r:id="rId14" w:type="default"/>
          <w:pgSz w:w="11906" w:h="16838"/>
          <w:pgMar w:top="1440" w:right="1800" w:bottom="1440" w:left="1800" w:header="851" w:footer="992" w:gutter="0"/>
          <w:pgBorders>
            <w:top w:val="none" w:sz="0" w:space="0"/>
            <w:left w:val="none" w:sz="0" w:space="0"/>
            <w:bottom w:val="none" w:sz="0" w:space="0"/>
            <w:right w:val="none" w:sz="0" w:space="0"/>
          </w:pgBorders>
          <w:cols w:space="0" w:num="1"/>
          <w:docGrid w:type="linesAndChars" w:linePitch="312" w:charSpace="-551"/>
        </w:sectPr>
      </w:pPr>
    </w:p>
    <w:p>
      <w:pPr>
        <w:pStyle w:val="3"/>
        <w:ind w:firstLine="878"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24" w:name="_Toc530386634"/>
      <w:bookmarkStart w:id="325" w:name="_Toc527441060"/>
      <w:bookmarkStart w:id="326" w:name="_Toc532974766"/>
      <w:bookmarkStart w:id="327" w:name="_Toc162605195"/>
      <w:bookmarkStart w:id="328" w:name="_Toc534545021"/>
      <w:r>
        <w:rPr>
          <w:rFonts w:ascii="Times New Roman" w:hAnsi="Times New Roman" w:eastAsia="新宋体" w:cstheme="minorBidi"/>
          <w:color w:val="000000" w:themeColor="text1"/>
          <w:szCs w:val="24"/>
          <w:lang w:val="en-US" w:bidi="ar-SA"/>
          <w14:textFill>
            <w14:solidFill>
              <w14:schemeClr w14:val="tx1"/>
            </w14:solidFill>
          </w14:textFill>
        </w:rPr>
        <w:t>7环境影响经济损益分析</w:t>
      </w:r>
      <w:bookmarkEnd w:id="324"/>
      <w:bookmarkEnd w:id="325"/>
      <w:bookmarkEnd w:id="326"/>
      <w:bookmarkEnd w:id="327"/>
      <w:bookmarkEnd w:id="328"/>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环境经济损益分析主要是评价建设项目实施后，对环境造成的损失费用和采取各种环保治理措施所能收到的环保效果及其带来的经济和社会效益，衡量建设项目的环保投资在经济上的合理水平。</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一个项目的开发建设，除对国民经济的发展起着促进作用外，同时也在一定程度上影响着项目拟建地区环境的变化。社会影响、经济影响、环境影响是一个系统的三要素，最终以提高人类的生活质量为目的。它们之间既是互相促进，又互相制约，必须通过全面规划、综合平衡、正确地把全局利益和局部利益、长远利益和近期利益结合起来，对环境保护和经济发展进行协调，实现社会效益、经济效益、环境效益的三统一。通过对拟建项目的经济、社会和环境效益分析，为项目决策者更好地考虑环境、经济和社会效益的统一提供依据。</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329" w:name="_Toc26444"/>
      <w:bookmarkStart w:id="330" w:name="_Toc162605196"/>
      <w:r>
        <w:rPr>
          <w:rFonts w:ascii="Times New Roman" w:hAnsi="Times New Roman" w:cs="Times New Roman" w:eastAsiaTheme="minorEastAsia"/>
          <w:color w:val="000000" w:themeColor="text1"/>
          <w:szCs w:val="24"/>
          <w:lang w:val="en-US" w:bidi="ar-SA"/>
          <w14:textFill>
            <w14:solidFill>
              <w14:schemeClr w14:val="tx1"/>
            </w14:solidFill>
          </w14:textFill>
        </w:rPr>
        <w:t>7.</w:t>
      </w:r>
      <w:r>
        <w:rPr>
          <w:rFonts w:hint="eastAsia" w:ascii="Times New Roman" w:hAnsi="Times New Roman" w:cs="Times New Roman" w:eastAsiaTheme="minorEastAsia"/>
          <w:color w:val="000000" w:themeColor="text1"/>
          <w:szCs w:val="24"/>
          <w:lang w:val="en-US" w:bidi="ar-SA"/>
          <w14:textFill>
            <w14:solidFill>
              <w14:schemeClr w14:val="tx1"/>
            </w14:solidFill>
          </w14:textFill>
        </w:rPr>
        <w:t>1</w:t>
      </w:r>
      <w:r>
        <w:rPr>
          <w:rFonts w:ascii="Times New Roman" w:hAnsi="Times New Roman" w:cs="Times New Roman" w:eastAsiaTheme="minorEastAsia"/>
          <w:color w:val="000000" w:themeColor="text1"/>
          <w:szCs w:val="24"/>
          <w:lang w:val="en-US" w:bidi="ar-SA"/>
          <w14:textFill>
            <w14:solidFill>
              <w14:schemeClr w14:val="tx1"/>
            </w14:solidFill>
          </w14:textFill>
        </w:rPr>
        <w:t xml:space="preserve"> 效益分析</w:t>
      </w:r>
      <w:bookmarkEnd w:id="329"/>
      <w:bookmarkEnd w:id="330"/>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31" w:name="_Toc20092"/>
      <w:r>
        <w:rPr>
          <w:rFonts w:ascii="Times New Roman" w:hAnsi="Times New Roman" w:eastAsia="新宋体" w:cstheme="minorBidi"/>
          <w:color w:val="000000" w:themeColor="text1"/>
          <w:szCs w:val="24"/>
          <w:lang w:val="en-US" w:bidi="ar-SA"/>
          <w14:textFill>
            <w14:solidFill>
              <w14:schemeClr w14:val="tx1"/>
            </w14:solidFill>
          </w14:textFill>
        </w:rPr>
        <w:t>7.</w:t>
      </w:r>
      <w:r>
        <w:rPr>
          <w:rFonts w:hint="eastAsia" w:ascii="Times New Roman" w:hAnsi="Times New Roman" w:eastAsia="新宋体" w:cstheme="minorBidi"/>
          <w:color w:val="000000" w:themeColor="text1"/>
          <w:szCs w:val="24"/>
          <w:lang w:val="en-US" w:bidi="ar-SA"/>
          <w14:textFill>
            <w14:solidFill>
              <w14:schemeClr w14:val="tx1"/>
            </w14:solidFill>
          </w14:textFill>
        </w:rPr>
        <w:t>1</w:t>
      </w:r>
      <w:r>
        <w:rPr>
          <w:rFonts w:ascii="Times New Roman" w:hAnsi="Times New Roman" w:eastAsia="新宋体" w:cstheme="minorBidi"/>
          <w:color w:val="000000" w:themeColor="text1"/>
          <w:szCs w:val="24"/>
          <w:lang w:val="en-US" w:bidi="ar-SA"/>
          <w14:textFill>
            <w14:solidFill>
              <w14:schemeClr w14:val="tx1"/>
            </w14:solidFill>
          </w14:textFill>
        </w:rPr>
        <w:t>.1 经济社会效益分析</w:t>
      </w:r>
      <w:bookmarkEnd w:id="331"/>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（1）经济效益分析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本项目投产后，产生锅炉灰渣可全部外卖综合利用，能产生间接经济效益。</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（2）社会效益分析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本项目为集中供热项目，可以避免小锅炉的重复建设，可以节约大量资源能源、改善居民采暖条件，还可改善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红兴隆地区</w:t>
      </w:r>
      <w:r>
        <w:rPr>
          <w:rFonts w:ascii="Times New Roman" w:hAnsi="Times New Roman" w:cs="Times New Roman" w:eastAsiaTheme="minorEastAsia"/>
          <w:color w:val="000000" w:themeColor="text1"/>
          <w:sz w:val="24"/>
          <w:szCs w:val="24"/>
          <w:lang w:val="en-US"/>
          <w14:textFill>
            <w14:solidFill>
              <w14:schemeClr w14:val="tx1"/>
            </w14:solidFill>
          </w14:textFill>
        </w:rPr>
        <w:t>及周边的冬季燃煤污染状况、提高居民的生活质量。</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另外，本项目的建设对于加强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红兴隆地区</w:t>
      </w:r>
      <w:r>
        <w:rPr>
          <w:rFonts w:ascii="Times New Roman" w:hAnsi="Times New Roman" w:cs="Times New Roman" w:eastAsiaTheme="minorEastAsia"/>
          <w:color w:val="000000" w:themeColor="text1"/>
          <w:sz w:val="24"/>
          <w:szCs w:val="24"/>
          <w:lang w:val="en-US"/>
          <w14:textFill>
            <w14:solidFill>
              <w14:schemeClr w14:val="tx1"/>
            </w14:solidFill>
          </w14:textFill>
        </w:rPr>
        <w:t>基础设施建设，提高城市整体功能，改善投资环境有重要作用。</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32" w:name="_Toc12432"/>
      <w:r>
        <w:rPr>
          <w:rFonts w:ascii="Times New Roman" w:hAnsi="Times New Roman" w:eastAsia="新宋体" w:cstheme="minorBidi"/>
          <w:color w:val="000000" w:themeColor="text1"/>
          <w:szCs w:val="24"/>
          <w:lang w:val="en-US" w:bidi="ar-SA"/>
          <w14:textFill>
            <w14:solidFill>
              <w14:schemeClr w14:val="tx1"/>
            </w14:solidFill>
          </w14:textFill>
        </w:rPr>
        <w:t>7.</w:t>
      </w:r>
      <w:r>
        <w:rPr>
          <w:rFonts w:hint="eastAsia" w:ascii="Times New Roman" w:hAnsi="Times New Roman" w:eastAsia="新宋体" w:cstheme="minorBidi"/>
          <w:color w:val="000000" w:themeColor="text1"/>
          <w:szCs w:val="24"/>
          <w:lang w:val="en-US" w:bidi="ar-SA"/>
          <w14:textFill>
            <w14:solidFill>
              <w14:schemeClr w14:val="tx1"/>
            </w14:solidFill>
          </w14:textFill>
        </w:rPr>
        <w:t>1</w:t>
      </w:r>
      <w:r>
        <w:rPr>
          <w:rFonts w:ascii="Times New Roman" w:hAnsi="Times New Roman" w:eastAsia="新宋体" w:cstheme="minorBidi"/>
          <w:color w:val="000000" w:themeColor="text1"/>
          <w:szCs w:val="24"/>
          <w:lang w:val="en-US" w:bidi="ar-SA"/>
          <w14:textFill>
            <w14:solidFill>
              <w14:schemeClr w14:val="tx1"/>
            </w14:solidFill>
          </w14:textFill>
        </w:rPr>
        <w:t>.2 环境效益分析</w:t>
      </w:r>
      <w:bookmarkEnd w:id="332"/>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本项目采用湿式镁法脱硫工艺，脱硫效率不低于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95</w:t>
      </w:r>
      <w:r>
        <w:rPr>
          <w:rFonts w:ascii="Times New Roman" w:hAnsi="Times New Roman" w:cs="Times New Roman" w:eastAsiaTheme="minorEastAsia"/>
          <w:color w:val="000000" w:themeColor="text1"/>
          <w:sz w:val="24"/>
          <w:szCs w:val="24"/>
          <w:lang w:val="en-US"/>
          <w14:textFill>
            <w14:solidFill>
              <w14:schemeClr w14:val="tx1"/>
            </w14:solidFill>
          </w14:textFill>
        </w:rPr>
        <w:t>%，布袋除尘器除尘效率不低于99.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5%，采用脱硝效率不低于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80</w:t>
      </w:r>
      <w:r>
        <w:rPr>
          <w:rFonts w:ascii="Times New Roman" w:hAnsi="Times New Roman" w:cs="Times New Roman" w:eastAsiaTheme="minorEastAsia"/>
          <w:color w:val="000000" w:themeColor="text1"/>
          <w:sz w:val="24"/>
          <w:szCs w:val="24"/>
          <w:lang w:val="en-US"/>
          <w14:textFill>
            <w14:solidFill>
              <w14:schemeClr w14:val="tx1"/>
            </w14:solidFill>
          </w14:textFill>
        </w:rPr>
        <w:t>%的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低氮燃烧和</w:t>
      </w:r>
      <w:r>
        <w:rPr>
          <w:rFonts w:ascii="Times New Roman" w:hAnsi="Times New Roman" w:cs="Times New Roman" w:eastAsiaTheme="minorEastAsia"/>
          <w:color w:val="000000" w:themeColor="text1"/>
          <w:sz w:val="24"/>
          <w:szCs w:val="24"/>
          <w:lang w:val="en-US"/>
          <w14:textFill>
            <w14:solidFill>
              <w14:schemeClr w14:val="tx1"/>
            </w14:solidFill>
          </w14:textFill>
        </w:rPr>
        <w:t>SNCR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-SCR</w:t>
      </w:r>
      <w:r>
        <w:rPr>
          <w:rFonts w:ascii="Times New Roman" w:hAnsi="Times New Roman" w:cs="Times New Roman" w:eastAsiaTheme="minorEastAsia"/>
          <w:color w:val="000000" w:themeColor="text1"/>
          <w:sz w:val="24"/>
          <w:szCs w:val="24"/>
          <w:lang w:val="en-US"/>
          <w14:textFill>
            <w14:solidFill>
              <w14:schemeClr w14:val="tx1"/>
            </w14:solidFill>
          </w14:textFill>
        </w:rPr>
        <w:t>烟气脱硝工艺，采取以上措施后，本项目投产后可使大气污染物排放总量大幅降低。做到变废为宝，减轻灰渣带来的不利环境影响，本项目灰渣综合利用率为100%，而且还能产生间接经济效益。</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采取了一系列环保措施，从生产的源头抓起，采用低硫、低灰分燃料，将污染预防战略持续地应用于生产全过程。此外，本项目为集中供热工程避免小锅炉的重复建设，不仅节约了资源能源，而且也削减了燃煤大气污染物的排放量并降低其地面浓度，具有较好的环境效益。可见，本项目的建设以较小范围的环境代价取得较大范围的环境效益。</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333" w:name="_Toc1304"/>
      <w:bookmarkStart w:id="334" w:name="_Toc162605197"/>
      <w:r>
        <w:rPr>
          <w:rFonts w:ascii="Times New Roman" w:hAnsi="Times New Roman" w:cs="Times New Roman" w:eastAsiaTheme="minorEastAsia"/>
          <w:color w:val="000000" w:themeColor="text1"/>
          <w:szCs w:val="24"/>
          <w:lang w:val="en-US" w:bidi="ar-SA"/>
          <w14:textFill>
            <w14:solidFill>
              <w14:schemeClr w14:val="tx1"/>
            </w14:solidFill>
          </w14:textFill>
        </w:rPr>
        <w:t>7.</w:t>
      </w:r>
      <w:r>
        <w:rPr>
          <w:rFonts w:hint="eastAsia" w:ascii="Times New Roman" w:hAnsi="Times New Roman" w:cs="Times New Roman" w:eastAsiaTheme="minorEastAsia"/>
          <w:color w:val="000000" w:themeColor="text1"/>
          <w:szCs w:val="24"/>
          <w:lang w:val="en-US" w:bidi="ar-SA"/>
          <w14:textFill>
            <w14:solidFill>
              <w14:schemeClr w14:val="tx1"/>
            </w14:solidFill>
          </w14:textFill>
        </w:rPr>
        <w:t>2</w:t>
      </w:r>
      <w:r>
        <w:rPr>
          <w:rFonts w:ascii="Times New Roman" w:hAnsi="Times New Roman" w:cs="Times New Roman" w:eastAsiaTheme="minorEastAsia"/>
          <w:color w:val="000000" w:themeColor="text1"/>
          <w:szCs w:val="24"/>
          <w:lang w:val="en-US" w:bidi="ar-SA"/>
          <w14:textFill>
            <w14:solidFill>
              <w14:schemeClr w14:val="tx1"/>
            </w14:solidFill>
          </w14:textFill>
        </w:rPr>
        <w:t xml:space="preserve"> 环境经济损益分析结论</w:t>
      </w:r>
      <w:bookmarkEnd w:id="333"/>
      <w:bookmarkEnd w:id="334"/>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通过以上对本项目建设的经济、社会和环境效益的分析可知，在落实本评价所提出各项污染防治措施的前提下，本项目的建设能够达到经济效益、社会效益和环境效益相统一的要求，既为地方经济发展做出贡献，又通过环保投资减少了污染物排放量，使污染物排放量在环境容量容许的范围内。本项目的建设满足可持续发展的要求，项目建设是可行的。</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0" w:num="1"/>
          <w:docGrid w:type="linesAndChars" w:linePitch="312" w:charSpace="-551"/>
        </w:sectPr>
      </w:pPr>
    </w:p>
    <w:p>
      <w:pPr>
        <w:pStyle w:val="3"/>
        <w:ind w:firstLine="878"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35" w:name="_Toc187724169"/>
      <w:bookmarkStart w:id="336" w:name="_Toc527441065"/>
      <w:bookmarkStart w:id="337" w:name="_Toc534545026"/>
      <w:bookmarkStart w:id="338" w:name="_Toc530386639"/>
      <w:bookmarkStart w:id="339" w:name="_Toc162605198"/>
      <w:bookmarkStart w:id="340" w:name="_Toc532974774"/>
      <w:bookmarkStart w:id="341" w:name="_Toc30401"/>
      <w:r>
        <w:rPr>
          <w:rFonts w:ascii="Times New Roman" w:hAnsi="Times New Roman" w:eastAsia="新宋体" w:cstheme="minorBidi"/>
          <w:color w:val="000000" w:themeColor="text1"/>
          <w:szCs w:val="24"/>
          <w:lang w:val="en-US" w:bidi="ar-SA"/>
          <w14:textFill>
            <w14:solidFill>
              <w14:schemeClr w14:val="tx1"/>
            </w14:solidFill>
          </w14:textFill>
        </w:rPr>
        <w:t>8环境管理与监测</w:t>
      </w:r>
      <w:bookmarkEnd w:id="335"/>
      <w:r>
        <w:rPr>
          <w:rFonts w:ascii="Times New Roman" w:hAnsi="Times New Roman" w:eastAsia="新宋体" w:cstheme="minorBidi"/>
          <w:color w:val="000000" w:themeColor="text1"/>
          <w:szCs w:val="24"/>
          <w:lang w:val="en-US" w:bidi="ar-SA"/>
          <w14:textFill>
            <w14:solidFill>
              <w14:schemeClr w14:val="tx1"/>
            </w14:solidFill>
          </w14:textFill>
        </w:rPr>
        <w:t>计划</w:t>
      </w:r>
      <w:bookmarkEnd w:id="336"/>
      <w:bookmarkEnd w:id="337"/>
      <w:bookmarkEnd w:id="338"/>
      <w:bookmarkEnd w:id="339"/>
      <w:bookmarkEnd w:id="340"/>
      <w:bookmarkEnd w:id="341"/>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342" w:name="_Toc162605199"/>
      <w:bookmarkStart w:id="343" w:name="_Toc6691"/>
      <w:bookmarkStart w:id="344" w:name="_Toc530923524"/>
      <w:r>
        <w:rPr>
          <w:rFonts w:ascii="Times New Roman" w:hAnsi="Times New Roman" w:cs="Times New Roman" w:eastAsiaTheme="minorEastAsia"/>
          <w:color w:val="000000" w:themeColor="text1"/>
          <w:szCs w:val="24"/>
          <w:lang w:val="en-US" w:bidi="ar-SA"/>
          <w14:textFill>
            <w14:solidFill>
              <w14:schemeClr w14:val="tx1"/>
            </w14:solidFill>
          </w14:textFill>
        </w:rPr>
        <w:t>8.1 环境管理概述</w:t>
      </w:r>
      <w:bookmarkEnd w:id="342"/>
      <w:bookmarkEnd w:id="343"/>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环境管理是指运用经济、法律、技术、行政、教育等手段。限制人类损害环境质量的活动，通过全面规划使经济发展与环境相协调，达到既要发展经济，满足人类的基本需要，又不超出环境的容许极限，这些内容概括起来就是环境管理。</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45" w:name="_Toc18196"/>
      <w:r>
        <w:rPr>
          <w:rFonts w:ascii="Times New Roman" w:hAnsi="Times New Roman" w:eastAsia="新宋体" w:cstheme="minorBidi"/>
          <w:color w:val="000000" w:themeColor="text1"/>
          <w:szCs w:val="24"/>
          <w:lang w:val="en-US" w:bidi="ar-SA"/>
          <w14:textFill>
            <w14:solidFill>
              <w14:schemeClr w14:val="tx1"/>
            </w14:solidFill>
          </w14:textFill>
        </w:rPr>
        <w:t>8.1.1 环境管理的意义</w:t>
      </w:r>
      <w:bookmarkEnd w:id="345"/>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供热企业所耗燃料在一次能源生产总量中占有很大比重，降低供热企业能源消耗，合理利用能源，对促进国民经济的发展有着十分重要的意义。虽然环境管理不像采用先进工艺与设备那样对降低能源消耗有明显的效果，但加强环境管理却可以做到合理利用能源和节约能源，一样可以降低能源消耗。组织良好的环境管理体系不仅能减少企业的污染排放，而且通过污染物的综合治理及回收利用，企业还能得到一定的经济效益。</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46" w:name="_Toc14948"/>
      <w:r>
        <w:rPr>
          <w:rFonts w:ascii="Times New Roman" w:hAnsi="Times New Roman" w:eastAsia="新宋体" w:cstheme="minorBidi"/>
          <w:color w:val="000000" w:themeColor="text1"/>
          <w:szCs w:val="24"/>
          <w:lang w:val="en-US" w:bidi="ar-SA"/>
          <w14:textFill>
            <w14:solidFill>
              <w14:schemeClr w14:val="tx1"/>
            </w14:solidFill>
          </w14:textFill>
        </w:rPr>
        <w:t>8.1.2 环境管理组织结构</w:t>
      </w:r>
      <w:bookmarkEnd w:id="346"/>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企业环境管理体系作为企业管理体系中的一部分，应与之相协调统一。本项目建设后，厂内在安全生产部门下要设有环保科，至少有一名专职环境管理人员和两名兼职技术人员。为使环境管理很好地贯穿于企业管理的整个过程，并落实到企业的各个层次，分解到生产的各个环节，把企业管理与环境管理紧密地结合起来，不但要建立完善的企业管理体系和各种规章制度，也要建立完善的环境管理体系，使企业的环境管理工作真正落到实处。</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47" w:name="_Toc22529"/>
      <w:r>
        <w:rPr>
          <w:rFonts w:ascii="Times New Roman" w:hAnsi="Times New Roman" w:eastAsia="新宋体" w:cstheme="minorBidi"/>
          <w:color w:val="000000" w:themeColor="text1"/>
          <w:szCs w:val="24"/>
          <w:lang w:val="en-US" w:bidi="ar-SA"/>
          <w14:textFill>
            <w14:solidFill>
              <w14:schemeClr w14:val="tx1"/>
            </w14:solidFill>
          </w14:textFill>
        </w:rPr>
        <w:t>8.1.3 环境管理的内容</w:t>
      </w:r>
      <w:bookmarkEnd w:id="347"/>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环境管理的内容如下：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（1）按环保部门有关规定与环保要求，搞好厂区的环境管理，实施厂、车间、工段的三级管理体制。全体职工参与，隐患自除，责任自负，避免对周边环境的影响。</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（2）加大力度提高全体职工的环保意识，对重要装置在岗职工进行技术培训的同时，还应对其进行有关的环保法、环保事故发生后的应急措施等方面的培训，努力做到持证上岗，完善自身管理。</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（3）加强环境管理，制定与环保有关的完善的规章制度，切实落到实处。</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根据本项目的废气、废水、噪声及固体废物等产污环节，环保人员负责每日的环境保护工作的检查和管理，具体内容如下：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①</w:t>
      </w:r>
      <w:r>
        <w:rPr>
          <w:rFonts w:ascii="Times New Roman" w:hAnsi="Times New Roman" w:cs="Times New Roman" w:eastAsiaTheme="minorEastAsia"/>
          <w:color w:val="000000" w:themeColor="text1"/>
          <w:sz w:val="24"/>
          <w:szCs w:val="24"/>
          <w:lang w:val="en-US"/>
          <w14:textFill>
            <w14:solidFill>
              <w14:schemeClr w14:val="tx1"/>
            </w14:solidFill>
          </w14:textFill>
        </w:rPr>
        <w:t>监督和强化用水管理工作，减少事故性排水或随意放水等事件的发生；不定期检查污水排放口的水质、水量情况，保证水质的合格排放。</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②</w:t>
      </w:r>
      <w:r>
        <w:rPr>
          <w:rFonts w:ascii="Times New Roman" w:hAnsi="Times New Roman" w:cs="Times New Roman" w:eastAsiaTheme="minorEastAsia"/>
          <w:color w:val="000000" w:themeColor="text1"/>
          <w:sz w:val="24"/>
          <w:szCs w:val="24"/>
          <w:lang w:val="en-US"/>
          <w14:textFill>
            <w14:solidFill>
              <w14:schemeClr w14:val="tx1"/>
            </w14:solidFill>
          </w14:textFill>
        </w:rPr>
        <w:t>确保烟气除尘、脱硫、脱硝设备正常运行，控制锅炉烟囱排放的废气量及各项污染物浓度指标严格按照环保部门的规定要求排放。</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③</w:t>
      </w:r>
      <w:r>
        <w:rPr>
          <w:rFonts w:ascii="Times New Roman" w:hAnsi="Times New Roman" w:cs="Times New Roman" w:eastAsiaTheme="minorEastAsia"/>
          <w:color w:val="000000" w:themeColor="text1"/>
          <w:sz w:val="24"/>
          <w:szCs w:val="24"/>
          <w:lang w:val="en-US"/>
          <w14:textFill>
            <w14:solidFill>
              <w14:schemeClr w14:val="tx1"/>
            </w14:solidFill>
          </w14:textFill>
        </w:rPr>
        <w:t>确保各噪声控制设备的正常运行，保证厂界噪声值满足国家标准的要求。</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④</w:t>
      </w:r>
      <w:r>
        <w:rPr>
          <w:rFonts w:ascii="Times New Roman" w:hAnsi="Times New Roman" w:cs="Times New Roman" w:eastAsiaTheme="minorEastAsia"/>
          <w:color w:val="000000" w:themeColor="text1"/>
          <w:sz w:val="24"/>
          <w:szCs w:val="24"/>
          <w:lang w:val="en-US"/>
          <w14:textFill>
            <w14:solidFill>
              <w14:schemeClr w14:val="tx1"/>
            </w14:solidFill>
          </w14:textFill>
        </w:rPr>
        <w:t>做好灰渣及煤在运输过程中的防尘工作，定期进行监督和检查，确保防尘措施的有效性，防止扬尘产生；同时强化工程所排灰渣的回收利用力度。</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48" w:name="_Toc9903"/>
      <w:r>
        <w:rPr>
          <w:rFonts w:ascii="Times New Roman" w:hAnsi="Times New Roman" w:eastAsia="新宋体" w:cstheme="minorBidi"/>
          <w:color w:val="000000" w:themeColor="text1"/>
          <w:szCs w:val="24"/>
          <w:lang w:val="en-US" w:bidi="ar-SA"/>
          <w14:textFill>
            <w14:solidFill>
              <w14:schemeClr w14:val="tx1"/>
            </w14:solidFill>
          </w14:textFill>
        </w:rPr>
        <w:t>8.1.4 加强环境管理的对策</w:t>
      </w:r>
      <w:bookmarkEnd w:id="348"/>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为使本项目的环境管理落到实处，将制定以下的对策：</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（1）规范各种环境管理规章制度</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环保科应将各种环境管理规章制度下发到车间，组织全体员工学习和贯彻执行。这些规章制度包括：</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①</w:t>
      </w:r>
      <w:r>
        <w:rPr>
          <w:rFonts w:ascii="Times New Roman" w:hAnsi="Times New Roman" w:cs="Times New Roman" w:eastAsiaTheme="minorEastAsia"/>
          <w:color w:val="000000" w:themeColor="text1"/>
          <w:sz w:val="24"/>
          <w:szCs w:val="24"/>
          <w:lang w:val="en-US"/>
          <w14:textFill>
            <w14:solidFill>
              <w14:schemeClr w14:val="tx1"/>
            </w14:solidFill>
          </w14:textFill>
        </w:rPr>
        <w:t>国家的环境保护法律、法规。达到国家规定的环境保护要求是实现环境管理的最低要求。</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②</w:t>
      </w:r>
      <w:r>
        <w:rPr>
          <w:rFonts w:ascii="Times New Roman" w:hAnsi="Times New Roman" w:cs="Times New Roman" w:eastAsiaTheme="minorEastAsia"/>
          <w:color w:val="000000" w:themeColor="text1"/>
          <w:sz w:val="24"/>
          <w:szCs w:val="24"/>
          <w:lang w:val="en-US"/>
          <w14:textFill>
            <w14:solidFill>
              <w14:schemeClr w14:val="tx1"/>
            </w14:solidFill>
          </w14:textFill>
        </w:rPr>
        <w:t>车间有关环境管理的技术规程、标准，主要包括：污染物排放控制标准；生产工艺、设备的环境技术管理规程；环境保护设备的操作规程等。</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color w:val="000000" w:themeColor="text1"/>
          <w:sz w:val="24"/>
          <w:szCs w:val="24"/>
          <w:lang w:val="en-US"/>
          <w14:textFill>
            <w14:solidFill>
              <w14:schemeClr w14:val="tx1"/>
            </w14:solidFill>
          </w14:textFill>
        </w:rPr>
        <w:t>③</w:t>
      </w:r>
      <w:r>
        <w:rPr>
          <w:rFonts w:ascii="Times New Roman" w:hAnsi="Times New Roman" w:cs="Times New Roman" w:eastAsiaTheme="minorEastAsia"/>
          <w:color w:val="000000" w:themeColor="text1"/>
          <w:sz w:val="24"/>
          <w:szCs w:val="24"/>
          <w:lang w:val="en-US"/>
          <w14:textFill>
            <w14:solidFill>
              <w14:schemeClr w14:val="tx1"/>
            </w14:solidFill>
          </w14:textFill>
        </w:rPr>
        <w:t>车间环境保护责任制：各类人员的环境保护工作范围，应负的责任，以及相应的权利。</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依靠技术进步，改革工艺，减少排污，要不断研究采用无污染或少污染的生产工艺技术，把污染消灭在生产过程中，结合技术改造，不断提高资源和能源的利用率，降低能耗及水耗，提高回收利用率，减少废物排放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（3）加强对污染防治措施的管理，不断提高污染防治的技术水平，使原有的污染防治措施充分发挥作用，减少污染物排放总量。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（4）加强监测，定期如实地总结监测数据，分析环保问题所在，及时向主管领导汇报并及时解决。</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49" w:name="_Toc22914"/>
      <w:r>
        <w:rPr>
          <w:rFonts w:ascii="Times New Roman" w:hAnsi="Times New Roman" w:eastAsia="新宋体" w:cstheme="minorBidi"/>
          <w:color w:val="000000" w:themeColor="text1"/>
          <w:szCs w:val="24"/>
          <w:lang w:val="en-US" w:bidi="ar-SA"/>
          <w14:textFill>
            <w14:solidFill>
              <w14:schemeClr w14:val="tx1"/>
            </w14:solidFill>
          </w14:textFill>
        </w:rPr>
        <w:t>8.1.5 环保设施运行费用</w:t>
      </w:r>
      <w:bookmarkEnd w:id="349"/>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本项目建成后，运行期间尿素用量为600t/a，外购价格为2000元/吨，运行期尿素投资为120万；脱硫剂用量为240t/a，外购价格为1200元/吨，运行期脱硫剂投资额为28.8万元。运行期环保投资总额为148.8万元。</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350" w:name="_Toc162605200"/>
      <w:bookmarkStart w:id="351" w:name="_Toc25637"/>
      <w:r>
        <w:rPr>
          <w:rFonts w:ascii="Times New Roman" w:hAnsi="Times New Roman" w:cs="Times New Roman" w:eastAsiaTheme="minorEastAsia"/>
          <w:color w:val="000000" w:themeColor="text1"/>
          <w:szCs w:val="24"/>
          <w:lang w:val="en-US" w:bidi="ar-SA"/>
          <w14:textFill>
            <w14:solidFill>
              <w14:schemeClr w14:val="tx1"/>
            </w14:solidFill>
          </w14:textFill>
        </w:rPr>
        <w:t>8.2 环境监测计划</w:t>
      </w:r>
      <w:bookmarkEnd w:id="350"/>
      <w:bookmarkEnd w:id="351"/>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52" w:name="_Toc7129"/>
      <w:r>
        <w:rPr>
          <w:rFonts w:ascii="Times New Roman" w:hAnsi="Times New Roman" w:eastAsia="新宋体" w:cstheme="minorBidi"/>
          <w:color w:val="000000" w:themeColor="text1"/>
          <w:szCs w:val="24"/>
          <w:lang w:val="en-US" w:bidi="ar-SA"/>
          <w14:textFill>
            <w14:solidFill>
              <w14:schemeClr w14:val="tx1"/>
            </w14:solidFill>
          </w14:textFill>
        </w:rPr>
        <w:t>8.2.1 环境监测的意义</w:t>
      </w:r>
      <w:bookmarkEnd w:id="352"/>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环境监测（包括污染源监测）是企业环境保护的重要组成部分，也是企业的一项规范化制度。通过环境监测，进行数据整理分析，建立监测档案，可为污染源治理，掌握污染物排放变化规律提供依据，为上级环保部门进行区域环境规划、管理执法提供依据。同时，环境监测也是企业实现污染物总量控制，做到稳定达标排放的重要保证手段之一。</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53" w:name="_Toc27413"/>
      <w:r>
        <w:rPr>
          <w:rFonts w:ascii="Times New Roman" w:hAnsi="Times New Roman" w:eastAsia="新宋体" w:cstheme="minorBidi"/>
          <w:color w:val="000000" w:themeColor="text1"/>
          <w:szCs w:val="24"/>
          <w:lang w:val="en-US" w:bidi="ar-SA"/>
          <w14:textFill>
            <w14:solidFill>
              <w14:schemeClr w14:val="tx1"/>
            </w14:solidFill>
          </w14:textFill>
        </w:rPr>
        <w:t>8.2.2 环境监测工作</w:t>
      </w:r>
      <w:bookmarkEnd w:id="353"/>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本项目的监测工作可委托有资质监测单位进行，监测结果按次、月、季、年编制报表，并由环保科专人管理并存档。</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54" w:name="_Toc25289"/>
      <w:r>
        <w:rPr>
          <w:rFonts w:ascii="Times New Roman" w:hAnsi="Times New Roman" w:eastAsia="新宋体" w:cstheme="minorBidi"/>
          <w:color w:val="000000" w:themeColor="text1"/>
          <w:szCs w:val="24"/>
          <w:lang w:val="en-US" w:bidi="ar-SA"/>
          <w14:textFill>
            <w14:solidFill>
              <w14:schemeClr w14:val="tx1"/>
            </w14:solidFill>
          </w14:textFill>
        </w:rPr>
        <w:t>8.2.3 运营期监测计划</w:t>
      </w:r>
      <w:bookmarkEnd w:id="354"/>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1、污染源监测计划</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根据《排污单位自行监测技术指南</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 </w:t>
      </w:r>
      <w:r>
        <w:rPr>
          <w:rFonts w:ascii="Times New Roman" w:hAnsi="Times New Roman" w:cs="Times New Roman" w:eastAsiaTheme="minorEastAsia"/>
          <w:color w:val="000000" w:themeColor="text1"/>
          <w:sz w:val="24"/>
          <w:szCs w:val="24"/>
          <w:lang w:val="en-US"/>
          <w14:textFill>
            <w14:solidFill>
              <w14:schemeClr w14:val="tx1"/>
            </w14:solidFill>
          </w14:textFill>
        </w:rPr>
        <w:t>火力发电及锅炉》（2017年6月1日实施），结合本项目主要排污特点，监测项目应包括大气污染物及厂界噪声。建议监测内容、监测项目、监测频率，详见表8-2-1。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表8-2-1 环境</w:t>
      </w:r>
      <w:r>
        <w:rPr>
          <w:rFonts w:hint="eastAsia" w:ascii="Times New Roman" w:hAnsiTheme="minorEastAsia" w:eastAsiaTheme="minorEastAsia"/>
          <w:b/>
          <w:bCs/>
          <w:color w:val="000000" w:themeColor="text1"/>
          <w:szCs w:val="24"/>
          <w14:textFill>
            <w14:solidFill>
              <w14:schemeClr w14:val="tx1"/>
            </w14:solidFill>
          </w14:textFill>
        </w:rPr>
        <w:t>跟踪</w:t>
      </w:r>
      <w:r>
        <w:rPr>
          <w:rFonts w:ascii="Times New Roman" w:hAnsiTheme="minorEastAsia" w:eastAsiaTheme="minorEastAsia"/>
          <w:b/>
          <w:bCs/>
          <w:color w:val="000000" w:themeColor="text1"/>
          <w:szCs w:val="24"/>
          <w14:textFill>
            <w14:solidFill>
              <w14:schemeClr w14:val="tx1"/>
            </w14:solidFill>
          </w14:textFill>
        </w:rPr>
        <w:t>监测计划</w:t>
      </w:r>
    </w:p>
    <w:tbl>
      <w:tblPr>
        <w:tblStyle w:val="70"/>
        <w:tblW w:w="4998"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691"/>
        <w:gridCol w:w="795"/>
        <w:gridCol w:w="2069"/>
        <w:gridCol w:w="827"/>
        <w:gridCol w:w="1518"/>
        <w:gridCol w:w="240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416" w:type="pct"/>
            <w:tcBorders>
              <w:top w:val="single" w:color="000000" w:sz="12" w:space="0"/>
              <w:left w:val="nil"/>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bookmarkStart w:id="355" w:name="_Toc12831"/>
            <w:r>
              <w:rPr>
                <w:rFonts w:ascii="Times New Roman" w:eastAsiaTheme="minorEastAsia"/>
                <w:color w:val="000000" w:themeColor="text1"/>
                <w:sz w:val="21"/>
                <w:szCs w:val="21"/>
                <w14:textFill>
                  <w14:solidFill>
                    <w14:schemeClr w14:val="tx1"/>
                  </w14:solidFill>
                </w14:textFill>
              </w:rPr>
              <w:t>要素</w:t>
            </w:r>
          </w:p>
        </w:tc>
        <w:tc>
          <w:tcPr>
            <w:tcW w:w="479" w:type="pct"/>
            <w:tcBorders>
              <w:top w:val="single" w:color="000000" w:sz="12"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类别</w:t>
            </w:r>
          </w:p>
        </w:tc>
        <w:tc>
          <w:tcPr>
            <w:tcW w:w="1246" w:type="pct"/>
            <w:tcBorders>
              <w:top w:val="single" w:color="000000" w:sz="12"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监测项目</w:t>
            </w:r>
          </w:p>
        </w:tc>
        <w:tc>
          <w:tcPr>
            <w:tcW w:w="498" w:type="pct"/>
            <w:tcBorders>
              <w:top w:val="single" w:color="000000" w:sz="12"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监测点</w:t>
            </w:r>
          </w:p>
        </w:tc>
        <w:tc>
          <w:tcPr>
            <w:tcW w:w="914" w:type="pct"/>
            <w:tcBorders>
              <w:top w:val="single" w:color="000000" w:sz="12"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      </w:t>
            </w:r>
            <w:r>
              <w:rPr>
                <w:rFonts w:ascii="Times New Roman" w:eastAsiaTheme="minorEastAsia"/>
                <w:color w:val="000000" w:themeColor="text1"/>
                <w:sz w:val="21"/>
                <w:szCs w:val="21"/>
                <w14:textFill>
                  <w14:solidFill>
                    <w14:schemeClr w14:val="tx1"/>
                  </w14:solidFill>
                </w14:textFill>
              </w:rPr>
              <w:t>监测时间及频率</w:t>
            </w:r>
          </w:p>
        </w:tc>
        <w:tc>
          <w:tcPr>
            <w:tcW w:w="1447" w:type="pct"/>
            <w:tcBorders>
              <w:top w:val="single" w:color="000000" w:sz="12" w:space="0"/>
              <w:bottom w:val="single" w:color="000000"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执行标准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55" w:hRule="atLeast"/>
        </w:trPr>
        <w:tc>
          <w:tcPr>
            <w:tcW w:w="416" w:type="pct"/>
            <w:vMerge w:val="restart"/>
            <w:tcBorders>
              <w:top w:val="single" w:color="000000" w:sz="4" w:space="0"/>
              <w:left w:val="nil"/>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废气</w:t>
            </w:r>
          </w:p>
        </w:tc>
        <w:tc>
          <w:tcPr>
            <w:tcW w:w="479" w:type="pct"/>
            <w:vMerge w:val="restar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污染源监测</w:t>
            </w:r>
          </w:p>
        </w:tc>
        <w:tc>
          <w:tcPr>
            <w:tcW w:w="1246"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X</w:t>
            </w:r>
          </w:p>
        </w:tc>
        <w:tc>
          <w:tcPr>
            <w:tcW w:w="498"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烟道</w:t>
            </w:r>
          </w:p>
        </w:tc>
        <w:tc>
          <w:tcPr>
            <w:tcW w:w="914"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在线</w:t>
            </w:r>
            <w:r>
              <w:rPr>
                <w:rFonts w:ascii="Times New Roman" w:eastAsiaTheme="minorEastAsia"/>
                <w:color w:val="000000" w:themeColor="text1"/>
                <w:sz w:val="21"/>
                <w:szCs w:val="21"/>
                <w14:textFill>
                  <w14:solidFill>
                    <w14:schemeClr w14:val="tx1"/>
                  </w14:solidFill>
                </w14:textFill>
              </w:rPr>
              <w:t>监测</w:t>
            </w:r>
          </w:p>
        </w:tc>
        <w:tc>
          <w:tcPr>
            <w:tcW w:w="1447" w:type="pct"/>
            <w:tcBorders>
              <w:top w:val="single" w:color="000000" w:sz="4" w:space="0"/>
              <w:bottom w:val="single" w:color="000000"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《关于印发&lt;全面实施燃煤电厂超低排放和节能改造工作方案&gt;的通知》（环发 [2015]164号）要求，达到超低排放限值（在基准氧含量6%条件下，烟尘、SO</w:t>
            </w:r>
            <w:r>
              <w:rPr>
                <w:rFonts w:ascii="Times New Roman" w:eastAsiaTheme="minorEastAsia"/>
                <w:color w:val="000000" w:themeColor="text1"/>
                <w:sz w:val="21"/>
                <w:szCs w:val="21"/>
                <w:vertAlign w:val="subscript"/>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、NOx排放浓度分别不高于10mg/m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、35mg/m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、50mg/m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27" w:hRule="atLeast"/>
        </w:trPr>
        <w:tc>
          <w:tcPr>
            <w:tcW w:w="416" w:type="pct"/>
            <w:vMerge w:val="continue"/>
            <w:tcBorders>
              <w:top w:val="single" w:color="000000" w:sz="4" w:space="0"/>
              <w:left w:val="nil"/>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79" w:type="pct"/>
            <w:vMerge w:val="continue"/>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46"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汞及其化合物</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林格曼黑度</w:t>
            </w:r>
          </w:p>
        </w:tc>
        <w:tc>
          <w:tcPr>
            <w:tcW w:w="498"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烟道</w:t>
            </w:r>
          </w:p>
        </w:tc>
        <w:tc>
          <w:tcPr>
            <w:tcW w:w="914"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 次/季度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（供暖期 2 次）</w:t>
            </w:r>
          </w:p>
        </w:tc>
        <w:tc>
          <w:tcPr>
            <w:tcW w:w="1447" w:type="pct"/>
            <w:tcBorders>
              <w:top w:val="single" w:color="000000" w:sz="4" w:space="0"/>
              <w:bottom w:val="single" w:color="000000"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《锅炉大气污染物排放标准》（GB13271-2014）</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中表 2 排放限值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416" w:type="pct"/>
            <w:vMerge w:val="continue"/>
            <w:tcBorders>
              <w:top w:val="single" w:color="000000" w:sz="4" w:space="0"/>
              <w:left w:val="nil"/>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479" w:type="pct"/>
            <w:vMerge w:val="continue"/>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46"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r>
              <w:rPr>
                <w:rFonts w:hint="eastAsia" w:ascii="Times New Roman" w:eastAsiaTheme="minorEastAsia"/>
                <w:color w:val="000000" w:themeColor="text1"/>
                <w:sz w:val="21"/>
                <w:szCs w:val="21"/>
                <w14:textFill>
                  <w14:solidFill>
                    <w14:schemeClr w14:val="tx1"/>
                  </w14:solidFill>
                </w14:textFill>
              </w:rPr>
              <w:t>、氨</w:t>
            </w:r>
          </w:p>
        </w:tc>
        <w:tc>
          <w:tcPr>
            <w:tcW w:w="498"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w:t>
            </w:r>
          </w:p>
        </w:tc>
        <w:tc>
          <w:tcPr>
            <w:tcW w:w="914"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 次/季度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（供暖期 2 次）</w:t>
            </w:r>
          </w:p>
        </w:tc>
        <w:tc>
          <w:tcPr>
            <w:tcW w:w="1447" w:type="pct"/>
            <w:tcBorders>
              <w:top w:val="single" w:color="000000" w:sz="4" w:space="0"/>
              <w:bottom w:val="single" w:color="000000"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《大气污染物综合排放标准》(GB16297-1996)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9" w:hRule="atLeast"/>
        </w:trPr>
        <w:tc>
          <w:tcPr>
            <w:tcW w:w="416" w:type="pct"/>
            <w:tcBorders>
              <w:top w:val="single" w:color="000000" w:sz="4" w:space="0"/>
              <w:left w:val="nil"/>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废水</w:t>
            </w:r>
          </w:p>
        </w:tc>
        <w:tc>
          <w:tcPr>
            <w:tcW w:w="479"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废水</w:t>
            </w:r>
          </w:p>
        </w:tc>
        <w:tc>
          <w:tcPr>
            <w:tcW w:w="1246"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pH、COD、氨氮、SS、总磷、石油类、氟化物、硫化物、挥发酚、溶解性总固体、流量</w:t>
            </w:r>
          </w:p>
        </w:tc>
        <w:tc>
          <w:tcPr>
            <w:tcW w:w="498"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企业废水总排口</w:t>
            </w:r>
          </w:p>
        </w:tc>
        <w:tc>
          <w:tcPr>
            <w:tcW w:w="914"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 次/</w:t>
            </w:r>
            <w:r>
              <w:rPr>
                <w:rFonts w:hint="eastAsia" w:ascii="Times New Roman" w:eastAsiaTheme="minorEastAsia"/>
                <w:color w:val="000000" w:themeColor="text1"/>
                <w:sz w:val="21"/>
                <w:szCs w:val="21"/>
                <w14:textFill>
                  <w14:solidFill>
                    <w14:schemeClr w14:val="tx1"/>
                  </w14:solidFill>
                </w14:textFill>
              </w:rPr>
              <w:t>季</w:t>
            </w:r>
          </w:p>
        </w:tc>
        <w:tc>
          <w:tcPr>
            <w:tcW w:w="1447" w:type="pct"/>
            <w:tcBorders>
              <w:top w:val="single" w:color="000000" w:sz="4" w:space="0"/>
              <w:bottom w:val="single" w:color="000000"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《污水综合排放标准》</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（GB8978-1996）中三级标准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7" w:hRule="atLeast"/>
        </w:trPr>
        <w:tc>
          <w:tcPr>
            <w:tcW w:w="416" w:type="pct"/>
            <w:tcBorders>
              <w:top w:val="single" w:color="000000" w:sz="4" w:space="0"/>
              <w:left w:val="nil"/>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479"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厂界噪声</w:t>
            </w:r>
          </w:p>
        </w:tc>
        <w:tc>
          <w:tcPr>
            <w:tcW w:w="1246"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498"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w:t>
            </w:r>
          </w:p>
        </w:tc>
        <w:tc>
          <w:tcPr>
            <w:tcW w:w="914" w:type="pct"/>
            <w:tcBorders>
              <w:top w:val="single" w:color="000000" w:sz="4"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 次/季度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（供暖期 2 次）</w:t>
            </w:r>
          </w:p>
        </w:tc>
        <w:tc>
          <w:tcPr>
            <w:tcW w:w="1447" w:type="pct"/>
            <w:tcBorders>
              <w:top w:val="single" w:color="000000" w:sz="4" w:space="0"/>
              <w:bottom w:val="single" w:color="000000" w:sz="4"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《工业企业厂界环境噪声排放标准》</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(GB12348-2008)</w:t>
            </w: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7" w:hRule="atLeast"/>
        </w:trPr>
        <w:tc>
          <w:tcPr>
            <w:tcW w:w="416" w:type="pct"/>
            <w:tcBorders>
              <w:top w:val="single" w:color="000000" w:sz="4" w:space="0"/>
              <w:left w:val="nil"/>
              <w:bottom w:val="single" w:color="000000"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w:t>
            </w:r>
          </w:p>
        </w:tc>
        <w:tc>
          <w:tcPr>
            <w:tcW w:w="479" w:type="pct"/>
            <w:tcBorders>
              <w:top w:val="single" w:color="000000" w:sz="4" w:space="0"/>
              <w:bottom w:val="single" w:color="000000"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w:t>
            </w:r>
          </w:p>
        </w:tc>
        <w:tc>
          <w:tcPr>
            <w:tcW w:w="1246" w:type="pct"/>
            <w:tcBorders>
              <w:top w:val="single" w:color="000000" w:sz="4" w:space="0"/>
              <w:bottom w:val="single" w:color="000000"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Hg</w:t>
            </w:r>
          </w:p>
        </w:tc>
        <w:tc>
          <w:tcPr>
            <w:tcW w:w="498" w:type="pct"/>
            <w:tcBorders>
              <w:top w:val="single" w:color="000000" w:sz="4" w:space="0"/>
              <w:bottom w:val="single" w:color="000000"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新建锅炉间东侧</w:t>
            </w:r>
          </w:p>
        </w:tc>
        <w:tc>
          <w:tcPr>
            <w:tcW w:w="914" w:type="pct"/>
            <w:tcBorders>
              <w:top w:val="single" w:color="000000" w:sz="4" w:space="0"/>
              <w:bottom w:val="single" w:color="000000" w:sz="12"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 次/5 年</w:t>
            </w:r>
          </w:p>
        </w:tc>
        <w:tc>
          <w:tcPr>
            <w:tcW w:w="1447" w:type="pct"/>
            <w:tcBorders>
              <w:top w:val="single" w:color="000000" w:sz="4" w:space="0"/>
              <w:bottom w:val="single" w:color="000000" w:sz="12"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《土壤环境质量 建设用地土壤污染风险管控标准（试行）》（GB36600-2018）</w:t>
            </w:r>
          </w:p>
        </w:tc>
      </w:tr>
    </w:tbl>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8.2.4 污染物排放口（源）挂牌标识</w:t>
      </w:r>
      <w:bookmarkEnd w:id="355"/>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拟建工程应按《环境保护图形标志—排放口（源）》（GB15562.1-1995）规定的图形，在各气、水、声排污口（源）挂牌标识，做到各排污口（源）的环保标志明显，标志牌设置高度为其上缘距地面2m，便于企业管理和公众监督，环境保护图形标志牌示例见</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图</w:t>
      </w:r>
      <w:r>
        <w:rPr>
          <w:rFonts w:ascii="Times New Roman" w:hAnsi="Times New Roman" w:cs="Times New Roman" w:eastAsiaTheme="minorEastAsia"/>
          <w:color w:val="000000" w:themeColor="text1"/>
          <w:sz w:val="24"/>
          <w:szCs w:val="24"/>
          <w:lang w:val="en-US"/>
          <w14:textFill>
            <w14:solidFill>
              <w14:schemeClr w14:val="tx1"/>
            </w14:solidFill>
          </w14:textFill>
        </w:rPr>
        <w:t>8-2-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91"/>
        <w:ind w:firstLine="360"/>
        <w:rPr>
          <w:color w:val="000000" w:themeColor="text1"/>
          <w14:textFill>
            <w14:solidFill>
              <w14:schemeClr w14:val="tx1"/>
            </w14:solidFill>
          </w14:textFill>
        </w:rPr>
      </w:pPr>
      <w:bookmarkStart w:id="356" w:name="_Toc11447"/>
      <w:r>
        <w:rPr>
          <w:color w:val="000000" w:themeColor="text1"/>
          <w:lang w:val="en-US" w:bidi="ar-SA"/>
          <w14:textFill>
            <w14:solidFill>
              <w14:schemeClr w14:val="tx1"/>
            </w14:solidFill>
          </w14:textFill>
        </w:rPr>
        <w:drawing>
          <wp:anchor distT="0" distB="0" distL="114300" distR="114300" simplePos="0" relativeHeight="251689984" behindDoc="0" locked="0" layoutInCell="1" allowOverlap="1">
            <wp:simplePos x="0" y="0"/>
            <wp:positionH relativeFrom="column">
              <wp:posOffset>283210</wp:posOffset>
            </wp:positionH>
            <wp:positionV relativeFrom="paragraph">
              <wp:posOffset>205105</wp:posOffset>
            </wp:positionV>
            <wp:extent cx="4662170" cy="2353945"/>
            <wp:effectExtent l="0" t="0" r="5715" b="8255"/>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4662054" cy="2354229"/>
                    </a:xfrm>
                    <a:prstGeom prst="rect">
                      <a:avLst/>
                    </a:prstGeom>
                  </pic:spPr>
                </pic:pic>
              </a:graphicData>
            </a:graphic>
          </wp:anchor>
        </w:drawing>
      </w: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图</w:t>
      </w:r>
      <w:r>
        <w:rPr>
          <w:rFonts w:ascii="Times New Roman" w:hAnsiTheme="minorEastAsia" w:eastAsiaTheme="minorEastAsia"/>
          <w:b/>
          <w:bCs/>
          <w:color w:val="000000" w:themeColor="text1"/>
          <w:szCs w:val="24"/>
          <w14:textFill>
            <w14:solidFill>
              <w14:schemeClr w14:val="tx1"/>
            </w14:solidFill>
          </w14:textFill>
        </w:rPr>
        <w:t xml:space="preserve">8-2-1 </w:t>
      </w:r>
      <w:r>
        <w:rPr>
          <w:rFonts w:hint="eastAsia" w:ascii="Times New Roman" w:hAnsiTheme="minorEastAsia" w:eastAsiaTheme="minorEastAsia"/>
          <w:b/>
          <w:bCs/>
          <w:color w:val="000000" w:themeColor="text1"/>
          <w:szCs w:val="24"/>
          <w14:textFill>
            <w14:solidFill>
              <w14:schemeClr w14:val="tx1"/>
            </w14:solidFill>
          </w14:textFill>
        </w:rPr>
        <w:t>环境保护图形标志</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8.2.5 信息公开</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（1）公开内容</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企业应将自行监测工作开展情况及监测结果向社会公众公开，公开内容应包括：</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基础信息：企业名称、法人代表、所属行业、地理位置、生产周期、联系方式、委托监测机构名称等；</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1）自行监测方案；</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自行监测结果：全部监测点位、监测时间、污染物种类及浓度、标准限值、达标情况、超标倍数、污染物排放方式及排放去向；</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2）未开展自行监测的原因；</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3）污染源监测年度报告。</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（2）公开方式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企业可通过对外网站、报纸、广播、电视等便于公众知晓的方式公开自行监测信息。同时，应当在市级环境保护主管部门统一组织建立的公布平台上公开自行监测信息，并至少保存 1 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（3）公开时限</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企业自行监测信息按以下要求的时限公开：</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1）企业基础信息应随监测数据一并公布，基础信息、自行监测方案如有调整变化时，应于变更后的五日内公布最新内容；</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2）手工监测数据应于每次监测完成后的次日公布；</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3）自动监测数据应实时公布监测结果，废气自动监测设备为每 1 小时均值；</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4）每年 1 月底前公布上年度自行监测年度报告。</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357" w:name="_Toc162605201"/>
      <w:r>
        <w:rPr>
          <w:rFonts w:ascii="Times New Roman" w:hAnsi="Times New Roman" w:cs="Times New Roman" w:eastAsiaTheme="minorEastAsia"/>
          <w:color w:val="000000" w:themeColor="text1"/>
          <w:szCs w:val="24"/>
          <w:lang w:val="en-US" w:bidi="ar-SA"/>
          <w14:textFill>
            <w14:solidFill>
              <w14:schemeClr w14:val="tx1"/>
            </w14:solidFill>
          </w14:textFill>
        </w:rPr>
        <w:t>8.3 污染物排放</w:t>
      </w:r>
      <w:bookmarkEnd w:id="356"/>
      <w:r>
        <w:rPr>
          <w:rFonts w:hint="eastAsia" w:ascii="Times New Roman" w:hAnsi="Times New Roman" w:cs="Times New Roman" w:eastAsiaTheme="minorEastAsia"/>
          <w:color w:val="000000" w:themeColor="text1"/>
          <w:szCs w:val="24"/>
          <w:lang w:val="en-US" w:bidi="ar-SA"/>
          <w14:textFill>
            <w14:solidFill>
              <w14:schemeClr w14:val="tx1"/>
            </w14:solidFill>
          </w14:textFill>
        </w:rPr>
        <w:t>管理</w:t>
      </w:r>
      <w:bookmarkEnd w:id="357"/>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8.</w:t>
      </w:r>
      <w:r>
        <w:rPr>
          <w:rFonts w:hint="eastAsia" w:ascii="Times New Roman" w:hAnsi="Times New Roman" w:eastAsia="新宋体" w:cstheme="minorBidi"/>
          <w:color w:val="000000" w:themeColor="text1"/>
          <w:szCs w:val="24"/>
          <w:lang w:val="en-US" w:bidi="ar-SA"/>
          <w14:textFill>
            <w14:solidFill>
              <w14:schemeClr w14:val="tx1"/>
            </w14:solidFill>
          </w14:textFill>
        </w:rPr>
        <w:t>3</w:t>
      </w:r>
      <w:r>
        <w:rPr>
          <w:rFonts w:ascii="Times New Roman" w:hAnsi="Times New Roman" w:eastAsia="新宋体" w:cstheme="minorBidi"/>
          <w:color w:val="000000" w:themeColor="text1"/>
          <w:szCs w:val="24"/>
          <w:lang w:val="en-US" w:bidi="ar-SA"/>
          <w14:textFill>
            <w14:solidFill>
              <w14:schemeClr w14:val="tx1"/>
            </w14:solidFill>
          </w14:textFill>
        </w:rPr>
        <w:t xml:space="preserve">.1 </w:t>
      </w:r>
      <w:r>
        <w:rPr>
          <w:rFonts w:hint="eastAsia" w:ascii="Times New Roman" w:hAnsi="Times New Roman" w:eastAsia="新宋体" w:cstheme="minorBidi"/>
          <w:color w:val="000000" w:themeColor="text1"/>
          <w:szCs w:val="24"/>
          <w:lang w:val="en-US" w:bidi="ar-SA"/>
          <w14:textFill>
            <w14:solidFill>
              <w14:schemeClr w14:val="tx1"/>
            </w14:solidFill>
          </w14:textFill>
        </w:rPr>
        <w:t>污染物排放清单</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根据《关于做好环境影响评价制度与排污许可制衔接相关工作的通知》环办环评[2017]84号文件</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本项目污染物排放清单见表8-3-1。</w:t>
      </w:r>
    </w:p>
    <w:p>
      <w:pPr>
        <w:ind w:firstLine="180"/>
        <w:rPr>
          <w:color w:val="000000" w:themeColor="text1"/>
          <w14:textFill>
            <w14:solidFill>
              <w14:schemeClr w14:val="tx1"/>
            </w14:solidFill>
          </w14:textFill>
        </w:rPr>
      </w:pPr>
    </w:p>
    <w:p>
      <w:pPr>
        <w:ind w:firstLine="180"/>
        <w:rPr>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 xml:space="preserve">表8-3-1 </w:t>
      </w:r>
      <w:r>
        <w:rPr>
          <w:rFonts w:hint="eastAsia" w:ascii="Times New Roman" w:hAnsiTheme="minorEastAsia" w:eastAsiaTheme="minorEastAsia"/>
          <w:b/>
          <w:bCs/>
          <w:color w:val="000000" w:themeColor="text1"/>
          <w:szCs w:val="24"/>
          <w14:textFill>
            <w14:solidFill>
              <w14:schemeClr w14:val="tx1"/>
            </w14:solidFill>
          </w14:textFill>
        </w:rPr>
        <w:t xml:space="preserve"> 本项目</w:t>
      </w:r>
      <w:r>
        <w:rPr>
          <w:rFonts w:ascii="Times New Roman" w:hAnsiTheme="minorEastAsia" w:eastAsiaTheme="minorEastAsia"/>
          <w:b/>
          <w:bCs/>
          <w:color w:val="000000" w:themeColor="text1"/>
          <w:szCs w:val="24"/>
          <w14:textFill>
            <w14:solidFill>
              <w14:schemeClr w14:val="tx1"/>
            </w14:solidFill>
          </w14:textFill>
        </w:rPr>
        <w:t>污染物排放清单</w:t>
      </w:r>
    </w:p>
    <w:tbl>
      <w:tblPr>
        <w:tblStyle w:val="70"/>
        <w:tblW w:w="0" w:type="auto"/>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333"/>
        <w:gridCol w:w="727"/>
        <w:gridCol w:w="913"/>
        <w:gridCol w:w="559"/>
        <w:gridCol w:w="955"/>
        <w:gridCol w:w="993"/>
        <w:gridCol w:w="780"/>
        <w:gridCol w:w="933"/>
        <w:gridCol w:w="989"/>
        <w:gridCol w:w="764"/>
        <w:gridCol w:w="709"/>
        <w:gridCol w:w="791"/>
        <w:gridCol w:w="600"/>
        <w:gridCol w:w="670"/>
        <w:gridCol w:w="945"/>
        <w:gridCol w:w="960"/>
        <w:gridCol w:w="98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类别</w:t>
            </w:r>
          </w:p>
        </w:tc>
        <w:tc>
          <w:tcPr>
            <w:tcW w:w="727"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w:t>
            </w:r>
          </w:p>
        </w:tc>
        <w:tc>
          <w:tcPr>
            <w:tcW w:w="91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污染物名称</w:t>
            </w:r>
          </w:p>
        </w:tc>
        <w:tc>
          <w:tcPr>
            <w:tcW w:w="55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性质</w:t>
            </w:r>
          </w:p>
        </w:tc>
        <w:tc>
          <w:tcPr>
            <w:tcW w:w="2728" w:type="dxa"/>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污染物产生情况</w:t>
            </w:r>
          </w:p>
        </w:tc>
        <w:tc>
          <w:tcPr>
            <w:tcW w:w="2686" w:type="dxa"/>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污染物排放情况</w:t>
            </w:r>
          </w:p>
        </w:tc>
        <w:tc>
          <w:tcPr>
            <w:tcW w:w="70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年工作时间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（h/a）</w:t>
            </w:r>
          </w:p>
        </w:tc>
        <w:tc>
          <w:tcPr>
            <w:tcW w:w="791"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烟气量</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/h）</w:t>
            </w:r>
          </w:p>
        </w:tc>
        <w:tc>
          <w:tcPr>
            <w:tcW w:w="3175" w:type="dxa"/>
            <w:gridSpan w:val="4"/>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烟囱</w:t>
            </w:r>
          </w:p>
        </w:tc>
        <w:tc>
          <w:tcPr>
            <w:tcW w:w="985"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达标情况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5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55"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1773"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w:t>
            </w:r>
          </w:p>
        </w:tc>
        <w:tc>
          <w:tcPr>
            <w:tcW w:w="93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浓度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tc>
        <w:tc>
          <w:tcPr>
            <w:tcW w:w="1753"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排放量</w:t>
            </w: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9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175" w:type="dxa"/>
            <w:gridSpan w:val="4"/>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8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5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5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9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小时产生</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78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年产生</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9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8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小时排放</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（kg/h）</w:t>
            </w:r>
          </w:p>
        </w:tc>
        <w:tc>
          <w:tcPr>
            <w:tcW w:w="76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年排放</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（t/a）</w:t>
            </w: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9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高度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w:t>
            </w:r>
          </w:p>
        </w:tc>
        <w:tc>
          <w:tcPr>
            <w:tcW w:w="67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数量</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（个）</w:t>
            </w:r>
          </w:p>
        </w:tc>
        <w:tc>
          <w:tcPr>
            <w:tcW w:w="94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烟气温度</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9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出口内径</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w:t>
            </w:r>
          </w:p>
        </w:tc>
        <w:tc>
          <w:tcPr>
            <w:tcW w:w="98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大气污染源</w:t>
            </w:r>
          </w:p>
        </w:tc>
        <w:tc>
          <w:tcPr>
            <w:tcW w:w="727" w:type="dxa"/>
            <w:vMerge w:val="restart"/>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锅炉房</w:t>
            </w:r>
            <w:r>
              <w:rPr>
                <w:rFonts w:hint="eastAsia" w:ascii="Times New Roman" w:eastAsiaTheme="minorEastAsia"/>
                <w:color w:val="000000" w:themeColor="text1"/>
                <w:sz w:val="21"/>
                <w:szCs w:val="21"/>
                <w14:textFill>
                  <w14:solidFill>
                    <w14:schemeClr w14:val="tx1"/>
                  </w14:solidFill>
                </w14:textFill>
              </w:rPr>
              <w:t>（新建70MW锅炉）</w:t>
            </w: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PM</w:t>
            </w:r>
            <w:r>
              <w:rPr>
                <w:rFonts w:hint="eastAsia" w:ascii="Times New Roman" w:eastAsiaTheme="minorEastAsia"/>
                <w:color w:val="000000" w:themeColor="text1"/>
                <w:sz w:val="21"/>
                <w:szCs w:val="21"/>
                <w:vertAlign w:val="subscript"/>
                <w14:textFill>
                  <w14:solidFill>
                    <w14:schemeClr w14:val="tx1"/>
                  </w14:solidFill>
                </w14:textFill>
              </w:rPr>
              <w:t>10</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点源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7272.825</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588.786</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1723.68</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3.636</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0.294</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0.862</w:t>
            </w:r>
          </w:p>
        </w:tc>
        <w:tc>
          <w:tcPr>
            <w:tcW w:w="70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2928</w:t>
            </w:r>
          </w:p>
        </w:tc>
        <w:tc>
          <w:tcPr>
            <w:tcW w:w="791"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80934</w:t>
            </w:r>
          </w:p>
        </w:tc>
        <w:tc>
          <w:tcPr>
            <w:tcW w:w="600"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100</w:t>
            </w:r>
          </w:p>
        </w:tc>
        <w:tc>
          <w:tcPr>
            <w:tcW w:w="670"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w:t>
            </w:r>
          </w:p>
        </w:tc>
        <w:tc>
          <w:tcPr>
            <w:tcW w:w="945"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w:t>
            </w:r>
          </w:p>
        </w:tc>
        <w:tc>
          <w:tcPr>
            <w:tcW w:w="960"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3.0</w:t>
            </w: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PM</w:t>
            </w:r>
            <w:r>
              <w:rPr>
                <w:rFonts w:hint="eastAsia" w:ascii="Times New Roman" w:eastAsiaTheme="minorEastAsia"/>
                <w:color w:val="000000" w:themeColor="text1"/>
                <w:sz w:val="21"/>
                <w:szCs w:val="21"/>
                <w:vertAlign w:val="subscript"/>
                <w14:textFill>
                  <w14:solidFill>
                    <w14:schemeClr w14:val="tx1"/>
                  </w14:solidFill>
                </w14:textFill>
              </w:rPr>
              <w:t>2.5</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点源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4727.336</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382.602</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1120.283</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2.363</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0.191</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0.560</w:t>
            </w: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9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7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4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6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点源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434.023</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35.127</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102.861</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21.697</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1.756</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5.143</w:t>
            </w: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9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7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4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6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X</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点源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200</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16.187</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47.395</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40</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3.237</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9.479</w:t>
            </w: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9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7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4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6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NH</w:t>
            </w:r>
            <w:r>
              <w:rPr>
                <w:rFonts w:hint="eastAsia" w:ascii="Times New Roman" w:eastAsiaTheme="minorEastAsia"/>
                <w:color w:val="000000" w:themeColor="text1"/>
                <w:sz w:val="21"/>
                <w:szCs w:val="21"/>
                <w:vertAlign w:val="subscript"/>
                <w14:textFill>
                  <w14:solidFill>
                    <w14:schemeClr w14:val="tx1"/>
                  </w14:solidFill>
                </w14:textFill>
              </w:rPr>
              <w:t>3</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点源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0.202</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0.591</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2.5</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0.202</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0.591</w:t>
            </w: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9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7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4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6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汞及其化合物</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点源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0.051</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0.004</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0.011</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0.015</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0.001</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0.004</w:t>
            </w:r>
          </w:p>
        </w:tc>
        <w:tc>
          <w:tcPr>
            <w:tcW w:w="70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91"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0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7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4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60"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碎煤机室</w:t>
            </w: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粉尘</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面源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2.153</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6.304</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0.022</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0.064</w:t>
            </w:r>
          </w:p>
        </w:tc>
        <w:tc>
          <w:tcPr>
            <w:tcW w:w="70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2928</w:t>
            </w:r>
          </w:p>
        </w:tc>
        <w:tc>
          <w:tcPr>
            <w:tcW w:w="79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60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67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4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储煤场</w:t>
            </w:r>
          </w:p>
        </w:tc>
        <w:tc>
          <w:tcPr>
            <w:tcW w:w="91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粉尘</w:t>
            </w:r>
          </w:p>
        </w:tc>
        <w:tc>
          <w:tcPr>
            <w:tcW w:w="55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面源</w:t>
            </w:r>
          </w:p>
        </w:tc>
        <w:tc>
          <w:tcPr>
            <w:tcW w:w="955"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9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0.0001</w:t>
            </w:r>
          </w:p>
        </w:tc>
        <w:tc>
          <w:tcPr>
            <w:tcW w:w="780"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0.00002</w:t>
            </w:r>
          </w:p>
        </w:tc>
        <w:tc>
          <w:tcPr>
            <w:tcW w:w="933"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89" w:type="dxa"/>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0.0001</w:t>
            </w:r>
          </w:p>
        </w:tc>
        <w:tc>
          <w:tcPr>
            <w:tcW w:w="764" w:type="dxa"/>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0.00002</w:t>
            </w:r>
          </w:p>
        </w:tc>
        <w:tc>
          <w:tcPr>
            <w:tcW w:w="70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4392</w:t>
            </w:r>
          </w:p>
        </w:tc>
        <w:tc>
          <w:tcPr>
            <w:tcW w:w="791"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60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67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4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6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98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废水</w:t>
            </w:r>
          </w:p>
        </w:tc>
        <w:tc>
          <w:tcPr>
            <w:tcW w:w="727" w:type="dxa"/>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w:t>
            </w:r>
          </w:p>
        </w:tc>
        <w:tc>
          <w:tcPr>
            <w:tcW w:w="1472" w:type="dxa"/>
            <w:gridSpan w:val="2"/>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污染物名称</w:t>
            </w:r>
          </w:p>
        </w:tc>
        <w:tc>
          <w:tcPr>
            <w:tcW w:w="2728" w:type="dxa"/>
            <w:gridSpan w:val="3"/>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w:t>
            </w:r>
          </w:p>
        </w:tc>
        <w:tc>
          <w:tcPr>
            <w:tcW w:w="2686" w:type="dxa"/>
            <w:gridSpan w:val="3"/>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排放量</w:t>
            </w:r>
          </w:p>
        </w:tc>
        <w:tc>
          <w:tcPr>
            <w:tcW w:w="5660" w:type="dxa"/>
            <w:gridSpan w:val="7"/>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排放去向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restart"/>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生产废水</w:t>
            </w:r>
          </w:p>
        </w:tc>
        <w:tc>
          <w:tcPr>
            <w:tcW w:w="1472" w:type="dxa"/>
            <w:gridSpan w:val="2"/>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锅炉排污水</w:t>
            </w:r>
          </w:p>
        </w:tc>
        <w:tc>
          <w:tcPr>
            <w:tcW w:w="2728" w:type="dxa"/>
            <w:gridSpan w:val="3"/>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43.1m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/d</w:t>
            </w:r>
          </w:p>
        </w:tc>
        <w:tc>
          <w:tcPr>
            <w:tcW w:w="2686" w:type="dxa"/>
            <w:gridSpan w:val="3"/>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/d</w:t>
            </w:r>
          </w:p>
        </w:tc>
        <w:tc>
          <w:tcPr>
            <w:tcW w:w="5660" w:type="dxa"/>
            <w:gridSpan w:val="7"/>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回用于输煤降尘、除灰渣、脱硫、地面冲洗用水，不外排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72" w:type="dxa"/>
            <w:gridSpan w:val="2"/>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软化水系统</w:t>
            </w:r>
          </w:p>
        </w:tc>
        <w:tc>
          <w:tcPr>
            <w:tcW w:w="2728" w:type="dxa"/>
            <w:gridSpan w:val="3"/>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9.84</w:t>
            </w:r>
            <w:r>
              <w:rPr>
                <w:rFonts w:ascii="Times New Roman" w:eastAsiaTheme="minorEastAsia"/>
                <w:color w:val="000000" w:themeColor="text1"/>
                <w:sz w:val="21"/>
                <w:szCs w:val="21"/>
                <w14:textFill>
                  <w14:solidFill>
                    <w14:schemeClr w14:val="tx1"/>
                  </w14:solidFill>
                </w14:textFill>
              </w:rPr>
              <w:t xml:space="preserve"> 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/d</w:t>
            </w:r>
          </w:p>
        </w:tc>
        <w:tc>
          <w:tcPr>
            <w:tcW w:w="2686" w:type="dxa"/>
            <w:gridSpan w:val="3"/>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/d</w:t>
            </w:r>
          </w:p>
        </w:tc>
        <w:tc>
          <w:tcPr>
            <w:tcW w:w="5660" w:type="dxa"/>
            <w:gridSpan w:val="7"/>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727" w:type="dxa"/>
            <w:tcBorders>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机械设备</w:t>
            </w:r>
          </w:p>
        </w:tc>
        <w:tc>
          <w:tcPr>
            <w:tcW w:w="1472" w:type="dxa"/>
            <w:gridSpan w:val="2"/>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机械设备噪声</w:t>
            </w:r>
          </w:p>
        </w:tc>
        <w:tc>
          <w:tcPr>
            <w:tcW w:w="2728" w:type="dxa"/>
            <w:gridSpan w:val="3"/>
            <w:tcBorders>
              <w:left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80-95dB（A）</w:t>
            </w:r>
          </w:p>
        </w:tc>
        <w:tc>
          <w:tcPr>
            <w:tcW w:w="2686" w:type="dxa"/>
            <w:gridSpan w:val="3"/>
            <w:tcBorders>
              <w:lef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70-85dB（A）</w:t>
            </w:r>
          </w:p>
        </w:tc>
        <w:tc>
          <w:tcPr>
            <w:tcW w:w="5660" w:type="dxa"/>
            <w:gridSpan w:val="7"/>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墙体采用隔音材料，对设备安装时设计加减振垫、消声器等</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固体废物</w:t>
            </w:r>
          </w:p>
        </w:tc>
        <w:tc>
          <w:tcPr>
            <w:tcW w:w="72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w:t>
            </w:r>
          </w:p>
        </w:tc>
        <w:tc>
          <w:tcPr>
            <w:tcW w:w="91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废物名称</w:t>
            </w:r>
          </w:p>
        </w:tc>
        <w:tc>
          <w:tcPr>
            <w:tcW w:w="55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性质</w:t>
            </w:r>
          </w:p>
        </w:tc>
        <w:tc>
          <w:tcPr>
            <w:tcW w:w="1948"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产生量 t/a</w:t>
            </w:r>
          </w:p>
        </w:tc>
        <w:tc>
          <w:tcPr>
            <w:tcW w:w="3466" w:type="dxa"/>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处置措施</w:t>
            </w:r>
          </w:p>
        </w:tc>
        <w:tc>
          <w:tcPr>
            <w:tcW w:w="5660" w:type="dxa"/>
            <w:gridSpan w:val="7"/>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是否符合环保要求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锅炉房</w:t>
            </w:r>
          </w:p>
        </w:tc>
        <w:tc>
          <w:tcPr>
            <w:tcW w:w="91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灰渣</w:t>
            </w:r>
          </w:p>
        </w:tc>
        <w:tc>
          <w:tcPr>
            <w:tcW w:w="559"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一般固废</w:t>
            </w:r>
          </w:p>
        </w:tc>
        <w:tc>
          <w:tcPr>
            <w:tcW w:w="1948"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8748.665</w:t>
            </w:r>
          </w:p>
        </w:tc>
        <w:tc>
          <w:tcPr>
            <w:tcW w:w="3466" w:type="dxa"/>
            <w:gridSpan w:val="4"/>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除尘灰</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炉渣和脱硫废渣暂存于</w:t>
            </w:r>
            <w:r>
              <w:rPr>
                <w:rFonts w:hint="eastAsia" w:ascii="Times New Roman" w:eastAsiaTheme="minorEastAsia"/>
                <w:color w:val="000000" w:themeColor="text1"/>
                <w:sz w:val="21"/>
                <w:szCs w:val="21"/>
                <w14:textFill>
                  <w14:solidFill>
                    <w14:schemeClr w14:val="tx1"/>
                  </w14:solidFill>
                </w14:textFill>
              </w:rPr>
              <w:t>灰渣场</w:t>
            </w:r>
            <w:r>
              <w:rPr>
                <w:rFonts w:ascii="Times New Roman" w:eastAsiaTheme="minorEastAsia"/>
                <w:color w:val="000000" w:themeColor="text1"/>
                <w:sz w:val="21"/>
                <w:szCs w:val="21"/>
                <w14:textFill>
                  <w14:solidFill>
                    <w14:schemeClr w14:val="tx1"/>
                  </w14:solidFill>
                </w14:textFill>
              </w:rPr>
              <w:t>，全部外售综合利用</w:t>
            </w:r>
          </w:p>
        </w:tc>
        <w:tc>
          <w:tcPr>
            <w:tcW w:w="5660" w:type="dxa"/>
            <w:gridSpan w:val="7"/>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符合《一般工业固体废物贮存和填埋污染控制标准》（GB 18599-2020）要求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脱硫废渣</w:t>
            </w:r>
          </w:p>
        </w:tc>
        <w:tc>
          <w:tcPr>
            <w:tcW w:w="55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48"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500</w:t>
            </w:r>
          </w:p>
        </w:tc>
        <w:tc>
          <w:tcPr>
            <w:tcW w:w="3466" w:type="dxa"/>
            <w:gridSpan w:val="4"/>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660" w:type="dxa"/>
            <w:gridSpan w:val="7"/>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软化水系统</w:t>
            </w:r>
          </w:p>
        </w:tc>
        <w:tc>
          <w:tcPr>
            <w:tcW w:w="91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废树脂</w:t>
            </w:r>
          </w:p>
        </w:tc>
        <w:tc>
          <w:tcPr>
            <w:tcW w:w="55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48"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3466" w:type="dxa"/>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集中收集后在厂区</w:t>
            </w:r>
            <w:r>
              <w:rPr>
                <w:rFonts w:ascii="Times New Roman" w:eastAsiaTheme="minorEastAsia"/>
                <w:color w:val="000000" w:themeColor="text1"/>
                <w:sz w:val="21"/>
                <w:szCs w:val="21"/>
                <w14:textFill>
                  <w14:solidFill>
                    <w14:schemeClr w14:val="tx1"/>
                  </w14:solidFill>
                </w14:textFill>
              </w:rPr>
              <w:t>暂存，交由</w:t>
            </w:r>
            <w:r>
              <w:rPr>
                <w:rFonts w:hint="eastAsia" w:ascii="Times New Roman" w:eastAsiaTheme="minorEastAsia"/>
                <w:color w:val="000000" w:themeColor="text1"/>
                <w:sz w:val="21"/>
                <w:szCs w:val="21"/>
                <w14:textFill>
                  <w14:solidFill>
                    <w14:schemeClr w14:val="tx1"/>
                  </w14:solidFill>
                </w14:textFill>
              </w:rPr>
              <w:t>离子交换树脂生产企业回收</w:t>
            </w:r>
            <w:r>
              <w:rPr>
                <w:rFonts w:ascii="Times New Roman" w:eastAsiaTheme="minorEastAsia"/>
                <w:color w:val="000000" w:themeColor="text1"/>
                <w:sz w:val="21"/>
                <w:szCs w:val="21"/>
                <w14:textFill>
                  <w14:solidFill>
                    <w14:schemeClr w14:val="tx1"/>
                  </w14:solidFill>
                </w14:textFill>
              </w:rPr>
              <w:t>处理</w:t>
            </w:r>
          </w:p>
        </w:tc>
        <w:tc>
          <w:tcPr>
            <w:tcW w:w="5660" w:type="dxa"/>
            <w:gridSpan w:val="7"/>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除尘系统</w:t>
            </w:r>
          </w:p>
        </w:tc>
        <w:tc>
          <w:tcPr>
            <w:tcW w:w="91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废布袋</w:t>
            </w:r>
          </w:p>
        </w:tc>
        <w:tc>
          <w:tcPr>
            <w:tcW w:w="559"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948"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974条/2a</w:t>
            </w:r>
          </w:p>
        </w:tc>
        <w:tc>
          <w:tcPr>
            <w:tcW w:w="3466" w:type="dxa"/>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由厂家回收</w:t>
            </w:r>
          </w:p>
        </w:tc>
        <w:tc>
          <w:tcPr>
            <w:tcW w:w="5660" w:type="dxa"/>
            <w:gridSpan w:val="7"/>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废机油</w:t>
            </w:r>
          </w:p>
        </w:tc>
        <w:tc>
          <w:tcPr>
            <w:tcW w:w="91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废机油</w:t>
            </w:r>
          </w:p>
        </w:tc>
        <w:tc>
          <w:tcPr>
            <w:tcW w:w="55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危废</w:t>
            </w:r>
          </w:p>
        </w:tc>
        <w:tc>
          <w:tcPr>
            <w:tcW w:w="1948"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3466" w:type="dxa"/>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危废贮存库暂存，委托资质单位处置</w:t>
            </w:r>
          </w:p>
        </w:tc>
        <w:tc>
          <w:tcPr>
            <w:tcW w:w="5660" w:type="dxa"/>
            <w:gridSpan w:val="7"/>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《危险废物贮存污染控制标准》（</w:t>
            </w:r>
            <w:r>
              <w:rPr>
                <w:rFonts w:ascii="Times New Roman" w:eastAsiaTheme="minorEastAsia"/>
                <w:color w:val="000000" w:themeColor="text1"/>
                <w:sz w:val="21"/>
                <w:szCs w:val="21"/>
                <w14:textFill>
                  <w14:solidFill>
                    <w14:schemeClr w14:val="tx1"/>
                  </w14:solidFill>
                </w14:textFill>
              </w:rPr>
              <w:t>GB18597-20</w:t>
            </w:r>
            <w:r>
              <w:rPr>
                <w:rFonts w:hint="eastAsia" w:ascii="Times New Roman" w:eastAsiaTheme="minorEastAsia"/>
                <w:color w:val="000000" w:themeColor="text1"/>
                <w:sz w:val="21"/>
                <w:szCs w:val="21"/>
                <w14:textFill>
                  <w14:solidFill>
                    <w14:schemeClr w14:val="tx1"/>
                  </w14:solidFill>
                </w14:textFill>
              </w:rPr>
              <w:t>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33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2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脱硝系统</w:t>
            </w:r>
          </w:p>
        </w:tc>
        <w:tc>
          <w:tcPr>
            <w:tcW w:w="91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废催化剂</w:t>
            </w:r>
          </w:p>
        </w:tc>
        <w:tc>
          <w:tcPr>
            <w:tcW w:w="559"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危废</w:t>
            </w:r>
          </w:p>
        </w:tc>
        <w:tc>
          <w:tcPr>
            <w:tcW w:w="1948"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5t/3a</w:t>
            </w:r>
          </w:p>
        </w:tc>
        <w:tc>
          <w:tcPr>
            <w:tcW w:w="3466" w:type="dxa"/>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危废贮存库暂存，委托资质单位处置</w:t>
            </w:r>
          </w:p>
        </w:tc>
        <w:tc>
          <w:tcPr>
            <w:tcW w:w="5660" w:type="dxa"/>
            <w:gridSpan w:val="7"/>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《危险废物贮存污染控制标准》（</w:t>
            </w:r>
            <w:r>
              <w:rPr>
                <w:rFonts w:ascii="Times New Roman" w:eastAsiaTheme="minorEastAsia"/>
                <w:color w:val="000000" w:themeColor="text1"/>
                <w:sz w:val="21"/>
                <w:szCs w:val="21"/>
                <w14:textFill>
                  <w14:solidFill>
                    <w14:schemeClr w14:val="tx1"/>
                  </w14:solidFill>
                </w14:textFill>
              </w:rPr>
              <w:t>GB18597-20</w:t>
            </w:r>
            <w:r>
              <w:rPr>
                <w:rFonts w:hint="eastAsia" w:ascii="Times New Roman" w:eastAsiaTheme="minorEastAsia"/>
                <w:color w:val="000000" w:themeColor="text1"/>
                <w:sz w:val="21"/>
                <w:szCs w:val="21"/>
                <w14:textFill>
                  <w14:solidFill>
                    <w14:schemeClr w14:val="tx1"/>
                  </w14:solidFill>
                </w14:textFill>
              </w:rPr>
              <w:t>23）</w:t>
            </w:r>
          </w:p>
        </w:tc>
      </w:tr>
    </w:tbl>
    <w:p>
      <w:pPr>
        <w:ind w:firstLine="180"/>
        <w:rPr>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58" w:name="_Toc530995491"/>
      <w:bookmarkStart w:id="359" w:name="_Toc1480795"/>
      <w:bookmarkStart w:id="360" w:name="_Toc17704215"/>
      <w:bookmarkStart w:id="361" w:name="_Toc3212926"/>
      <w:bookmarkStart w:id="362" w:name="_Toc42197269"/>
      <w:bookmarkStart w:id="363" w:name="_Toc7270985"/>
      <w:bookmarkStart w:id="364" w:name="_Toc1480971"/>
      <w:bookmarkStart w:id="365" w:name="_Toc8020"/>
      <w:r>
        <w:rPr>
          <w:rFonts w:ascii="Times New Roman" w:hAnsi="Times New Roman" w:eastAsia="新宋体" w:cstheme="minorBidi"/>
          <w:color w:val="000000" w:themeColor="text1"/>
          <w:szCs w:val="24"/>
          <w:lang w:val="en-US" w:bidi="ar-SA"/>
          <w14:textFill>
            <w14:solidFill>
              <w14:schemeClr w14:val="tx1"/>
            </w14:solidFill>
          </w14:textFill>
        </w:rPr>
        <w:t>8.</w:t>
      </w:r>
      <w:r>
        <w:rPr>
          <w:rFonts w:hint="eastAsia" w:ascii="Times New Roman" w:hAnsi="Times New Roman" w:eastAsia="新宋体" w:cstheme="minorBidi"/>
          <w:color w:val="000000" w:themeColor="text1"/>
          <w:szCs w:val="24"/>
          <w:lang w:val="en-US" w:bidi="ar-SA"/>
          <w14:textFill>
            <w14:solidFill>
              <w14:schemeClr w14:val="tx1"/>
            </w14:solidFill>
          </w14:textFill>
        </w:rPr>
        <w:t>3</w:t>
      </w:r>
      <w:r>
        <w:rPr>
          <w:rFonts w:ascii="Times New Roman" w:hAnsi="Times New Roman" w:eastAsia="新宋体" w:cstheme="minorBidi"/>
          <w:color w:val="000000" w:themeColor="text1"/>
          <w:szCs w:val="24"/>
          <w:lang w:val="en-US" w:bidi="ar-SA"/>
          <w14:textFill>
            <w14:solidFill>
              <w14:schemeClr w14:val="tx1"/>
            </w14:solidFill>
          </w14:textFill>
        </w:rPr>
        <w:t>.</w:t>
      </w:r>
      <w:r>
        <w:rPr>
          <w:rFonts w:hint="eastAsia" w:ascii="Times New Roman" w:hAnsi="Times New Roman" w:eastAsia="新宋体" w:cstheme="minorBidi"/>
          <w:color w:val="000000" w:themeColor="text1"/>
          <w:szCs w:val="24"/>
          <w:lang w:val="en-US" w:bidi="ar-SA"/>
          <w14:textFill>
            <w14:solidFill>
              <w14:schemeClr w14:val="tx1"/>
            </w14:solidFill>
          </w14:textFill>
        </w:rPr>
        <w:t>2</w:t>
      </w:r>
      <w:r>
        <w:rPr>
          <w:rFonts w:ascii="Times New Roman" w:hAnsi="Times New Roman" w:eastAsia="新宋体" w:cstheme="minorBidi"/>
          <w:color w:val="000000" w:themeColor="text1"/>
          <w:szCs w:val="24"/>
          <w:lang w:val="en-US" w:bidi="ar-SA"/>
          <w14:textFill>
            <w14:solidFill>
              <w14:schemeClr w14:val="tx1"/>
            </w14:solidFill>
          </w14:textFill>
        </w:rPr>
        <w:t xml:space="preserve"> </w:t>
      </w:r>
      <w:r>
        <w:rPr>
          <w:rFonts w:hint="eastAsia" w:ascii="Times New Roman" w:hAnsi="Times New Roman" w:eastAsia="新宋体" w:cstheme="minorBidi"/>
          <w:color w:val="000000" w:themeColor="text1"/>
          <w:szCs w:val="24"/>
          <w:lang w:val="en-US" w:bidi="ar-SA"/>
          <w14:textFill>
            <w14:solidFill>
              <w14:schemeClr w14:val="tx1"/>
            </w14:solidFill>
          </w14:textFill>
        </w:rPr>
        <w:t>总量控制</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1、预测排放总量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改扩建后全厂锅炉烟囱</w:t>
      </w:r>
      <w:r>
        <w:rPr>
          <w:rFonts w:ascii="Times New Roman" w:hAnsi="Times New Roman" w:cs="Times New Roman" w:eastAsiaTheme="minorEastAsia"/>
          <w:color w:val="000000" w:themeColor="text1"/>
          <w:sz w:val="24"/>
          <w:szCs w:val="24"/>
          <w:lang w:val="en-US"/>
          <w14:textFill>
            <w14:solidFill>
              <w14:schemeClr w14:val="tx1"/>
            </w14:solidFill>
          </w14:textFill>
        </w:rPr>
        <w:t>污染物排放量及总量控制见表8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-2。</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表8</w:t>
      </w:r>
      <w:r>
        <w:rPr>
          <w:rFonts w:hint="eastAsia" w:ascii="Times New Roman" w:hAnsiTheme="minorEastAsia" w:eastAsiaTheme="minorEastAsia"/>
          <w:b/>
          <w:bCs/>
          <w:color w:val="000000" w:themeColor="text1"/>
          <w:szCs w:val="24"/>
          <w14:textFill>
            <w14:solidFill>
              <w14:schemeClr w14:val="tx1"/>
            </w14:solidFill>
          </w14:textFill>
        </w:rPr>
        <w:t>-3</w:t>
      </w:r>
      <w:r>
        <w:rPr>
          <w:rFonts w:ascii="Times New Roman" w:hAnsiTheme="minorEastAsia" w:eastAsiaTheme="minorEastAsia"/>
          <w:b/>
          <w:bCs/>
          <w:color w:val="000000" w:themeColor="text1"/>
          <w:szCs w:val="24"/>
          <w14:textFill>
            <w14:solidFill>
              <w14:schemeClr w14:val="tx1"/>
            </w14:solidFill>
          </w14:textFill>
        </w:rPr>
        <w:t>-2 本项目改扩建后烟囱预测污染物排放总量一览表</w:t>
      </w:r>
    </w:p>
    <w:tbl>
      <w:tblPr>
        <w:tblStyle w:val="70"/>
        <w:tblW w:w="838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97"/>
        <w:gridCol w:w="41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419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41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本工程排放量（t/a）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p>
        </w:tc>
        <w:tc>
          <w:tcPr>
            <w:tcW w:w="41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0.862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二氧化硫</w:t>
            </w:r>
          </w:p>
        </w:tc>
        <w:tc>
          <w:tcPr>
            <w:tcW w:w="41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5.143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氮氧化物</w:t>
            </w:r>
          </w:p>
        </w:tc>
        <w:tc>
          <w:tcPr>
            <w:tcW w:w="41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9.479</w:t>
            </w:r>
          </w:p>
        </w:tc>
      </w:tr>
    </w:tbl>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2、核定排放总量</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根据《排污许可证申请与核发技术规范 锅炉》（HJ953-2018）可知本项目采用经验估算法</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ind w:firstLine="180"/>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inline distT="0" distB="0" distL="0" distR="0">
            <wp:extent cx="5267325" cy="360997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5267325" cy="3609975"/>
                    </a:xfrm>
                    <a:prstGeom prst="rect">
                      <a:avLst/>
                    </a:prstGeom>
                    <a:noFill/>
                    <a:ln>
                      <a:noFill/>
                    </a:ln>
                  </pic:spPr>
                </pic:pic>
              </a:graphicData>
            </a:graphic>
          </wp:inline>
        </w:drawing>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本项目烟煤的热值为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18.08</w:t>
      </w:r>
      <w:r>
        <w:rPr>
          <w:rFonts w:ascii="Times New Roman" w:hAnsi="Times New Roman" w:cs="Times New Roman" w:eastAsiaTheme="minorEastAsia"/>
          <w:color w:val="000000" w:themeColor="text1"/>
          <w:sz w:val="24"/>
          <w:szCs w:val="24"/>
          <w:lang w:val="en-US"/>
          <w14:textFill>
            <w14:solidFill>
              <w14:schemeClr w14:val="tx1"/>
            </w14:solidFill>
          </w14:textFill>
        </w:rPr>
        <w:t>MJ/kg，Qnet,ar=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18.08</w:t>
      </w:r>
      <w:r>
        <w:rPr>
          <w:rFonts w:ascii="Times New Roman" w:hAnsi="Times New Roman" w:cs="Times New Roman" w:eastAsiaTheme="minorEastAsia"/>
          <w:color w:val="000000" w:themeColor="text1"/>
          <w:sz w:val="24"/>
          <w:szCs w:val="24"/>
          <w:lang w:val="en-US"/>
          <w14:textFill>
            <w14:solidFill>
              <w14:schemeClr w14:val="tx1"/>
            </w14:solidFill>
          </w14:textFill>
        </w:rPr>
        <w:t>MJ/kg</w:t>
      </w:r>
      <w:r>
        <w:rPr>
          <w:rFonts w:hint="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12.54MJ/kg</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本项目烟煤的干燥无灰基挥发分（％）Vdaf =</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23.9</w:t>
      </w:r>
      <w:r>
        <w:rPr>
          <w:rFonts w:ascii="Times New Roman" w:hAnsi="Times New Roman" w:cs="Times New Roman" w:eastAsiaTheme="minorEastAsia"/>
          <w:color w:val="000000" w:themeColor="text1"/>
          <w:sz w:val="24"/>
          <w:szCs w:val="24"/>
          <w:lang w:val="en-US"/>
          <w14:textFill>
            <w14:solidFill>
              <w14:schemeClr w14:val="tx1"/>
            </w14:solidFill>
          </w14:textFill>
        </w:rPr>
        <w:t>％≥15％</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其本项目基准烟气量计算如下：</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Vgy=0.411Qnet,ar+0.918=0.411×</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18.08</w:t>
      </w:r>
      <w:r>
        <w:rPr>
          <w:rFonts w:ascii="Times New Roman" w:hAnsi="Times New Roman" w:cs="Times New Roman" w:eastAsiaTheme="minorEastAsia"/>
          <w:color w:val="000000" w:themeColor="text1"/>
          <w:sz w:val="24"/>
          <w:szCs w:val="24"/>
          <w:lang w:val="en-US"/>
          <w14:textFill>
            <w14:solidFill>
              <w14:schemeClr w14:val="tx1"/>
            </w14:solidFill>
          </w14:textFill>
        </w:rPr>
        <w:t>MJ/kg+0.918=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8.349</w:t>
      </w:r>
      <w:r>
        <w:rPr>
          <w:rFonts w:ascii="Times New Roman" w:hAnsi="Times New Roman" w:cs="Times New Roman" w:eastAsiaTheme="minorEastAsia"/>
          <w:color w:val="000000" w:themeColor="text1"/>
          <w:sz w:val="24"/>
          <w:szCs w:val="24"/>
          <w:lang w:val="en-US"/>
          <w14:textFill>
            <w14:solidFill>
              <w14:schemeClr w14:val="tx1"/>
            </w14:solidFill>
          </w14:textFill>
        </w:rPr>
        <w:t>Nm</w:t>
      </w:r>
      <w:r>
        <w:rPr>
          <w:rFonts w:ascii="Times New Roman" w:hAnsi="Times New Roman" w:cs="Times New Roman" w:eastAsiaTheme="minorEastAsia"/>
          <w:color w:val="000000" w:themeColor="text1"/>
          <w:kern w:val="0"/>
          <w:sz w:val="21"/>
          <w:szCs w:val="21"/>
          <w:vertAlign w:val="superscript"/>
          <w:lang w:val="en-US" w:bidi="ar-SA"/>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/kg</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drawing>
          <wp:anchor distT="0" distB="0" distL="114300" distR="114300" simplePos="0" relativeHeight="251743232" behindDoc="0" locked="0" layoutInCell="1" allowOverlap="1">
            <wp:simplePos x="0" y="0"/>
            <wp:positionH relativeFrom="column">
              <wp:posOffset>304800</wp:posOffset>
            </wp:positionH>
            <wp:positionV relativeFrom="paragraph">
              <wp:posOffset>-565150</wp:posOffset>
            </wp:positionV>
            <wp:extent cx="3171825" cy="819150"/>
            <wp:effectExtent l="0" t="0" r="9525" b="0"/>
            <wp:wrapNone/>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3171825" cy="819150"/>
                    </a:xfrm>
                    <a:prstGeom prst="rect">
                      <a:avLst/>
                    </a:prstGeom>
                    <a:noFill/>
                    <a:ln>
                      <a:noFill/>
                    </a:ln>
                  </pic:spPr>
                </pic:pic>
              </a:graphicData>
            </a:graphic>
          </wp:anchor>
        </w:drawing>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drawing>
          <wp:anchor distT="0" distB="0" distL="114300" distR="114300" simplePos="0" relativeHeight="251744256" behindDoc="0" locked="0" layoutInCell="1" allowOverlap="1">
            <wp:simplePos x="0" y="0"/>
            <wp:positionH relativeFrom="column">
              <wp:posOffset>304800</wp:posOffset>
            </wp:positionH>
            <wp:positionV relativeFrom="paragraph">
              <wp:posOffset>-1638935</wp:posOffset>
            </wp:positionV>
            <wp:extent cx="5267325" cy="1895475"/>
            <wp:effectExtent l="0" t="0" r="9525" b="9525"/>
            <wp:wrapNone/>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5267325" cy="1895475"/>
                    </a:xfrm>
                    <a:prstGeom prst="rect">
                      <a:avLst/>
                    </a:prstGeom>
                    <a:noFill/>
                    <a:ln>
                      <a:noFill/>
                    </a:ln>
                  </pic:spPr>
                </pic:pic>
              </a:graphicData>
            </a:graphic>
          </wp:anchor>
        </w:drawing>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bidi="ar-SA"/>
          <w14:textFill>
            <w14:solidFill>
              <w14:schemeClr w14:val="tx1"/>
            </w14:solidFill>
          </w14:textFill>
        </w:rPr>
        <w:drawing>
          <wp:inline distT="0" distB="0" distL="0" distR="0">
            <wp:extent cx="5267325" cy="2095500"/>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5267325" cy="2095500"/>
                    </a:xfrm>
                    <a:prstGeom prst="rect">
                      <a:avLst/>
                    </a:prstGeom>
                    <a:noFill/>
                    <a:ln>
                      <a:noFill/>
                    </a:ln>
                  </pic:spPr>
                </pic:pic>
              </a:graphicData>
            </a:graphic>
          </wp:inline>
        </w:drawing>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C为废气污染物许可排放浓度限值（毫克/立方米）。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本计算中采取《关于印发&lt;全面实施燃煤电厂超低排放和节能改造工作方案&gt;的通知》（环发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、35mg/m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V为基准排气量。（根据《排污许可证申请与核发技术规范-锅炉》，本项目每千克燃煤产生</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8.349</w:t>
      </w:r>
      <w:r>
        <w:rPr>
          <w:rFonts w:ascii="Times New Roman" w:hAnsi="Times New Roman" w:cs="Times New Roman" w:eastAsiaTheme="minorEastAsia"/>
          <w:color w:val="000000" w:themeColor="text1"/>
          <w:sz w:val="24"/>
          <w:szCs w:val="24"/>
          <w:lang w:val="en-US"/>
          <w14:textFill>
            <w14:solidFill>
              <w14:schemeClr w14:val="tx1"/>
            </w14:solidFill>
          </w14:textFill>
        </w:rPr>
        <w:t>立方米烟气）</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R为设计燃料用量（吨/年）；</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D（SO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8.349</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42017</w:t>
      </w:r>
      <w:r>
        <w:rPr>
          <w:rFonts w:ascii="Times New Roman" w:hAnsi="Times New Roman" w:cs="Times New Roman" w:eastAsiaTheme="minorEastAsia"/>
          <w:color w:val="000000" w:themeColor="text1"/>
          <w:sz w:val="24"/>
          <w:szCs w:val="24"/>
          <w:lang w:val="en-US"/>
          <w14:textFill>
            <w14:solidFill>
              <w14:schemeClr w14:val="tx1"/>
            </w14:solidFill>
          </w14:textFill>
        </w:rPr>
        <w:t>×0.8×10</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-6</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9.822</w:t>
      </w:r>
      <w:r>
        <w:rPr>
          <w:rFonts w:ascii="Times New Roman" w:hAnsi="Times New Roman" w:cs="Times New Roman" w:eastAsiaTheme="minorEastAsia"/>
          <w:color w:val="000000" w:themeColor="text1"/>
          <w:sz w:val="24"/>
          <w:szCs w:val="24"/>
          <w:lang w:val="en-US"/>
          <w14:textFill>
            <w14:solidFill>
              <w14:schemeClr w14:val="tx1"/>
            </w14:solidFill>
          </w14:textFill>
        </w:rPr>
        <w:t>吨</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D（NOx）=</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5</w:t>
      </w:r>
      <w:r>
        <w:rPr>
          <w:rFonts w:ascii="Times New Roman" w:hAnsi="Times New Roman" w:cs="Times New Roman" w:eastAsiaTheme="minorEastAsia"/>
          <w:color w:val="000000" w:themeColor="text1"/>
          <w:sz w:val="24"/>
          <w:szCs w:val="24"/>
          <w:lang w:val="en-US"/>
          <w14:textFill>
            <w14:solidFill>
              <w14:schemeClr w14:val="tx1"/>
            </w14:solidFill>
          </w14:textFill>
        </w:rPr>
        <w:t>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8.349</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42017</w:t>
      </w:r>
      <w:r>
        <w:rPr>
          <w:rFonts w:ascii="Times New Roman" w:hAnsi="Times New Roman" w:cs="Times New Roman" w:eastAsiaTheme="minorEastAsia"/>
          <w:color w:val="000000" w:themeColor="text1"/>
          <w:sz w:val="24"/>
          <w:szCs w:val="24"/>
          <w:lang w:val="en-US"/>
          <w14:textFill>
            <w14:solidFill>
              <w14:schemeClr w14:val="tx1"/>
            </w14:solidFill>
          </w14:textFill>
        </w:rPr>
        <w:t>×1×10</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-6</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17.540</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吨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D（颗粒物）=</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w:t>
      </w:r>
      <w:r>
        <w:rPr>
          <w:rFonts w:ascii="Times New Roman" w:hAnsi="Times New Roman" w:cs="Times New Roman" w:eastAsiaTheme="minorEastAsia"/>
          <w:color w:val="000000" w:themeColor="text1"/>
          <w:sz w:val="24"/>
          <w:szCs w:val="24"/>
          <w:lang w:val="en-US"/>
          <w14:textFill>
            <w14:solidFill>
              <w14:schemeClr w14:val="tx1"/>
            </w14:solidFill>
          </w14:textFill>
        </w:rPr>
        <w:t>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8.349</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42017</w:t>
      </w:r>
      <w:r>
        <w:rPr>
          <w:rFonts w:ascii="Times New Roman" w:hAnsi="Times New Roman" w:cs="Times New Roman" w:eastAsiaTheme="minorEastAsia"/>
          <w:color w:val="000000" w:themeColor="text1"/>
          <w:sz w:val="24"/>
          <w:szCs w:val="24"/>
          <w:lang w:val="en-US"/>
          <w14:textFill>
            <w14:solidFill>
              <w14:schemeClr w14:val="tx1"/>
            </w14:solidFill>
          </w14:textFill>
        </w:rPr>
        <w:t>×1×10</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-6</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3.508</w:t>
      </w:r>
      <w:r>
        <w:rPr>
          <w:rFonts w:ascii="Times New Roman" w:hAnsi="Times New Roman" w:cs="Times New Roman" w:eastAsiaTheme="minorEastAsia"/>
          <w:color w:val="000000" w:themeColor="text1"/>
          <w:sz w:val="24"/>
          <w:szCs w:val="24"/>
          <w:lang w:val="en-US"/>
          <w14:textFill>
            <w14:solidFill>
              <w14:schemeClr w14:val="tx1"/>
            </w14:solidFill>
          </w14:textFill>
        </w:rPr>
        <w:t xml:space="preserve">吨 </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执行《关于印发&lt;全面实施燃煤电厂超低排放和节能改造工作方案&gt;的通知》（环发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、35mg/m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）的锅炉废气污染物许可排放量依据《排污许可证申请与核发技术规范锅炉》（HJ953-2018）核定可知，本项目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改扩建完成后全厂</w:t>
      </w:r>
      <w:r>
        <w:rPr>
          <w:rFonts w:ascii="Times New Roman" w:hAnsi="Times New Roman" w:cs="Times New Roman" w:eastAsiaTheme="minorEastAsia"/>
          <w:color w:val="000000" w:themeColor="text1"/>
          <w:sz w:val="24"/>
          <w:szCs w:val="24"/>
          <w:lang w:val="en-US"/>
          <w14:textFill>
            <w14:solidFill>
              <w14:schemeClr w14:val="tx1"/>
            </w14:solidFill>
          </w14:textFill>
        </w:rPr>
        <w:t>锅炉大气污染物排放总量限值为 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9.822</w:t>
      </w:r>
      <w:r>
        <w:rPr>
          <w:rFonts w:ascii="Times New Roman" w:hAnsi="Times New Roman" w:cs="Times New Roman" w:eastAsiaTheme="minorEastAsia"/>
          <w:color w:val="000000" w:themeColor="text1"/>
          <w:sz w:val="24"/>
          <w:szCs w:val="24"/>
          <w:lang w:val="en-US"/>
          <w14:textFill>
            <w14:solidFill>
              <w14:schemeClr w14:val="tx1"/>
            </w14:solidFill>
          </w14:textFill>
        </w:rPr>
        <w:t>t/a，NOx 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17.540</w:t>
      </w:r>
      <w:r>
        <w:rPr>
          <w:rFonts w:ascii="Times New Roman" w:hAnsi="Times New Roman" w:cs="Times New Roman" w:eastAsiaTheme="minorEastAsia"/>
          <w:color w:val="000000" w:themeColor="text1"/>
          <w:sz w:val="24"/>
          <w:szCs w:val="24"/>
          <w:lang w:val="en-US"/>
          <w14:textFill>
            <w14:solidFill>
              <w14:schemeClr w14:val="tx1"/>
            </w14:solidFill>
          </w14:textFill>
        </w:rPr>
        <w:t>t/a，颗粒物：</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 xml:space="preserve">3.508 </w:t>
      </w:r>
      <w:r>
        <w:rPr>
          <w:rFonts w:ascii="Times New Roman" w:hAnsi="Times New Roman" w:cs="Times New Roman" w:eastAsiaTheme="minorEastAsia"/>
          <w:color w:val="000000" w:themeColor="text1"/>
          <w:sz w:val="24"/>
          <w:szCs w:val="24"/>
          <w:lang w:val="en-US"/>
          <w14:textFill>
            <w14:solidFill>
              <w14:schemeClr w14:val="tx1"/>
            </w14:solidFill>
          </w14:textFill>
        </w:rPr>
        <w:t>t/a；</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改扩建完成后全厂</w:t>
      </w:r>
      <w:r>
        <w:rPr>
          <w:rFonts w:ascii="Times New Roman" w:hAnsi="Times New Roman" w:cs="Times New Roman" w:eastAsiaTheme="minorEastAsia"/>
          <w:color w:val="000000" w:themeColor="text1"/>
          <w:sz w:val="24"/>
          <w:szCs w:val="24"/>
          <w:lang w:val="en-US"/>
          <w14:textFill>
            <w14:solidFill>
              <w14:schemeClr w14:val="tx1"/>
            </w14:solidFill>
          </w14:textFill>
        </w:rPr>
        <w:t>锅炉大气污染物排放总量</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小于企业现有污染物排放总量，无需额外申请污染物排放总量。</w:t>
      </w:r>
    </w:p>
    <w:p>
      <w:pPr>
        <w:pStyle w:val="89"/>
        <w:ind w:firstLine="180"/>
        <w:rPr>
          <w:color w:val="000000" w:themeColor="text1"/>
          <w:lang w:val="en-US"/>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表8</w:t>
      </w:r>
      <w:r>
        <w:rPr>
          <w:rFonts w:hint="eastAsia" w:ascii="Times New Roman" w:hAnsiTheme="minorEastAsia" w:eastAsiaTheme="minorEastAsia"/>
          <w:b/>
          <w:bCs/>
          <w:color w:val="000000" w:themeColor="text1"/>
          <w:szCs w:val="24"/>
          <w14:textFill>
            <w14:solidFill>
              <w14:schemeClr w14:val="tx1"/>
            </w14:solidFill>
          </w14:textFill>
        </w:rPr>
        <w:t>-3</w:t>
      </w:r>
      <w:r>
        <w:rPr>
          <w:rFonts w:ascii="Times New Roman" w:hAnsiTheme="minorEastAsia" w:eastAsiaTheme="minorEastAsia"/>
          <w:b/>
          <w:bCs/>
          <w:color w:val="000000" w:themeColor="text1"/>
          <w:szCs w:val="24"/>
          <w14:textFill>
            <w14:solidFill>
              <w14:schemeClr w14:val="tx1"/>
            </w14:solidFill>
          </w14:textFill>
        </w:rPr>
        <w:t>-3 本项目</w:t>
      </w:r>
      <w:r>
        <w:rPr>
          <w:rFonts w:hint="eastAsia" w:ascii="Times New Roman" w:hAnsiTheme="minorEastAsia" w:eastAsiaTheme="minorEastAsia"/>
          <w:b/>
          <w:bCs/>
          <w:color w:val="000000" w:themeColor="text1"/>
          <w:szCs w:val="24"/>
          <w14:textFill>
            <w14:solidFill>
              <w14:schemeClr w14:val="tx1"/>
            </w14:solidFill>
          </w14:textFill>
        </w:rPr>
        <w:t>全厂</w:t>
      </w:r>
      <w:r>
        <w:rPr>
          <w:rFonts w:ascii="Times New Roman" w:hAnsiTheme="minorEastAsia" w:eastAsiaTheme="minorEastAsia"/>
          <w:b/>
          <w:bCs/>
          <w:color w:val="000000" w:themeColor="text1"/>
          <w:szCs w:val="24"/>
          <w14:textFill>
            <w14:solidFill>
              <w14:schemeClr w14:val="tx1"/>
            </w14:solidFill>
          </w14:textFill>
        </w:rPr>
        <w:t>核定排放总量一览表</w:t>
      </w:r>
    </w:p>
    <w:tbl>
      <w:tblPr>
        <w:tblStyle w:val="70"/>
        <w:tblW w:w="838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97"/>
        <w:gridCol w:w="41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419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41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本工程</w:t>
            </w:r>
            <w:r>
              <w:rPr>
                <w:rFonts w:hint="eastAsia" w:ascii="Times New Roman" w:eastAsiaTheme="minorEastAsia"/>
                <w:color w:val="000000" w:themeColor="text1"/>
                <w:sz w:val="21"/>
                <w:szCs w:val="21"/>
                <w14:textFill>
                  <w14:solidFill>
                    <w14:schemeClr w14:val="tx1"/>
                  </w14:solidFill>
                </w14:textFill>
              </w:rPr>
              <w:t>核定</w:t>
            </w:r>
            <w:r>
              <w:rPr>
                <w:rFonts w:ascii="Times New Roman" w:eastAsiaTheme="minorEastAsia"/>
                <w:color w:val="000000" w:themeColor="text1"/>
                <w:sz w:val="21"/>
                <w:szCs w:val="21"/>
                <w14:textFill>
                  <w14:solidFill>
                    <w14:schemeClr w14:val="tx1"/>
                  </w14:solidFill>
                </w14:textFill>
              </w:rPr>
              <w:t>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p>
        </w:tc>
        <w:tc>
          <w:tcPr>
            <w:tcW w:w="41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二氧化硫</w:t>
            </w:r>
          </w:p>
        </w:tc>
        <w:tc>
          <w:tcPr>
            <w:tcW w:w="41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9.822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197"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氮氧化物</w:t>
            </w:r>
          </w:p>
        </w:tc>
        <w:tc>
          <w:tcPr>
            <w:tcW w:w="418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17.540</w:t>
            </w:r>
          </w:p>
        </w:tc>
      </w:tr>
    </w:tbl>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bookmarkStart w:id="366" w:name="_Toc162605202"/>
      <w:r>
        <w:rPr>
          <w:rFonts w:ascii="Times New Roman" w:hAnsiTheme="minorEastAsia" w:eastAsiaTheme="minorEastAsia"/>
          <w:b/>
          <w:bCs/>
          <w:color w:val="000000" w:themeColor="text1"/>
          <w:szCs w:val="24"/>
          <w14:textFill>
            <w14:solidFill>
              <w14:schemeClr w14:val="tx1"/>
            </w14:solidFill>
          </w14:textFill>
        </w:rPr>
        <w:t>表8</w:t>
      </w:r>
      <w:r>
        <w:rPr>
          <w:rFonts w:hint="eastAsia" w:ascii="Times New Roman" w:hAnsiTheme="minorEastAsia" w:eastAsiaTheme="minorEastAsia"/>
          <w:b/>
          <w:bCs/>
          <w:color w:val="000000" w:themeColor="text1"/>
          <w:szCs w:val="24"/>
          <w14:textFill>
            <w14:solidFill>
              <w14:schemeClr w14:val="tx1"/>
            </w14:solidFill>
          </w14:textFill>
        </w:rPr>
        <w:t>-3</w:t>
      </w:r>
      <w:r>
        <w:rPr>
          <w:rFonts w:ascii="Times New Roman" w:hAnsiTheme="minorEastAsia" w:eastAsiaTheme="minorEastAsia"/>
          <w:b/>
          <w:bCs/>
          <w:color w:val="000000" w:themeColor="text1"/>
          <w:szCs w:val="24"/>
          <w14:textFill>
            <w14:solidFill>
              <w14:schemeClr w14:val="tx1"/>
            </w14:solidFill>
          </w14:textFill>
        </w:rPr>
        <w:t>-</w:t>
      </w:r>
      <w:r>
        <w:rPr>
          <w:rFonts w:hint="eastAsia" w:ascii="Times New Roman" w:hAnsiTheme="minorEastAsia" w:eastAsiaTheme="minorEastAsia"/>
          <w:b/>
          <w:bCs/>
          <w:color w:val="000000" w:themeColor="text1"/>
          <w:szCs w:val="24"/>
          <w14:textFill>
            <w14:solidFill>
              <w14:schemeClr w14:val="tx1"/>
            </w14:solidFill>
          </w14:textFill>
        </w:rPr>
        <w:t>4</w:t>
      </w:r>
      <w:r>
        <w:rPr>
          <w:rFonts w:ascii="Times New Roman" w:hAnsiTheme="minorEastAsia" w:eastAsiaTheme="minorEastAsia"/>
          <w:b/>
          <w:bCs/>
          <w:color w:val="000000" w:themeColor="text1"/>
          <w:szCs w:val="24"/>
          <w14:textFill>
            <w14:solidFill>
              <w14:schemeClr w14:val="tx1"/>
            </w14:solidFill>
          </w14:textFill>
        </w:rPr>
        <w:t xml:space="preserve"> 本项目</w:t>
      </w:r>
      <w:r>
        <w:rPr>
          <w:rFonts w:hint="eastAsia" w:ascii="Times New Roman" w:hAnsiTheme="minorEastAsia" w:eastAsiaTheme="minorEastAsia"/>
          <w:b/>
          <w:bCs/>
          <w:color w:val="000000" w:themeColor="text1"/>
          <w:szCs w:val="24"/>
          <w14:textFill>
            <w14:solidFill>
              <w14:schemeClr w14:val="tx1"/>
            </w14:solidFill>
          </w14:textFill>
        </w:rPr>
        <w:t>总量核定</w:t>
      </w:r>
      <w:r>
        <w:rPr>
          <w:rFonts w:ascii="Times New Roman" w:hAnsiTheme="minorEastAsia" w:eastAsiaTheme="minorEastAsia"/>
          <w:b/>
          <w:bCs/>
          <w:color w:val="000000" w:themeColor="text1"/>
          <w:szCs w:val="24"/>
          <w14:textFill>
            <w14:solidFill>
              <w14:schemeClr w14:val="tx1"/>
            </w14:solidFill>
          </w14:textFill>
        </w:rPr>
        <w:t>“三本帐”一览表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35"/>
        <w:gridCol w:w="2129"/>
        <w:gridCol w:w="2129"/>
        <w:gridCol w:w="21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项目</w:t>
            </w:r>
          </w:p>
        </w:tc>
        <w:tc>
          <w:tcPr>
            <w:tcW w:w="12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现有工程核定</w:t>
            </w:r>
            <w:r>
              <w:rPr>
                <w:rFonts w:ascii="Times New Roman" w:eastAsiaTheme="minorEastAsia"/>
                <w:color w:val="000000" w:themeColor="text1"/>
                <w:sz w:val="21"/>
                <w:szCs w:val="21"/>
                <w14:textFill>
                  <w14:solidFill>
                    <w14:schemeClr w14:val="tx1"/>
                  </w14:solidFill>
                </w14:textFill>
              </w:rPr>
              <w:t>排放量（t/a）</w:t>
            </w:r>
          </w:p>
        </w:tc>
        <w:tc>
          <w:tcPr>
            <w:tcW w:w="12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本工程</w:t>
            </w:r>
            <w:r>
              <w:rPr>
                <w:rFonts w:hint="eastAsia" w:ascii="Times New Roman" w:eastAsiaTheme="minorEastAsia"/>
                <w:color w:val="000000" w:themeColor="text1"/>
                <w:sz w:val="21"/>
                <w:szCs w:val="21"/>
                <w14:textFill>
                  <w14:solidFill>
                    <w14:schemeClr w14:val="tx1"/>
                  </w14:solidFill>
                </w14:textFill>
              </w:rPr>
              <w:t>核定</w:t>
            </w:r>
            <w:r>
              <w:rPr>
                <w:rFonts w:ascii="Times New Roman" w:eastAsiaTheme="minorEastAsia"/>
                <w:color w:val="000000" w:themeColor="text1"/>
                <w:sz w:val="21"/>
                <w:szCs w:val="21"/>
                <w14:textFill>
                  <w14:solidFill>
                    <w14:schemeClr w14:val="tx1"/>
                  </w14:solidFill>
                </w14:textFill>
              </w:rPr>
              <w:t>排放量（t/a）</w:t>
            </w:r>
          </w:p>
        </w:tc>
        <w:tc>
          <w:tcPr>
            <w:tcW w:w="12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变化量</w:t>
            </w:r>
            <w:r>
              <w:rPr>
                <w:rFonts w:ascii="Times New Roman" w:eastAsiaTheme="minorEastAsia"/>
                <w:color w:val="000000" w:themeColor="text1"/>
                <w:sz w:val="21"/>
                <w:szCs w:val="21"/>
                <w14:textFill>
                  <w14:solidFill>
                    <w14:schemeClr w14:val="tx1"/>
                  </w14:solidFill>
                </w14:textFill>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p>
        </w:tc>
        <w:tc>
          <w:tcPr>
            <w:tcW w:w="12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41.18</w:t>
            </w:r>
          </w:p>
        </w:tc>
        <w:tc>
          <w:tcPr>
            <w:tcW w:w="12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3.508</w:t>
            </w:r>
          </w:p>
        </w:tc>
        <w:tc>
          <w:tcPr>
            <w:tcW w:w="12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-37.672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二氧化硫</w:t>
            </w:r>
          </w:p>
        </w:tc>
        <w:tc>
          <w:tcPr>
            <w:tcW w:w="12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164.74</w:t>
            </w:r>
          </w:p>
        </w:tc>
        <w:tc>
          <w:tcPr>
            <w:tcW w:w="12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9.822</w:t>
            </w:r>
          </w:p>
        </w:tc>
        <w:tc>
          <w:tcPr>
            <w:tcW w:w="12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-154.918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53"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氮氧化物</w:t>
            </w:r>
          </w:p>
        </w:tc>
        <w:tc>
          <w:tcPr>
            <w:tcW w:w="12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205.92</w:t>
            </w:r>
          </w:p>
        </w:tc>
        <w:tc>
          <w:tcPr>
            <w:tcW w:w="12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17.540</w:t>
            </w:r>
          </w:p>
        </w:tc>
        <w:tc>
          <w:tcPr>
            <w:tcW w:w="1249"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-188.38</w:t>
            </w:r>
          </w:p>
        </w:tc>
      </w:tr>
    </w:tbl>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r>
        <w:rPr>
          <w:rFonts w:ascii="Times New Roman" w:hAnsi="Times New Roman" w:cs="Times New Roman" w:eastAsiaTheme="minorEastAsia"/>
          <w:color w:val="000000" w:themeColor="text1"/>
          <w:szCs w:val="24"/>
          <w:lang w:val="en-US" w:bidi="ar-SA"/>
          <w14:textFill>
            <w14:solidFill>
              <w14:schemeClr w14:val="tx1"/>
            </w14:solidFill>
          </w14:textFill>
        </w:rPr>
        <w:t xml:space="preserve">8.4 </w:t>
      </w:r>
      <w:r>
        <w:rPr>
          <w:rFonts w:hint="eastAsia" w:ascii="Times New Roman" w:hAnsi="Times New Roman" w:cs="Times New Roman" w:eastAsiaTheme="minorEastAsia"/>
          <w:color w:val="000000" w:themeColor="text1"/>
          <w:szCs w:val="24"/>
          <w:lang w:val="en-US" w:bidi="ar-SA"/>
          <w14:textFill>
            <w14:solidFill>
              <w14:schemeClr w14:val="tx1"/>
            </w14:solidFill>
          </w14:textFill>
        </w:rPr>
        <w:t>与</w:t>
      </w:r>
      <w:r>
        <w:rPr>
          <w:rFonts w:ascii="Times New Roman" w:hAnsi="Times New Roman" w:cs="Times New Roman" w:eastAsiaTheme="minorEastAsia"/>
          <w:color w:val="000000" w:themeColor="text1"/>
          <w:szCs w:val="24"/>
          <w:lang w:val="en-US" w:bidi="ar-SA"/>
          <w14:textFill>
            <w14:solidFill>
              <w14:schemeClr w14:val="tx1"/>
            </w14:solidFill>
          </w14:textFill>
        </w:rPr>
        <w:t>排污许可证</w:t>
      </w:r>
      <w:bookmarkEnd w:id="358"/>
      <w:bookmarkEnd w:id="359"/>
      <w:bookmarkEnd w:id="360"/>
      <w:bookmarkEnd w:id="361"/>
      <w:bookmarkEnd w:id="362"/>
      <w:bookmarkEnd w:id="363"/>
      <w:bookmarkEnd w:id="364"/>
      <w:r>
        <w:rPr>
          <w:rFonts w:hint="eastAsia" w:ascii="Times New Roman" w:hAnsi="Times New Roman" w:cs="Times New Roman" w:eastAsiaTheme="minorEastAsia"/>
          <w:color w:val="000000" w:themeColor="text1"/>
          <w:szCs w:val="24"/>
          <w:lang w:val="en-US" w:bidi="ar-SA"/>
          <w14:textFill>
            <w14:solidFill>
              <w14:schemeClr w14:val="tx1"/>
            </w14:solidFill>
          </w14:textFill>
        </w:rPr>
        <w:t>制度衔接</w:t>
      </w:r>
      <w:bookmarkEnd w:id="366"/>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国务院办公厅关于印发控制污染物排放许可制实施方案的通知》〔2016〕81号，（九）分步实现排污许可全覆盖，按行业分步实现对固定污染源的全覆盖，率先对火电、造纸行业企业核发排污许可证，2017年完成《大气污染防治行动计划》和《水污染防治行动计划》重点行业及产能过剩行业企业排污许可证核发，2020年全国基本完成排污许可证核发。</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是供热锅炉项目，属被纳入排污许可管理的建设项目。在本次环境影响评价报告书中，按照污染源源强核算技术指南、环境影响评价要素导则、排污许可证申请与核发技术规范等技术文件，核定本项目的产排污环节、污染物种类及污染防治设施和措施，并根据《排污单位自行监测技术指南 火力发电及锅炉》制定了自行监测计划等相关内容。本项目已按照《排污许可证申请与核发技术规范 锅炉》（</w:t>
      </w:r>
      <w:r>
        <w:rPr>
          <w:rFonts w:ascii="Times New Roman" w:hAnsi="Times New Roman" w:cs="Times New Roman" w:eastAsiaTheme="minorEastAsia"/>
          <w:color w:val="000000" w:themeColor="text1"/>
          <w:sz w:val="24"/>
          <w:szCs w:val="24"/>
          <w:lang w:val="en-US"/>
          <w14:textFill>
            <w14:solidFill>
              <w14:schemeClr w14:val="tx1"/>
            </w14:solidFill>
          </w14:textFill>
        </w:rPr>
        <w:t>HJ953-2018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的要求核定了本项目污染物许可排放量，在本项目改扩建工程建成投运之前，应向生态环境主管部门申请排污许可证，并按照排污许可证要求进行排污，无证排污或不按证排污的，建设单位不得出具该项目验收合格的意见。</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367" w:name="_Toc162605203"/>
      <w:r>
        <w:rPr>
          <w:rFonts w:ascii="Times New Roman" w:hAnsi="Times New Roman" w:cs="Times New Roman" w:eastAsiaTheme="minorEastAsia"/>
          <w:color w:val="000000" w:themeColor="text1"/>
          <w:szCs w:val="24"/>
          <w:lang w:val="en-US" w:bidi="ar-SA"/>
          <w14:textFill>
            <w14:solidFill>
              <w14:schemeClr w14:val="tx1"/>
            </w14:solidFill>
          </w14:textFill>
        </w:rPr>
        <w:t>8.5 “三同时”竣工验收一览表</w:t>
      </w:r>
      <w:bookmarkEnd w:id="365"/>
      <w:bookmarkEnd w:id="367"/>
    </w:p>
    <w:p>
      <w:pPr>
        <w:pStyle w:val="26"/>
        <w:spacing w:line="500" w:lineRule="exact"/>
        <w:ind w:firstLine="480"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本项目建成后，其环保设施竣工验收内容详见表8-5-1。</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表8-5-1 本项目环保设施竣工验收一览表</w:t>
      </w:r>
    </w:p>
    <w:tbl>
      <w:tblPr>
        <w:tblStyle w:val="70"/>
        <w:tblW w:w="8787"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15" w:type="dxa"/>
          <w:left w:w="15" w:type="dxa"/>
          <w:bottom w:w="15" w:type="dxa"/>
          <w:right w:w="15" w:type="dxa"/>
        </w:tblCellMar>
      </w:tblPr>
      <w:tblGrid>
        <w:gridCol w:w="603"/>
        <w:gridCol w:w="925"/>
        <w:gridCol w:w="975"/>
        <w:gridCol w:w="2550"/>
        <w:gridCol w:w="1290"/>
        <w:gridCol w:w="2444"/>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exact"/>
        </w:trPr>
        <w:tc>
          <w:tcPr>
            <w:tcW w:w="60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验收要素</w:t>
            </w:r>
          </w:p>
        </w:tc>
        <w:tc>
          <w:tcPr>
            <w:tcW w:w="925"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w:t>
            </w:r>
          </w:p>
        </w:tc>
        <w:tc>
          <w:tcPr>
            <w:tcW w:w="975"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污染因子</w:t>
            </w:r>
          </w:p>
        </w:tc>
        <w:tc>
          <w:tcPr>
            <w:tcW w:w="3840" w:type="dxa"/>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验收内容</w:t>
            </w:r>
          </w:p>
        </w:tc>
        <w:tc>
          <w:tcPr>
            <w:tcW w:w="244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验收标准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397" w:hRule="exac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7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环保措施</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监测点位</w:t>
            </w:r>
          </w:p>
        </w:tc>
        <w:tc>
          <w:tcPr>
            <w:tcW w:w="244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c>
          <w:tcPr>
            <w:tcW w:w="60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废气</w:t>
            </w:r>
          </w:p>
        </w:tc>
        <w:tc>
          <w:tcPr>
            <w:tcW w:w="925"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70MW</w:t>
            </w:r>
            <w:r>
              <w:rPr>
                <w:rFonts w:ascii="Times New Roman" w:eastAsiaTheme="minorEastAsia"/>
                <w:color w:val="000000" w:themeColor="text1"/>
                <w:sz w:val="21"/>
                <w:szCs w:val="21"/>
                <w14:textFill>
                  <w14:solidFill>
                    <w14:schemeClr w14:val="tx1"/>
                  </w14:solidFill>
                </w14:textFill>
              </w:rPr>
              <w:t>锅炉烟气</w:t>
            </w: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烟气除尘采用袋式除尘器，除尘效率≥99.</w:t>
            </w:r>
            <w:r>
              <w:rPr>
                <w:rFonts w:hint="eastAsia" w:ascii="Times New Roman" w:eastAsiaTheme="minorEastAsia"/>
                <w:color w:val="000000" w:themeColor="text1"/>
                <w:sz w:val="21"/>
                <w:szCs w:val="21"/>
                <w14:textFill>
                  <w14:solidFill>
                    <w14:schemeClr w14:val="tx1"/>
                  </w14:solidFill>
                </w14:textFill>
              </w:rPr>
              <w:t>9</w:t>
            </w:r>
            <w:r>
              <w:rPr>
                <w:rFonts w:ascii="Times New Roman" w:eastAsiaTheme="minorEastAsia"/>
                <w:color w:val="000000" w:themeColor="text1"/>
                <w:sz w:val="21"/>
                <w:szCs w:val="21"/>
                <w14:textFill>
                  <w14:solidFill>
                    <w14:schemeClr w14:val="tx1"/>
                  </w14:solidFill>
                </w14:textFill>
              </w:rPr>
              <w:t>5%</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除尘器进出气口、烟道</w:t>
            </w:r>
          </w:p>
        </w:tc>
        <w:tc>
          <w:tcPr>
            <w:tcW w:w="244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《关于印发&lt;全面实施燃煤电厂超低排放和节能改造工作方案&gt;的通知》（环发 [2015]164号）要求，达到超低排放限值（在基准氧含量6%条件下，烟尘、SO</w:t>
            </w:r>
            <w:r>
              <w:rPr>
                <w:rFonts w:ascii="Times New Roman" w:eastAsiaTheme="minorEastAsia"/>
                <w:color w:val="000000" w:themeColor="text1"/>
                <w:sz w:val="21"/>
                <w:szCs w:val="21"/>
                <w:vertAlign w:val="subscript"/>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、NOx排放浓度分别不高于10mg/m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、35mg/m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、50mg/m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《锅炉大气污染物排放标准》（GB13271-2014）中表2 新建锅炉大气污染物排放浓度限值</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（汞及其化合物≤0.05mg/m</w:t>
            </w:r>
            <w:r>
              <w:rPr>
                <w:rFonts w:ascii="Times New Roman" w:eastAsiaTheme="minorEastAsia"/>
                <w:color w:val="000000" w:themeColor="text1"/>
                <w:sz w:val="21"/>
                <w:szCs w:val="21"/>
                <w:vertAlign w:val="superscript"/>
                <w14:textFill>
                  <w14:solidFill>
                    <w14:schemeClr w14:val="tx1"/>
                  </w14:solidFill>
                </w14:textFill>
              </w:rPr>
              <w:t>3</w:t>
            </w:r>
            <w:r>
              <w:rPr>
                <w:rFonts w:ascii="Times New Roman" w:eastAsiaTheme="minorEastAsia"/>
                <w:color w:val="000000" w:themeColor="text1"/>
                <w:sz w:val="21"/>
                <w:szCs w:val="21"/>
                <w14:textFill>
                  <w14:solidFill>
                    <w14:schemeClr w14:val="tx1"/>
                  </w14:solidFill>
                </w14:textFill>
              </w:rPr>
              <w:t>，</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格林曼黑度≤1级）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737" w:hRule="exac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w:t>
            </w:r>
            <w:r>
              <w:rPr>
                <w:rFonts w:ascii="Times New Roman" w:eastAsiaTheme="minorEastAsia"/>
                <w:color w:val="000000" w:themeColor="text1"/>
                <w:sz w:val="21"/>
                <w:szCs w:val="21"/>
                <w:vertAlign w:val="subscript"/>
                <w14:textFill>
                  <w14:solidFill>
                    <w14:schemeClr w14:val="tx1"/>
                  </w14:solidFill>
                </w14:textFill>
              </w:rPr>
              <w:t>2</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烟气脱硫采用湿式镁法脱硫，脱硫效率≥</w:t>
            </w:r>
            <w:r>
              <w:rPr>
                <w:rFonts w:hint="eastAsia" w:ascii="Times New Roman" w:eastAsiaTheme="minorEastAsia"/>
                <w:color w:val="000000" w:themeColor="text1"/>
                <w:sz w:val="21"/>
                <w:szCs w:val="21"/>
                <w14:textFill>
                  <w14:solidFill>
                    <w14:schemeClr w14:val="tx1"/>
                  </w14:solidFill>
                </w14:textFill>
              </w:rPr>
              <w:t>95</w:t>
            </w:r>
            <w:r>
              <w:rPr>
                <w:rFonts w:ascii="Times New Roman" w:eastAsiaTheme="minorEastAsia"/>
                <w:color w:val="000000" w:themeColor="text1"/>
                <w:sz w:val="21"/>
                <w:szCs w:val="21"/>
                <w14:textFill>
                  <w14:solidFill>
                    <w14:schemeClr w14:val="tx1"/>
                  </w14:solidFill>
                </w14:textFill>
              </w:rPr>
              <w:t>%</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脱硫塔烟气进出口，烟道</w:t>
            </w:r>
          </w:p>
        </w:tc>
        <w:tc>
          <w:tcPr>
            <w:tcW w:w="244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1183" w:hRule="exac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w:t>
            </w:r>
            <w:r>
              <w:rPr>
                <w:rFonts w:ascii="Times New Roman" w:eastAsiaTheme="minorEastAsia"/>
                <w:color w:val="000000" w:themeColor="text1"/>
                <w:sz w:val="21"/>
                <w:szCs w:val="21"/>
                <w:vertAlign w:val="subscript"/>
                <w14:textFill>
                  <w14:solidFill>
                    <w14:schemeClr w14:val="tx1"/>
                  </w14:solidFill>
                </w14:textFill>
              </w:rPr>
              <w:t>X</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烟气脱硝采用</w:t>
            </w:r>
            <w:r>
              <w:rPr>
                <w:rFonts w:hint="eastAsia" w:ascii="Times New Roman" w:eastAsiaTheme="minorEastAsia"/>
                <w:color w:val="000000" w:themeColor="text1"/>
                <w:sz w:val="21"/>
                <w:szCs w:val="21"/>
                <w14:textFill>
                  <w14:solidFill>
                    <w14:schemeClr w14:val="tx1"/>
                  </w14:solidFill>
                </w14:textFill>
              </w:rPr>
              <w:t>低氮燃烧和</w:t>
            </w:r>
            <w:r>
              <w:rPr>
                <w:rFonts w:ascii="Times New Roman" w:eastAsiaTheme="minorEastAsia"/>
                <w:color w:val="000000" w:themeColor="text1"/>
                <w:sz w:val="21"/>
                <w:szCs w:val="21"/>
                <w14:textFill>
                  <w14:solidFill>
                    <w14:schemeClr w14:val="tx1"/>
                  </w14:solidFill>
                </w14:textFill>
              </w:rPr>
              <w:t xml:space="preserve"> SNCR</w:t>
            </w:r>
            <w:r>
              <w:rPr>
                <w:rFonts w:hint="eastAsia" w:ascii="Times New Roman" w:eastAsiaTheme="minorEastAsia"/>
                <w:color w:val="000000" w:themeColor="text1"/>
                <w:sz w:val="21"/>
                <w:szCs w:val="21"/>
                <w14:textFill>
                  <w14:solidFill>
                    <w14:schemeClr w14:val="tx1"/>
                  </w14:solidFill>
                </w14:textFill>
              </w:rPr>
              <w:t>-SCR</w:t>
            </w:r>
            <w:r>
              <w:rPr>
                <w:rFonts w:ascii="Times New Roman" w:eastAsiaTheme="minorEastAsia"/>
                <w:color w:val="000000" w:themeColor="text1"/>
                <w:sz w:val="21"/>
                <w:szCs w:val="21"/>
                <w14:textFill>
                  <w14:solidFill>
                    <w14:schemeClr w14:val="tx1"/>
                  </w14:solidFill>
                </w14:textFill>
              </w:rPr>
              <w:t>工艺，脱硝效率≥</w:t>
            </w:r>
            <w:r>
              <w:rPr>
                <w:rFonts w:hint="eastAsia" w:ascii="Times New Roman" w:eastAsiaTheme="minorEastAsia"/>
                <w:color w:val="000000" w:themeColor="text1"/>
                <w:sz w:val="21"/>
                <w:szCs w:val="21"/>
                <w14:textFill>
                  <w14:solidFill>
                    <w14:schemeClr w14:val="tx1"/>
                  </w14:solidFill>
                </w14:textFill>
              </w:rPr>
              <w:t>80</w:t>
            </w:r>
            <w:r>
              <w:rPr>
                <w:rFonts w:ascii="Times New Roman" w:eastAsiaTheme="minorEastAsia"/>
                <w:color w:val="000000" w:themeColor="text1"/>
                <w:sz w:val="21"/>
                <w:szCs w:val="21"/>
                <w14:textFill>
                  <w14:solidFill>
                    <w14:schemeClr w14:val="tx1"/>
                  </w14:solidFill>
                </w14:textFill>
              </w:rPr>
              <w:t>%</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烟道</w:t>
            </w:r>
          </w:p>
        </w:tc>
        <w:tc>
          <w:tcPr>
            <w:tcW w:w="244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714" w:hRule="exac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汞及其化合物</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烟道</w:t>
            </w:r>
          </w:p>
        </w:tc>
        <w:tc>
          <w:tcPr>
            <w:tcW w:w="244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103" w:hRule="exac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烟气黑度</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烟道</w:t>
            </w:r>
          </w:p>
        </w:tc>
        <w:tc>
          <w:tcPr>
            <w:tcW w:w="244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2103" w:hRule="exac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氨（氨逃逸）</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烟道</w:t>
            </w:r>
          </w:p>
        </w:tc>
        <w:tc>
          <w:tcPr>
            <w:tcW w:w="24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脱硝过程中氨逃逸执行《火电厂烟气脱硝工程技术规范选择性催化还原法》（HJ562-2010）要求脱硝系统氨逃逸质量浓度应控制在2.5mg/m</w:t>
            </w:r>
            <w:r>
              <w:rPr>
                <w:rFonts w:hint="eastAsia" w:ascii="Times New Roman" w:eastAsiaTheme="minorEastAsia"/>
                <w:color w:val="000000" w:themeColor="text1"/>
                <w:sz w:val="21"/>
                <w:szCs w:val="21"/>
                <w:vertAlign w:val="superscript"/>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的要求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940" w:hRule="atLeas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烟囱</w:t>
            </w: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一根</w:t>
            </w:r>
            <w:r>
              <w:rPr>
                <w:rFonts w:hint="eastAsia" w:ascii="Times New Roman" w:eastAsiaTheme="minorEastAsia"/>
                <w:color w:val="000000" w:themeColor="text1"/>
                <w:sz w:val="21"/>
                <w:szCs w:val="21"/>
                <w14:textFill>
                  <w14:solidFill>
                    <w14:schemeClr w14:val="tx1"/>
                  </w14:solidFill>
                </w14:textFill>
              </w:rPr>
              <w:t>100m</w:t>
            </w:r>
            <w:r>
              <w:rPr>
                <w:rFonts w:ascii="Times New Roman" w:eastAsiaTheme="minorEastAsia"/>
                <w:color w:val="000000" w:themeColor="text1"/>
                <w:sz w:val="21"/>
                <w:szCs w:val="21"/>
                <w14:textFill>
                  <w14:solidFill>
                    <w14:schemeClr w14:val="tx1"/>
                  </w14:solidFill>
                </w14:textFill>
              </w:rPr>
              <w:t>高、出口内径</w:t>
            </w:r>
            <w:r>
              <w:rPr>
                <w:rFonts w:hint="eastAsia" w:ascii="Times New Roman" w:eastAsiaTheme="minorEastAsia"/>
                <w:color w:val="000000" w:themeColor="text1"/>
                <w:sz w:val="21"/>
                <w:szCs w:val="21"/>
                <w14:textFill>
                  <w14:solidFill>
                    <w14:schemeClr w14:val="tx1"/>
                  </w14:solidFill>
                </w14:textFill>
              </w:rPr>
              <w:t>3.0</w:t>
            </w:r>
            <w:r>
              <w:rPr>
                <w:rFonts w:ascii="Times New Roman" w:eastAsiaTheme="minorEastAsia"/>
                <w:color w:val="000000" w:themeColor="text1"/>
                <w:sz w:val="21"/>
                <w:szCs w:val="21"/>
                <w14:textFill>
                  <w14:solidFill>
                    <w14:schemeClr w14:val="tx1"/>
                  </w14:solidFill>
                </w14:textFill>
              </w:rPr>
              <w:t>m烟囱，</w:t>
            </w:r>
            <w:r>
              <w:rPr>
                <w:rFonts w:hint="eastAsia" w:ascii="Times New Roman" w:eastAsiaTheme="minorEastAsia"/>
                <w:color w:val="000000" w:themeColor="text1"/>
                <w:sz w:val="21"/>
                <w:szCs w:val="21"/>
                <w14:textFill>
                  <w14:solidFill>
                    <w14:schemeClr w14:val="tx1"/>
                  </w14:solidFill>
                </w14:textFill>
              </w:rPr>
              <w:t>脱硫烟道上</w:t>
            </w:r>
            <w:r>
              <w:rPr>
                <w:rFonts w:ascii="Times New Roman" w:eastAsiaTheme="minorEastAsia"/>
                <w:color w:val="000000" w:themeColor="text1"/>
                <w:sz w:val="21"/>
                <w:szCs w:val="21"/>
                <w14:textFill>
                  <w14:solidFill>
                    <w14:schemeClr w14:val="tx1"/>
                  </w14:solidFill>
                </w14:textFill>
              </w:rPr>
              <w:t>安装烟气在线监测系统</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24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737" w:hRule="atLeas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无组织</w:t>
            </w: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输煤栈桥侧面及屋面均用100mm厚金属保温墙板或屋面板封闭，输送皮带上方设有喷淋水管用于燃料干燥时的加湿。</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煤机室的各落煤点会产生煤尘扬尘，在碎煤机室设置2套布袋除尘器，除尘效率99%（每台布袋除尘器的风量3000m</w:t>
            </w:r>
            <w:r>
              <w:rPr>
                <w:rFonts w:hint="eastAsia" w:ascii="Times New Roman" w:eastAsiaTheme="minorEastAsia"/>
                <w:color w:val="000000" w:themeColor="text1"/>
                <w:sz w:val="21"/>
                <w:szCs w:val="21"/>
                <w:vertAlign w:val="superscript"/>
                <w14:textFill>
                  <w14:solidFill>
                    <w14:schemeClr w14:val="tx1"/>
                  </w14:solidFill>
                </w14:textFill>
              </w:rPr>
              <w:t>3</w:t>
            </w:r>
            <w:r>
              <w:rPr>
                <w:rFonts w:hint="eastAsia" w:ascii="Times New Roman" w:eastAsiaTheme="minorEastAsia"/>
                <w:color w:val="000000" w:themeColor="text1"/>
                <w:sz w:val="21"/>
                <w:szCs w:val="21"/>
                <w14:textFill>
                  <w14:solidFill>
                    <w14:schemeClr w14:val="tx1"/>
                  </w14:solidFill>
                </w14:textFill>
              </w:rPr>
              <w:t>/h）；碎煤机室产生的粉尘经脉冲布袋除尘器除尘后，尾气直接经风机排放，碎煤机室有效排放高度20m</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w:t>
            </w:r>
          </w:p>
        </w:tc>
        <w:tc>
          <w:tcPr>
            <w:tcW w:w="24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《大气污染物综合排放标准》（GB16297-1996）表2无组织排放监控浓度限值1.0mg/m</w:t>
            </w:r>
            <w:r>
              <w:rPr>
                <w:rFonts w:ascii="Times New Roman" w:eastAsiaTheme="minorEastAsia"/>
                <w:color w:val="000000" w:themeColor="text1"/>
                <w:sz w:val="21"/>
                <w:szCs w:val="21"/>
                <w:vertAlign w:val="superscript"/>
                <w14:textFill>
                  <w14:solidFill>
                    <w14:schemeClr w14:val="tx1"/>
                  </w14:solidFill>
                </w14:textFill>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517" w:hRule="atLeas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氨</w:t>
            </w:r>
          </w:p>
        </w:tc>
        <w:tc>
          <w:tcPr>
            <w:tcW w:w="2550" w:type="dxa"/>
            <w:vAlign w:val="center"/>
          </w:tcPr>
          <w:p>
            <w:pPr>
              <w:pStyle w:val="102"/>
              <w:autoSpaceDE w:val="0"/>
              <w:autoSpaceDN w:val="0"/>
              <w:spacing w:line="240" w:lineRule="auto"/>
              <w:jc w:val="center"/>
              <w:textAlignment w:val="bottom"/>
              <w:rPr>
                <w:rFonts w:ascii="Times New Roman"/>
                <w:color w:val="000000" w:themeColor="text1"/>
                <w14:textFill>
                  <w14:solidFill>
                    <w14:schemeClr w14:val="tx1"/>
                  </w14:solidFill>
                </w14:textFill>
              </w:rPr>
            </w:pPr>
            <w:r>
              <w:rPr>
                <w:rFonts w:hint="eastAsia" w:ascii="Times New Roman"/>
                <w:color w:val="000000" w:themeColor="text1"/>
                <w14:textFill>
                  <w14:solidFill>
                    <w14:schemeClr w14:val="tx1"/>
                  </w14:solidFill>
                </w14:textFill>
              </w:rPr>
              <w:t>容器密闭</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w:t>
            </w:r>
          </w:p>
        </w:tc>
        <w:tc>
          <w:tcPr>
            <w:tcW w:w="24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《恶臭污染物排放标准》（GB14554-93）周界外浓度最高点1.5mg/m</w:t>
            </w:r>
            <w:r>
              <w:rPr>
                <w:rFonts w:ascii="Times New Roman" w:eastAsiaTheme="minorEastAsia"/>
                <w:color w:val="000000" w:themeColor="text1"/>
                <w:sz w:val="21"/>
                <w:szCs w:val="21"/>
                <w:vertAlign w:val="superscript"/>
                <w14:textFill>
                  <w14:solidFill>
                    <w14:schemeClr w14:val="tx1"/>
                  </w14:solidFill>
                </w14:textFill>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510" w:hRule="atLeast"/>
        </w:trPr>
        <w:tc>
          <w:tcPr>
            <w:tcW w:w="60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废水</w:t>
            </w:r>
          </w:p>
        </w:tc>
        <w:tc>
          <w:tcPr>
            <w:tcW w:w="9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工艺排水</w:t>
            </w: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回用</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24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不外排</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510" w:hRule="atLeas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生活污水</w:t>
            </w: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COD、氨氮</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w:t>
            </w:r>
            <w:r>
              <w:rPr>
                <w:rFonts w:hint="eastAsia" w:ascii="Times New Roman" w:eastAsiaTheme="minorEastAsia"/>
                <w:color w:val="000000" w:themeColor="text1"/>
                <w:sz w:val="21"/>
                <w:szCs w:val="21"/>
                <w14:textFill>
                  <w14:solidFill>
                    <w14:schemeClr w14:val="tx1"/>
                  </w14:solidFill>
                </w14:textFill>
              </w:rPr>
              <w:t>不</w:t>
            </w:r>
            <w:r>
              <w:rPr>
                <w:rFonts w:ascii="Times New Roman" w:eastAsiaTheme="minorEastAsia"/>
                <w:color w:val="000000" w:themeColor="text1"/>
                <w:sz w:val="21"/>
                <w:szCs w:val="21"/>
                <w14:textFill>
                  <w14:solidFill>
                    <w14:schemeClr w14:val="tx1"/>
                  </w14:solidFill>
                </w14:textFill>
              </w:rPr>
              <w:t>新增生活污水，生活污水</w:t>
            </w:r>
            <w:r>
              <w:rPr>
                <w:rFonts w:hint="eastAsia" w:ascii="Times New Roman" w:eastAsiaTheme="minorEastAsia"/>
                <w:color w:val="000000" w:themeColor="text1"/>
                <w:sz w:val="21"/>
                <w:szCs w:val="21"/>
                <w14:textFill>
                  <w14:solidFill>
                    <w14:schemeClr w14:val="tx1"/>
                  </w14:solidFill>
                </w14:textFill>
              </w:rPr>
              <w:t>排入</w:t>
            </w:r>
            <w:r>
              <w:rPr>
                <w:rFonts w:ascii="Times New Roman" w:eastAsiaTheme="minorEastAsia"/>
                <w:color w:val="000000" w:themeColor="text1"/>
                <w:sz w:val="21"/>
                <w:szCs w:val="21"/>
                <w14:textFill>
                  <w14:solidFill>
                    <w14:schemeClr w14:val="tx1"/>
                  </w14:solidFill>
                </w14:textFill>
              </w:rPr>
              <w:t>防渗化粪池</w:t>
            </w:r>
            <w:r>
              <w:rPr>
                <w:rFonts w:hint="eastAsia" w:ascii="Times New Roman" w:eastAsiaTheme="minorEastAsia"/>
                <w:color w:val="000000" w:themeColor="text1"/>
                <w:sz w:val="21"/>
                <w:szCs w:val="21"/>
                <w14:textFill>
                  <w14:solidFill>
                    <w14:schemeClr w14:val="tx1"/>
                  </w14:solidFill>
                </w14:textFill>
              </w:rPr>
              <w:t>，定期清运至黑龙江红兴隆农垦清洁污水处理有限公司（集中污水处理厂）进行处理。</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接管处</w:t>
            </w:r>
          </w:p>
        </w:tc>
        <w:tc>
          <w:tcPr>
            <w:tcW w:w="24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黑龙江红兴隆农垦清洁污水处理有限公司（集中污水处理厂）</w:t>
            </w:r>
            <w:r>
              <w:rPr>
                <w:rFonts w:ascii="Times New Roman" w:eastAsiaTheme="minorEastAsia"/>
                <w:color w:val="000000" w:themeColor="text1"/>
                <w:sz w:val="21"/>
                <w:szCs w:val="21"/>
                <w14:textFill>
                  <w14:solidFill>
                    <w14:schemeClr w14:val="tx1"/>
                  </w14:solidFill>
                </w14:textFill>
              </w:rPr>
              <w:t>入厂水质控制指标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1320" w:hRule="atLeast"/>
        </w:trPr>
        <w:tc>
          <w:tcPr>
            <w:tcW w:w="6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9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锅炉房风机、泵类等产噪设备</w:t>
            </w:r>
            <w:r>
              <w:rPr>
                <w:rFonts w:hint="eastAsia" w:ascii="Times New Roman" w:eastAsiaTheme="minorEastAsia"/>
                <w:color w:val="000000" w:themeColor="text1"/>
                <w:sz w:val="21"/>
                <w:szCs w:val="21"/>
                <w14:textFill>
                  <w14:solidFill>
                    <w14:schemeClr w14:val="tx1"/>
                  </w14:solidFill>
                </w14:textFill>
              </w:rPr>
              <w:t>及转运噪声</w:t>
            </w: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选用低噪设备，产噪设备布置在厂房内，并采取减振措施，风机加装消声器，泵类设置减振基础</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严格控制运输时间，禁止在夜间22:00时-次日6:00时运输，昼间运输车辆通过城区内居民区时，限制车速低于</w:t>
            </w:r>
            <w:r>
              <w:rPr>
                <w:rFonts w:hint="eastAsia" w:ascii="Times New Roman" w:eastAsiaTheme="minorEastAsia"/>
                <w:color w:val="000000" w:themeColor="text1"/>
                <w:sz w:val="21"/>
                <w:szCs w:val="21"/>
                <w14:textFill>
                  <w14:solidFill>
                    <w14:schemeClr w14:val="tx1"/>
                  </w14:solidFill>
                </w14:textFill>
              </w:rPr>
              <w:t>20</w:t>
            </w:r>
            <w:r>
              <w:rPr>
                <w:rFonts w:ascii="Times New Roman" w:eastAsiaTheme="minorEastAsia"/>
                <w:color w:val="000000" w:themeColor="text1"/>
                <w:sz w:val="21"/>
                <w:szCs w:val="21"/>
                <w14:textFill>
                  <w14:solidFill>
                    <w14:schemeClr w14:val="tx1"/>
                  </w14:solidFill>
                </w14:textFill>
              </w:rPr>
              <w:t>km/h，并禁止鸣笛，以降低运灰汽车产生的噪声</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w:t>
            </w:r>
          </w:p>
        </w:tc>
        <w:tc>
          <w:tcPr>
            <w:tcW w:w="24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厂界噪声满足《工业企业厂界环境噪声排放标准》（GB12348—2008）中</w:t>
            </w:r>
            <w:r>
              <w:rPr>
                <w:rFonts w:hint="eastAsia" w:ascii="Times New Roman" w:eastAsiaTheme="minorEastAsia"/>
                <w:color w:val="000000" w:themeColor="text1"/>
                <w:sz w:val="21"/>
                <w:szCs w:val="21"/>
                <w14:textFill>
                  <w14:solidFill>
                    <w14:schemeClr w14:val="tx1"/>
                  </w14:solidFill>
                </w14:textFill>
              </w:rPr>
              <w:t>2</w:t>
            </w:r>
            <w:r>
              <w:rPr>
                <w:rFonts w:ascii="Times New Roman" w:eastAsiaTheme="minorEastAsia"/>
                <w:color w:val="000000" w:themeColor="text1"/>
                <w:sz w:val="21"/>
                <w:szCs w:val="21"/>
                <w14:textFill>
                  <w14:solidFill>
                    <w14:schemeClr w14:val="tx1"/>
                  </w14:solidFill>
                </w14:textFill>
              </w:rPr>
              <w:t>类标准：即昼间：</w:t>
            </w:r>
            <w:r>
              <w:rPr>
                <w:rFonts w:hint="eastAsia" w:ascii="Times New Roman" w:eastAsiaTheme="minorEastAsia"/>
                <w:color w:val="000000" w:themeColor="text1"/>
                <w:sz w:val="21"/>
                <w:szCs w:val="21"/>
                <w14:textFill>
                  <w14:solidFill>
                    <w14:schemeClr w14:val="tx1"/>
                  </w14:solidFill>
                </w14:textFill>
              </w:rPr>
              <w:t>60</w:t>
            </w:r>
            <w:r>
              <w:rPr>
                <w:rFonts w:ascii="Times New Roman" w:eastAsiaTheme="minorEastAsia"/>
                <w:color w:val="000000" w:themeColor="text1"/>
                <w:sz w:val="21"/>
                <w:szCs w:val="21"/>
                <w14:textFill>
                  <w14:solidFill>
                    <w14:schemeClr w14:val="tx1"/>
                  </w14:solidFill>
                </w14:textFill>
              </w:rPr>
              <w:t>dB（A），夜间：</w:t>
            </w:r>
            <w:r>
              <w:rPr>
                <w:rFonts w:hint="eastAsia" w:ascii="Times New Roman" w:eastAsiaTheme="minorEastAsia"/>
                <w:color w:val="000000" w:themeColor="text1"/>
                <w:sz w:val="21"/>
                <w:szCs w:val="21"/>
                <w14:textFill>
                  <w14:solidFill>
                    <w14:schemeClr w14:val="tx1"/>
                  </w14:solidFill>
                </w14:textFill>
              </w:rPr>
              <w:t>50</w:t>
            </w:r>
            <w:r>
              <w:rPr>
                <w:rFonts w:ascii="Times New Roman" w:eastAsiaTheme="minorEastAsia"/>
                <w:color w:val="000000" w:themeColor="text1"/>
                <w:sz w:val="21"/>
                <w:szCs w:val="21"/>
                <w14:textFill>
                  <w14:solidFill>
                    <w14:schemeClr w14:val="tx1"/>
                  </w14:solidFill>
                </w14:textFill>
              </w:rPr>
              <w:t>dB（A）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775" w:hRule="atLeast"/>
        </w:trPr>
        <w:tc>
          <w:tcPr>
            <w:tcW w:w="603"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固体废物</w:t>
            </w:r>
          </w:p>
        </w:tc>
        <w:tc>
          <w:tcPr>
            <w:tcW w:w="9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锅炉房</w:t>
            </w: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灰渣、</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脱硫渣、除尘灰</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脱硫渣、炉渣随产随运，除尘灰暂存于项目区封闭</w:t>
            </w:r>
            <w:r>
              <w:rPr>
                <w:rFonts w:hint="eastAsia" w:ascii="Times New Roman" w:eastAsiaTheme="minorEastAsia"/>
                <w:color w:val="000000" w:themeColor="text1"/>
                <w:sz w:val="21"/>
                <w:szCs w:val="21"/>
                <w14:textFill>
                  <w14:solidFill>
                    <w14:schemeClr w14:val="tx1"/>
                  </w14:solidFill>
                </w14:textFill>
              </w:rPr>
              <w:t>灰渣仓</w:t>
            </w:r>
            <w:r>
              <w:rPr>
                <w:rFonts w:ascii="Times New Roman" w:eastAsiaTheme="minorEastAsia"/>
                <w:color w:val="000000" w:themeColor="text1"/>
                <w:sz w:val="21"/>
                <w:szCs w:val="21"/>
                <w14:textFill>
                  <w14:solidFill>
                    <w14:schemeClr w14:val="tx1"/>
                  </w14:solidFill>
                </w14:textFill>
              </w:rPr>
              <w:t>，全部外售综合利用</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2444" w:type="dxa"/>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符合《一般工业固体废物贮存和填埋污染控制标准》（GB 18599-2020）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775" w:hRule="atLeas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员工</w:t>
            </w: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生活垃圾</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集中收集后，交由市政环卫部门负责清运。</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244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775" w:hRule="atLeas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软化水系统</w:t>
            </w: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废树脂</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集中收集后在厂区暂存，后交由树脂生产企业回收处理。</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244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775" w:hRule="atLeas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除尘系统</w:t>
            </w: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废布袋</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厂家回收</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2444"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775" w:hRule="atLeas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机器维修</w:t>
            </w: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废机油</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暂存在危废贮存库，定期委托有资质单位处理</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24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符合《危险废物贮存污染控制标准》（</w:t>
            </w:r>
            <w:r>
              <w:rPr>
                <w:rFonts w:ascii="Times New Roman" w:eastAsiaTheme="minorEastAsia"/>
                <w:color w:val="000000" w:themeColor="text1"/>
                <w:sz w:val="21"/>
                <w:szCs w:val="21"/>
                <w14:textFill>
                  <w14:solidFill>
                    <w14:schemeClr w14:val="tx1"/>
                  </w14:solidFill>
                </w14:textFill>
              </w:rPr>
              <w:t>GB18597-20</w:t>
            </w:r>
            <w:r>
              <w:rPr>
                <w:rFonts w:hint="eastAsia" w:ascii="Times New Roman" w:eastAsiaTheme="minorEastAsia"/>
                <w:color w:val="000000" w:themeColor="text1"/>
                <w:sz w:val="21"/>
                <w:szCs w:val="21"/>
                <w14:textFill>
                  <w14:solidFill>
                    <w14:schemeClr w14:val="tx1"/>
                  </w14:solidFill>
                </w14:textFill>
              </w:rPr>
              <w:t>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775" w:hRule="atLeast"/>
        </w:trPr>
        <w:tc>
          <w:tcPr>
            <w:tcW w:w="603" w:type="dxa"/>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2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脱硝系统</w:t>
            </w:r>
          </w:p>
        </w:tc>
        <w:tc>
          <w:tcPr>
            <w:tcW w:w="975"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废催化剂</w:t>
            </w:r>
          </w:p>
        </w:tc>
        <w:tc>
          <w:tcPr>
            <w:tcW w:w="255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暂存在危废贮存库，定期委托有资质单位处理</w:t>
            </w:r>
          </w:p>
        </w:tc>
        <w:tc>
          <w:tcPr>
            <w:tcW w:w="1290"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2444"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符合《危险废物贮存污染控制标准》（</w:t>
            </w:r>
            <w:r>
              <w:rPr>
                <w:rFonts w:ascii="Times New Roman" w:eastAsiaTheme="minorEastAsia"/>
                <w:color w:val="000000" w:themeColor="text1"/>
                <w:sz w:val="21"/>
                <w:szCs w:val="21"/>
                <w14:textFill>
                  <w14:solidFill>
                    <w14:schemeClr w14:val="tx1"/>
                  </w14:solidFill>
                </w14:textFill>
              </w:rPr>
              <w:t>GB18597-20</w:t>
            </w:r>
            <w:r>
              <w:rPr>
                <w:rFonts w:hint="eastAsia" w:ascii="Times New Roman" w:eastAsiaTheme="minorEastAsia"/>
                <w:color w:val="000000" w:themeColor="text1"/>
                <w:sz w:val="21"/>
                <w:szCs w:val="21"/>
                <w14:textFill>
                  <w14:solidFill>
                    <w14:schemeClr w14:val="tx1"/>
                  </w14:solidFill>
                </w14:textFill>
              </w:rPr>
              <w:t>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775" w:hRule="atLeast"/>
        </w:trPr>
        <w:tc>
          <w:tcPr>
            <w:tcW w:w="603" w:type="dxa"/>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分区防渗</w:t>
            </w:r>
          </w:p>
        </w:tc>
        <w:tc>
          <w:tcPr>
            <w:tcW w:w="8184" w:type="dxa"/>
            <w:gridSpan w:val="5"/>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（1）对厂内排水系统和水池池体及排放管道均做防渗处理。防渗等级应达到《一般工业固体废物贮存和填埋污染控制标准》（GB 18599-2020）中规定的渗透系数不大于1</w:t>
            </w:r>
            <w:r>
              <w:rPr>
                <w:rFonts w:ascii="Times New Roman" w:eastAsiaTheme="minorEastAsia"/>
                <w:color w:val="000000" w:themeColor="text1"/>
                <w:sz w:val="21"/>
                <w:szCs w:val="21"/>
                <w:vertAlign w:val="superscript"/>
                <w14:textFill>
                  <w14:solidFill>
                    <w14:schemeClr w14:val="tx1"/>
                  </w14:solidFill>
                </w14:textFill>
              </w:rPr>
              <w:t>0-7</w:t>
            </w:r>
            <w:r>
              <w:rPr>
                <w:rFonts w:ascii="Times New Roman" w:eastAsiaTheme="minorEastAsia"/>
                <w:color w:val="000000" w:themeColor="text1"/>
                <w:sz w:val="21"/>
                <w:szCs w:val="21"/>
                <w14:textFill>
                  <w14:solidFill>
                    <w14:schemeClr w14:val="tx1"/>
                  </w14:solidFill>
                </w14:textFill>
              </w:rPr>
              <w:t>cm/s 的要求，防止污水下渗污染地下水。</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（2）危废贮存库地面需采取防渗处理，参照《危险废物贮存污染控制标准》（GB18597-20</w:t>
            </w:r>
            <w:r>
              <w:rPr>
                <w:rFonts w:hint="eastAsia" w:ascii="Times New Roman" w:eastAsiaTheme="minorEastAsia"/>
                <w:color w:val="000000" w:themeColor="text1"/>
                <w:sz w:val="21"/>
                <w:szCs w:val="21"/>
                <w14:textFill>
                  <w14:solidFill>
                    <w14:schemeClr w14:val="tx1"/>
                  </w14:solidFill>
                </w14:textFill>
              </w:rPr>
              <w:t>23</w:t>
            </w:r>
            <w:r>
              <w:rPr>
                <w:rFonts w:ascii="Times New Roman" w:eastAsiaTheme="minorEastAsia"/>
                <w:color w:val="000000" w:themeColor="text1"/>
                <w:sz w:val="21"/>
                <w:szCs w:val="21"/>
                <w14:textFill>
                  <w14:solidFill>
                    <w14:schemeClr w14:val="tx1"/>
                  </w14:solidFill>
                </w14:textFill>
              </w:rPr>
              <w:t>），该区防渗层为至少1m厚粘土层（渗透系数≤10</w:t>
            </w:r>
            <w:r>
              <w:rPr>
                <w:rFonts w:ascii="Times New Roman" w:eastAsiaTheme="minorEastAsia"/>
                <w:color w:val="000000" w:themeColor="text1"/>
                <w:sz w:val="21"/>
                <w:szCs w:val="21"/>
                <w:vertAlign w:val="superscript"/>
                <w14:textFill>
                  <w14:solidFill>
                    <w14:schemeClr w14:val="tx1"/>
                  </w14:solidFill>
                </w14:textFill>
              </w:rPr>
              <w:t>-7</w:t>
            </w:r>
            <w:r>
              <w:rPr>
                <w:rFonts w:ascii="Times New Roman" w:eastAsiaTheme="minorEastAsia"/>
                <w:color w:val="000000" w:themeColor="text1"/>
                <w:sz w:val="21"/>
                <w:szCs w:val="21"/>
                <w14:textFill>
                  <w14:solidFill>
                    <w14:schemeClr w14:val="tx1"/>
                  </w14:solidFill>
                </w14:textFill>
              </w:rPr>
              <w:t>cm/s），或2mm厚高密度聚乙烯，或至少2mm厚的其他人工材料，渗透系数≤10</w:t>
            </w:r>
            <w:r>
              <w:rPr>
                <w:rFonts w:ascii="Times New Roman" w:eastAsiaTheme="minorEastAsia"/>
                <w:color w:val="000000" w:themeColor="text1"/>
                <w:sz w:val="21"/>
                <w:szCs w:val="21"/>
                <w:vertAlign w:val="superscript"/>
                <w14:textFill>
                  <w14:solidFill>
                    <w14:schemeClr w14:val="tx1"/>
                  </w14:solidFill>
                </w14:textFill>
              </w:rPr>
              <w:t>-10</w:t>
            </w:r>
            <w:r>
              <w:rPr>
                <w:rFonts w:ascii="Times New Roman" w:eastAsiaTheme="minorEastAsia"/>
                <w:color w:val="000000" w:themeColor="text1"/>
                <w:sz w:val="21"/>
                <w:szCs w:val="21"/>
                <w14:textFill>
                  <w14:solidFill>
                    <w14:schemeClr w14:val="tx1"/>
                  </w14:solidFill>
                </w14:textFill>
              </w:rPr>
              <w:t>cm/s。</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（3）厂区内其他生产区地面应进行固化及防渗处理，防止泄露及地面雨水下渗对地下水造成污染。</w:t>
            </w:r>
          </w:p>
        </w:tc>
      </w:tr>
    </w:tbl>
    <w:p>
      <w:pPr>
        <w:pStyle w:val="26"/>
        <w:ind w:firstLine="180"/>
        <w:rPr>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3"/>
        <w:ind w:firstLine="878"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bookmarkStart w:id="368" w:name="_Toc162605204"/>
      <w:r>
        <w:rPr>
          <w:rFonts w:ascii="Times New Roman" w:hAnsi="Times New Roman" w:eastAsia="新宋体" w:cstheme="minorBidi"/>
          <w:color w:val="000000" w:themeColor="text1"/>
          <w:szCs w:val="24"/>
          <w:lang w:val="en-US" w:bidi="ar-SA"/>
          <w14:textFill>
            <w14:solidFill>
              <w14:schemeClr w14:val="tx1"/>
            </w14:solidFill>
          </w14:textFill>
        </w:rPr>
        <w:t>9结论与建议</w:t>
      </w:r>
      <w:bookmarkEnd w:id="344"/>
      <w:bookmarkEnd w:id="368"/>
      <w:bookmarkStart w:id="369" w:name="_Toc173213335"/>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370" w:name="_Toc334779752"/>
      <w:bookmarkStart w:id="371" w:name="_Toc420766553"/>
      <w:bookmarkStart w:id="372" w:name="_Toc530923525"/>
      <w:bookmarkStart w:id="373" w:name="_Toc162605205"/>
      <w:r>
        <w:rPr>
          <w:rFonts w:ascii="Times New Roman" w:hAnsi="Times New Roman" w:cs="Times New Roman" w:eastAsiaTheme="minorEastAsia"/>
          <w:color w:val="000000" w:themeColor="text1"/>
          <w:szCs w:val="24"/>
          <w:lang w:val="en-US" w:bidi="ar-SA"/>
          <w14:textFill>
            <w14:solidFill>
              <w14:schemeClr w14:val="tx1"/>
            </w14:solidFill>
          </w14:textFill>
        </w:rPr>
        <w:t>9.1结论</w:t>
      </w:r>
      <w:bookmarkEnd w:id="369"/>
      <w:bookmarkEnd w:id="370"/>
      <w:bookmarkEnd w:id="371"/>
      <w:bookmarkEnd w:id="372"/>
      <w:bookmarkEnd w:id="373"/>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9.1.1项目概况</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2022年北大荒农垦集团红兴隆分公司农垦公用基础设施建设项目，新建2150平方米锅炉房及附属工程，新购置70MW（100t/h）热水锅炉一台，新建锅炉脱硫脱硝和除尘设施；</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淘汰</w:t>
      </w:r>
      <w:r>
        <w:rPr>
          <w:rFonts w:ascii="Times New Roman" w:hAnsi="Times New Roman" w:cs="Times New Roman" w:eastAsiaTheme="minorEastAsia"/>
          <w:color w:val="000000" w:themeColor="text1"/>
          <w:sz w:val="24"/>
          <w:szCs w:val="24"/>
          <w:lang w:val="en-US"/>
          <w14:textFill>
            <w14:solidFill>
              <w14:schemeClr w14:val="tx1"/>
            </w14:solidFill>
          </w14:textFill>
        </w:rPr>
        <w:t>现有两台70MW（100t/h）锅炉脱硝设备。</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执行</w:t>
      </w:r>
      <w:r>
        <w:rPr>
          <w:rFonts w:ascii="Times New Roman" w:hAnsi="Times New Roman" w:cs="Times New Roman" w:eastAsiaTheme="minorEastAsia"/>
          <w:color w:val="000000" w:themeColor="text1"/>
          <w:sz w:val="24"/>
          <w:szCs w:val="24"/>
          <w:lang w:val="en-US"/>
          <w14:textFill>
            <w14:solidFill>
              <w14:schemeClr w14:val="tx1"/>
            </w14:solidFill>
          </w14:textFill>
        </w:rPr>
        <w:t>《关于印发&lt;全面实施燃煤电厂超低排放和节能改造工作方案&gt;的通知》（环发 [2015]164号）要求，达到超低排放限值（在基准氧含量6%条件下，烟尘、SO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、NOx排放浓度分别不高于10mg/m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、35mg/m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、50mg/m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烟气黑度及汞及其化合物执行</w:t>
      </w:r>
      <w:r>
        <w:rPr>
          <w:rFonts w:ascii="Times New Roman" w:hAnsi="Times New Roman" w:cs="Times New Roman" w:eastAsiaTheme="minorEastAsia"/>
          <w:color w:val="000000" w:themeColor="text1"/>
          <w:sz w:val="24"/>
          <w:szCs w:val="24"/>
          <w:lang w:val="en-US"/>
          <w14:textFill>
            <w14:solidFill>
              <w14:schemeClr w14:val="tx1"/>
            </w14:solidFill>
          </w14:textFill>
        </w:rPr>
        <w:t>《锅炉大气污染物排放标准》（GB13271-2014）表2</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标准。</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9.1.2选址合理性</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本项目位于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红兴隆管理局在管理局局直南侧现有锅炉房</w:t>
      </w:r>
      <w:r>
        <w:rPr>
          <w:rFonts w:ascii="Times New Roman" w:hAnsi="Times New Roman" w:cs="Times New Roman" w:eastAsiaTheme="minorEastAsia"/>
          <w:color w:val="000000" w:themeColor="text1"/>
          <w:sz w:val="24"/>
          <w:szCs w:val="24"/>
          <w:lang w:val="en-US"/>
          <w14:textFill>
            <w14:solidFill>
              <w14:schemeClr w14:val="tx1"/>
            </w14:solidFill>
          </w14:textFill>
        </w:rPr>
        <w:t>院内，项目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w:t>
      </w:r>
      <w:r>
        <w:rPr>
          <w:rFonts w:ascii="Times New Roman" w:hAnsi="Times New Roman" w:cs="Times New Roman" w:eastAsiaTheme="minorEastAsia"/>
          <w:color w:val="000000" w:themeColor="text1"/>
          <w:sz w:val="24"/>
          <w:szCs w:val="24"/>
          <w:lang w:val="en-US"/>
          <w14:textFill>
            <w14:solidFill>
              <w14:schemeClr w14:val="tx1"/>
            </w14:solidFill>
          </w14:textFill>
        </w:rPr>
        <w:t>北侧</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为空地，厂区北侧230</w:t>
      </w:r>
      <w:r>
        <w:rPr>
          <w:rFonts w:ascii="Times New Roman" w:hAnsi="Times New Roman" w:cs="Times New Roman" w:eastAsiaTheme="minorEastAsia"/>
          <w:color w:val="000000" w:themeColor="text1"/>
          <w:sz w:val="24"/>
          <w:szCs w:val="24"/>
          <w:lang w:val="en-US"/>
          <w14:textFill>
            <w14:solidFill>
              <w14:schemeClr w14:val="tx1"/>
            </w14:solidFill>
          </w14:textFill>
        </w:rPr>
        <w:t>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红兴隆管理局居民区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西北</w:t>
      </w:r>
      <w:r>
        <w:rPr>
          <w:rFonts w:ascii="Times New Roman" w:hAnsi="Times New Roman" w:cs="Times New Roman" w:eastAsiaTheme="minorEastAsia"/>
          <w:color w:val="000000" w:themeColor="text1"/>
          <w:sz w:val="24"/>
          <w:szCs w:val="24"/>
          <w:lang w:val="en-US"/>
          <w14:textFill>
            <w14:solidFill>
              <w14:schemeClr w14:val="tx1"/>
            </w14:solidFill>
          </w14:textFill>
        </w:rPr>
        <w:t>侧</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70m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红兴隆管理局住宅小区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厂区西侧</w:t>
      </w:r>
      <w:r>
        <w:rPr>
          <w:rFonts w:ascii="Times New Roman" w:hAnsi="Times New Roman" w:cs="Times New Roman" w:eastAsiaTheme="minorEastAsia"/>
          <w:color w:val="000000" w:themeColor="text1"/>
          <w:sz w:val="24"/>
          <w:szCs w:val="24"/>
          <w:lang w:val="en-US"/>
          <w14:textFill>
            <w14:solidFill>
              <w14:schemeClr w14:val="tx1"/>
            </w14:solidFill>
          </w14:textFill>
        </w:rPr>
        <w:t>方向</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46</w:t>
      </w:r>
      <w:r>
        <w:rPr>
          <w:rFonts w:ascii="Times New Roman" w:hAnsi="Times New Roman" w:cs="Times New Roman" w:eastAsiaTheme="minorEastAsia"/>
          <w:color w:val="000000" w:themeColor="text1"/>
          <w:sz w:val="24"/>
          <w:szCs w:val="24"/>
          <w:lang w:val="en-US"/>
          <w14:textFill>
            <w14:solidFill>
              <w14:schemeClr w14:val="tx1"/>
            </w14:solidFill>
          </w14:textFill>
        </w:rPr>
        <w:t>0m</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处</w:t>
      </w:r>
      <w:r>
        <w:rPr>
          <w:rFonts w:ascii="Times New Roman" w:hAnsi="Times New Roman" w:cs="Times New Roman" w:eastAsiaTheme="minorEastAsia"/>
          <w:color w:val="000000" w:themeColor="text1"/>
          <w:sz w:val="24"/>
          <w:szCs w:val="24"/>
          <w:lang w:val="en-US"/>
          <w14:textFill>
            <w14:solidFill>
              <w14:schemeClr w14:val="tx1"/>
            </w14:solidFill>
          </w14:textFill>
        </w:rPr>
        <w:t>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爱林村居民区</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厂区南侧为农田；厂区东侧为空地</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本项目用地性质为公用设施用地</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并且本项目</w:t>
      </w:r>
      <w:r>
        <w:rPr>
          <w:rFonts w:ascii="Times New Roman" w:hAnsi="Times New Roman" w:cs="Times New Roman" w:eastAsiaTheme="minorEastAsia"/>
          <w:color w:val="000000" w:themeColor="text1"/>
          <w:sz w:val="24"/>
          <w:szCs w:val="24"/>
          <w:lang w:val="en-US"/>
          <w14:textFill>
            <w14:solidFill>
              <w14:schemeClr w14:val="tx1"/>
            </w14:solidFill>
          </w14:textFill>
        </w:rPr>
        <w:t>在原有厂区内进行建设。本次</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改扩建项目</w:t>
      </w:r>
      <w:r>
        <w:rPr>
          <w:rFonts w:ascii="Times New Roman" w:hAnsi="Times New Roman" w:cs="Times New Roman" w:eastAsiaTheme="minorEastAsia"/>
          <w:color w:val="000000" w:themeColor="text1"/>
          <w:sz w:val="24"/>
          <w:szCs w:val="24"/>
          <w:lang w:val="en-US"/>
          <w14:textFill>
            <w14:solidFill>
              <w14:schemeClr w14:val="tx1"/>
            </w14:solidFill>
          </w14:textFill>
        </w:rPr>
        <w:t>工程不涉供热管网及换热站工程。本项目选址不在“两控区”内。评价范围内无国家、省、市级自然保护区、名胜古迹及水源地，周边道路等基础设施良好，交通十分便捷，地理位置优越，项目建设通过采取严格的环境保护措施后，所排放的污染物对评价区周围环境影响较小，并对环境敏感点影响较小，其影响能够被周围环境所接受。通过环境空气预测结果可知，本项目投产后，本工程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10</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ascii="Times New Roman" w:hAnsi="Times New Roman" w:cs="Times New Roman" w:eastAsiaTheme="minorEastAsia"/>
          <w:color w:val="000000" w:themeColor="text1"/>
          <w:sz w:val="24"/>
          <w:szCs w:val="24"/>
          <w:lang w:val="en-US"/>
          <w14:textFill>
            <w14:solidFill>
              <w14:schemeClr w14:val="tx1"/>
            </w14:solidFill>
          </w14:textFill>
        </w:rPr>
        <w:t>预测值均符合《环境空气质量标准》(GB3095-2012)二级标准；项目建设通过采取严格的环境保护措施后，所排放的污染物对评价区周围环境影响较小，并对环境敏感点影响较小，本次改扩建工程不涉供热管网及换热站工程。因此，建设单位应加强环保设施运行管理，杜绝事故排放。</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综上所述，本项目拟选厂址从环境影响方面可接受。</w:t>
      </w:r>
    </w:p>
    <w:p>
      <w:pPr>
        <w:pStyle w:val="89"/>
        <w:ind w:firstLine="177"/>
        <w:rPr>
          <w:color w:val="000000" w:themeColor="text1"/>
          <w:lang w:val="en-US"/>
          <w14:textFill>
            <w14:solidFill>
              <w14:schemeClr w14:val="tx1"/>
            </w14:solidFill>
          </w14:textFill>
        </w:rPr>
      </w:pP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9.1.</w:t>
      </w:r>
      <w:r>
        <w:rPr>
          <w:rFonts w:hint="eastAsia" w:ascii="Times New Roman" w:hAnsi="Times New Roman" w:eastAsia="新宋体" w:cstheme="minorBidi"/>
          <w:color w:val="000000" w:themeColor="text1"/>
          <w:szCs w:val="24"/>
          <w:lang w:val="en-US" w:bidi="ar-SA"/>
          <w14:textFill>
            <w14:solidFill>
              <w14:schemeClr w14:val="tx1"/>
            </w14:solidFill>
          </w14:textFill>
        </w:rPr>
        <w:t>3</w:t>
      </w:r>
      <w:r>
        <w:rPr>
          <w:rFonts w:ascii="Times New Roman" w:hAnsi="Times New Roman" w:eastAsia="新宋体" w:cstheme="minorBidi"/>
          <w:color w:val="000000" w:themeColor="text1"/>
          <w:szCs w:val="24"/>
          <w:lang w:val="en-US" w:bidi="ar-SA"/>
          <w14:textFill>
            <w14:solidFill>
              <w14:schemeClr w14:val="tx1"/>
            </w14:solidFill>
          </w14:textFill>
        </w:rPr>
        <w:t>环境质量现状</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（1）大气环境质量现状</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hint="eastAsia" w:ascii="Times New Roman" w:hAnsi="Times New Roman" w:cs="Times New Roman" w:eastAsiaTheme="minorEastAsia"/>
          <w:color w:val="000000" w:themeColor="text1"/>
          <w:sz w:val="24"/>
          <w:szCs w:val="24"/>
          <w:lang w:val="en-US"/>
          <w14:textFill>
            <w14:solidFill>
              <w14:schemeClr w14:val="tx1"/>
            </w14:solidFill>
          </w14:textFill>
        </w:rPr>
        <w:t>双鸭山</w:t>
      </w:r>
      <w:r>
        <w:rPr>
          <w:rFonts w:ascii="Times New Roman" w:hAnsi="Times New Roman" w:cs="Times New Roman" w:eastAsiaTheme="minorEastAsia"/>
          <w:color w:val="000000" w:themeColor="text1"/>
          <w:sz w:val="24"/>
          <w:szCs w:val="24"/>
          <w:lang w:val="en-US"/>
          <w14:textFill>
            <w14:solidFill>
              <w14:schemeClr w14:val="tx1"/>
            </w14:solidFill>
          </w14:textFill>
        </w:rPr>
        <w:t>市属于环境空气达标区。</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根据现状监测，</w:t>
      </w:r>
      <w:r>
        <w:rPr>
          <w:rFonts w:ascii="Times New Roman" w:hAnsi="Times New Roman" w:cs="Times New Roman" w:eastAsiaTheme="minorEastAsia"/>
          <w:color w:val="000000" w:themeColor="text1"/>
          <w:sz w:val="24"/>
          <w:szCs w:val="24"/>
          <w:lang w:val="en-US"/>
          <w14:textFill>
            <w14:solidFill>
              <w14:schemeClr w14:val="tx1"/>
            </w14:solidFill>
          </w14:textFill>
        </w:rPr>
        <w:t>项目所在地各监测点TSP</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、氨能够满足环境空气质量标准限值要求，气态汞未检出，项目所在区域环境空气质量状况良好</w:t>
      </w:r>
      <w:r>
        <w:rPr>
          <w:rFonts w:ascii="Times New Roman" w:hAnsi="Times New Roman" w:cs="Times New Roman" w:eastAsiaTheme="minorEastAsia"/>
          <w:color w:val="000000" w:themeColor="text1"/>
          <w:sz w:val="24"/>
          <w:szCs w:val="24"/>
          <w:lang w:val="en-US"/>
          <w14:textFill>
            <w14:solidFill>
              <w14:schemeClr w14:val="tx1"/>
            </w14:solidFill>
          </w14:textFill>
        </w:rPr>
        <w:t>。</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（2）地表水环境质量现状</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挠力河口内国控断面水质能够满足《地表水环境质量标准》（GB3838-2002）中的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Ⅲ</w:t>
      </w:r>
      <w:r>
        <w:rPr>
          <w:rFonts w:ascii="Times New Roman" w:hAnsi="Times New Roman" w:cs="Times New Roman" w:eastAsiaTheme="minorEastAsia"/>
          <w:color w:val="000000" w:themeColor="text1"/>
          <w:sz w:val="24"/>
          <w:szCs w:val="24"/>
          <w:lang w:val="en-US"/>
          <w14:textFill>
            <w14:solidFill>
              <w14:schemeClr w14:val="tx1"/>
            </w14:solidFill>
          </w14:textFill>
        </w:rPr>
        <w:t>类标准要求，地表水环境质量现状良好。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（3）声环境质量现状</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从噪声现状监测结果来看，本项目所在地厂界声环境现状质量满足《声环境质量标准》（GB3096-2008）中</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类标准，声环境质量较好。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（4）土壤环境质量现状</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监测结果表明，1#~3#各点所有监测指标均达到《土壤环境质量建设用地土壤污染风险管控标准（试行）》（GB 36600-2018）中的二类建设用地风险筛选值标准，说明项目所在区域及其周边土壤环境质量状况良好。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（5）生态环境</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所在区域由于多年的开发活动，本项目区自然生态环境已为人工生态环境所取代。项目区域内主要为绿化植被分布，以杨树、柳树、丁香为主，有效地改善了生态环境质量。本区陆生动物有少量的野生动物，包括鸟、鼠、昆虫等，但已无大型野生哺乳动物。</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9.1.</w:t>
      </w:r>
      <w:r>
        <w:rPr>
          <w:rFonts w:hint="eastAsia" w:ascii="Times New Roman" w:hAnsi="Times New Roman" w:eastAsia="新宋体" w:cstheme="minorBidi"/>
          <w:color w:val="000000" w:themeColor="text1"/>
          <w:szCs w:val="24"/>
          <w:lang w:val="en-US" w:bidi="ar-SA"/>
          <w14:textFill>
            <w14:solidFill>
              <w14:schemeClr w14:val="tx1"/>
            </w14:solidFill>
          </w14:textFill>
        </w:rPr>
        <w:t>4</w:t>
      </w:r>
      <w:r>
        <w:rPr>
          <w:rFonts w:ascii="Times New Roman" w:hAnsi="Times New Roman" w:eastAsia="新宋体" w:cstheme="minorBidi"/>
          <w:color w:val="000000" w:themeColor="text1"/>
          <w:szCs w:val="24"/>
          <w:lang w:val="en-US" w:bidi="ar-SA"/>
          <w14:textFill>
            <w14:solidFill>
              <w14:schemeClr w14:val="tx1"/>
            </w14:solidFill>
          </w14:textFill>
        </w:rPr>
        <w:t>污染物排放、环保措施、环境影响结论</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（1）大气污染防治措施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本次扩建锅炉烟气经除尘效率不低于99.</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w:t>
      </w:r>
      <w:r>
        <w:rPr>
          <w:rFonts w:ascii="Times New Roman" w:hAnsi="Times New Roman" w:cs="Times New Roman" w:eastAsiaTheme="minorEastAsia"/>
          <w:color w:val="000000" w:themeColor="text1"/>
          <w:sz w:val="24"/>
          <w:szCs w:val="24"/>
          <w:lang w:val="en-US"/>
          <w14:textFill>
            <w14:solidFill>
              <w14:schemeClr w14:val="tx1"/>
            </w14:solidFill>
          </w14:textFill>
        </w:rPr>
        <w:t>5%的布袋除尘器、脱硫效率不小于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95</w:t>
      </w:r>
      <w:r>
        <w:rPr>
          <w:rFonts w:ascii="Times New Roman" w:hAnsi="Times New Roman" w:cs="Times New Roman" w:eastAsiaTheme="minorEastAsia"/>
          <w:color w:val="000000" w:themeColor="text1"/>
          <w:sz w:val="24"/>
          <w:szCs w:val="24"/>
          <w:lang w:val="en-US"/>
          <w14:textFill>
            <w14:solidFill>
              <w14:schemeClr w14:val="tx1"/>
            </w14:solidFill>
          </w14:textFill>
        </w:rPr>
        <w:t>%的湿式镁法脱硫塔、脱硝效率不低于</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80</w:t>
      </w:r>
      <w:r>
        <w:rPr>
          <w:rFonts w:ascii="Times New Roman" w:hAnsi="Times New Roman" w:cs="Times New Roman" w:eastAsiaTheme="minorEastAsia"/>
          <w:color w:val="000000" w:themeColor="text1"/>
          <w:sz w:val="24"/>
          <w:szCs w:val="24"/>
          <w:lang w:val="en-US"/>
          <w14:textFill>
            <w14:solidFill>
              <w14:schemeClr w14:val="tx1"/>
            </w14:solidFill>
          </w14:textFill>
        </w:rPr>
        <w:t>%的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低氮燃烧和</w:t>
      </w:r>
      <w:r>
        <w:rPr>
          <w:rFonts w:ascii="Times New Roman" w:hAnsi="Times New Roman" w:cs="Times New Roman" w:eastAsiaTheme="minorEastAsia"/>
          <w:color w:val="000000" w:themeColor="text1"/>
          <w:sz w:val="24"/>
          <w:szCs w:val="24"/>
          <w:lang w:val="en-US"/>
          <w14:textFill>
            <w14:solidFill>
              <w14:schemeClr w14:val="tx1"/>
            </w14:solidFill>
          </w14:textFill>
        </w:rPr>
        <w:t>SNCR</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-SCR</w:t>
      </w:r>
      <w:r>
        <w:rPr>
          <w:rFonts w:ascii="Times New Roman" w:hAnsi="Times New Roman" w:cs="Times New Roman" w:eastAsiaTheme="minorEastAsia"/>
          <w:color w:val="000000" w:themeColor="text1"/>
          <w:sz w:val="24"/>
          <w:szCs w:val="24"/>
          <w:lang w:val="en-US"/>
          <w14:textFill>
            <w14:solidFill>
              <w14:schemeClr w14:val="tx1"/>
            </w14:solidFill>
          </w14:textFill>
        </w:rPr>
        <w:t>尿素脱硝，处理后的烟气经由</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100</w:t>
      </w:r>
      <w:r>
        <w:rPr>
          <w:rFonts w:ascii="Times New Roman" w:hAnsi="Times New Roman" w:cs="Times New Roman" w:eastAsiaTheme="minorEastAsia"/>
          <w:color w:val="000000" w:themeColor="text1"/>
          <w:sz w:val="24"/>
          <w:szCs w:val="24"/>
          <w:lang w:val="en-US"/>
          <w14:textFill>
            <w14:solidFill>
              <w14:schemeClr w14:val="tx1"/>
            </w14:solidFill>
          </w14:textFill>
        </w:rPr>
        <w:t>m高烟囱排入大气。采用上述处理措施后，本项目排放的锅炉大气污染物均满足《关于印发&lt;全面实施燃煤电厂超低排放和节能改造工作方案&gt;的通知》（环发 [2015]164号）要求，达到超低排放限值要求。厂区内原有输煤系统的筛分、破碎、输送环节均已采用封闭措施，环锤破碎机和振动筛完全封闭于室内，产生的煤尘不外泄；输送过程采用封闭煤廊带式输送机输送。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储煤场及灰渣场均为半封闭结构，安装防风抑尘网并才用苫布遮盖，定期洒水增湿降尘</w:t>
      </w:r>
      <w:r>
        <w:rPr>
          <w:rFonts w:ascii="Times New Roman" w:hAnsi="Times New Roman" w:cs="Times New Roman" w:eastAsiaTheme="minorEastAsia"/>
          <w:color w:val="000000" w:themeColor="text1"/>
          <w:sz w:val="24"/>
          <w:szCs w:val="24"/>
          <w:lang w:val="en-US"/>
          <w14:textFill>
            <w14:solidFill>
              <w14:schemeClr w14:val="tx1"/>
            </w14:solidFill>
          </w14:textFill>
        </w:rPr>
        <w:t>。采取以上措施，厂界颗粒物浓度可以满足《大气污染物综合排放标准》（GB16297~1996）中无组织排放源周界外浓度限值（1.0mg/m</w:t>
      </w:r>
      <w:r>
        <w:rPr>
          <w:rFonts w:ascii="Times New Roman" w:hAnsi="Times New Roman" w:cs="Times New Roman" w:eastAsiaTheme="minorEastAsia"/>
          <w:color w:val="000000" w:themeColor="text1"/>
          <w:sz w:val="24"/>
          <w:szCs w:val="24"/>
          <w:vertAlign w:val="superscript"/>
          <w:lang w:val="en-US"/>
          <w14:textFill>
            <w14:solidFill>
              <w14:schemeClr w14:val="tx1"/>
            </w14:solidFill>
          </w14:textFill>
        </w:rPr>
        <w:t>3</w:t>
      </w:r>
      <w:r>
        <w:rPr>
          <w:rFonts w:ascii="Times New Roman" w:hAnsi="Times New Roman" w:cs="Times New Roman" w:eastAsiaTheme="minorEastAsia"/>
          <w:color w:val="000000" w:themeColor="text1"/>
          <w:sz w:val="24"/>
          <w:szCs w:val="24"/>
          <w:lang w:val="en-US"/>
          <w14:textFill>
            <w14:solidFill>
              <w14:schemeClr w14:val="tx1"/>
            </w14:solidFill>
          </w14:textFill>
        </w:rPr>
        <w:t>）的要求，厂区扬尘对外环境影响较小，可被周围环境所接受。根据《排污许可证申请与核发技术规范锅炉》（HJ953-2018），</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本项目所采取的污染防治措施均为可行性措施。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（2）水污染防治措施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本项目排水主要为工艺排水，工艺排水全部回用于厂区内冲渣、脱硫、降尘、地面冲洗，不外排。生活污水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排入</w:t>
      </w:r>
      <w:r>
        <w:rPr>
          <w:rFonts w:ascii="Times New Roman" w:hAnsi="Times New Roman" w:cs="Times New Roman" w:eastAsiaTheme="minorEastAsia"/>
          <w:color w:val="000000" w:themeColor="text1"/>
          <w:sz w:val="24"/>
          <w:szCs w:val="24"/>
          <w:lang w:val="en-US"/>
          <w14:textFill>
            <w14:solidFill>
              <w14:schemeClr w14:val="tx1"/>
            </w14:solidFill>
          </w14:textFill>
        </w:rPr>
        <w:t>防渗化粪池</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，定期清运至黑龙江红兴隆农垦清洁污水处理有限公司（集中污水处理厂）进行处理。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（3）噪声污染防治措施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主要噪声源为锅炉引风、送风机及各类泵等。按噪声产生的机理来看，设备噪声以机械噪声与空气动力噪声为主，通常一种发声设备同时存在几种噪声形式。因此针对不同设备，不同噪声形式，本项目采取不同的控制措施，首先从声源角度进行考虑，选择噪声级较低的设备；其次从工程的控制角度和管理角度入手，采取隔声、消声等措施，并加强管理，可有效的减少厂区内噪声对环境的污染。</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（4）固体废物污染防治措施</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各种固体废物及危险废物</w:t>
      </w:r>
      <w:r>
        <w:rPr>
          <w:rFonts w:ascii="Times New Roman" w:hAnsi="Times New Roman" w:cs="Times New Roman" w:eastAsiaTheme="minorEastAsia"/>
          <w:color w:val="000000" w:themeColor="text1"/>
          <w:sz w:val="24"/>
          <w:szCs w:val="24"/>
          <w:lang w:val="en-US"/>
          <w14:textFill>
            <w14:solidFill>
              <w14:schemeClr w14:val="tx1"/>
            </w14:solidFill>
          </w14:textFill>
        </w:rPr>
        <w:t>综合利用率达到100%。</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9.1.</w:t>
      </w:r>
      <w:r>
        <w:rPr>
          <w:rFonts w:hint="eastAsia" w:ascii="Times New Roman" w:hAnsi="Times New Roman" w:eastAsia="新宋体" w:cstheme="minorBidi"/>
          <w:color w:val="000000" w:themeColor="text1"/>
          <w:szCs w:val="24"/>
          <w:lang w:val="en-US" w:bidi="ar-SA"/>
          <w14:textFill>
            <w14:solidFill>
              <w14:schemeClr w14:val="tx1"/>
            </w14:solidFill>
          </w14:textFill>
        </w:rPr>
        <w:t>5</w:t>
      </w:r>
      <w:r>
        <w:rPr>
          <w:rFonts w:ascii="Times New Roman" w:hAnsi="Times New Roman" w:eastAsia="新宋体" w:cstheme="minorBidi"/>
          <w:color w:val="000000" w:themeColor="text1"/>
          <w:szCs w:val="24"/>
          <w:lang w:val="en-US" w:bidi="ar-SA"/>
          <w14:textFill>
            <w14:solidFill>
              <w14:schemeClr w14:val="tx1"/>
            </w14:solidFill>
          </w14:textFill>
        </w:rPr>
        <w:t>环境影响预测评价结论</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（1）环境空气影响评价</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新增污染源正常排放下SO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10</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2.5</w:t>
      </w:r>
      <w:r>
        <w:rPr>
          <w:rFonts w:ascii="Times New Roman" w:hAnsi="Times New Roman" w:cs="Times New Roman" w:eastAsiaTheme="minorEastAsia"/>
          <w:color w:val="000000" w:themeColor="text1"/>
          <w:sz w:val="24"/>
          <w:szCs w:val="24"/>
          <w:lang w:val="en-US"/>
          <w14:textFill>
            <w14:solidFill>
              <w14:schemeClr w14:val="tx1"/>
            </w14:solidFill>
          </w14:textFill>
        </w:rPr>
        <w:t>、</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TS</w:t>
      </w:r>
      <w:r>
        <w:rPr>
          <w:rFonts w:ascii="Times New Roman" w:hAnsi="Times New Roman" w:cs="Times New Roman" w:eastAsiaTheme="minorEastAsia"/>
          <w:color w:val="000000" w:themeColor="text1"/>
          <w:sz w:val="24"/>
          <w:szCs w:val="24"/>
          <w:lang w:val="en-US"/>
          <w14:textFill>
            <w14:solidFill>
              <w14:schemeClr w14:val="tx1"/>
            </w14:solidFill>
          </w14:textFill>
        </w:rPr>
        <w:t>P</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、NH</w:t>
      </w:r>
      <w:r>
        <w:rPr>
          <w:rFonts w:hint="eastAsia" w:ascii="Times New Roman" w:hAnsi="Times New Roman" w:cs="Times New Roman" w:eastAsiaTheme="minorEastAsia"/>
          <w:color w:val="000000" w:themeColor="text1"/>
          <w:sz w:val="24"/>
          <w:szCs w:val="24"/>
          <w:vertAlign w:val="subscript"/>
          <w:lang w:val="en-US"/>
          <w14:textFill>
            <w14:solidFill>
              <w14:schemeClr w14:val="tx1"/>
            </w14:solidFill>
          </w14:textFill>
        </w:rPr>
        <w:t>3</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、Hg短期浓度或长期浓度的最大浓度贡献值达标。</w:t>
      </w:r>
      <w:r>
        <w:rPr>
          <w:rFonts w:ascii="Times New Roman" w:hAnsi="Times New Roman" w:cs="Times New Roman" w:eastAsiaTheme="minorEastAsia"/>
          <w:color w:val="000000" w:themeColor="text1"/>
          <w:sz w:val="24"/>
          <w:szCs w:val="24"/>
          <w:lang w:val="en-US"/>
          <w14:textFill>
            <w14:solidFill>
              <w14:schemeClr w14:val="tx1"/>
            </w14:solidFill>
          </w14:textFill>
        </w:rPr>
        <w:t>叠加环境质量现状后的保证率日平均质量浓度</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及</w:t>
      </w:r>
      <w:r>
        <w:rPr>
          <w:rFonts w:ascii="Times New Roman" w:hAnsi="Times New Roman" w:cs="Times New Roman" w:eastAsiaTheme="minorEastAsia"/>
          <w:color w:val="000000" w:themeColor="text1"/>
          <w:sz w:val="24"/>
          <w:szCs w:val="24"/>
          <w:lang w:val="en-US"/>
          <w14:textFill>
            <w14:solidFill>
              <w14:schemeClr w14:val="tx1"/>
            </w14:solidFill>
          </w14:textFill>
        </w:rPr>
        <w:t>年平均质量浓度</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均</w:t>
      </w:r>
      <w:r>
        <w:rPr>
          <w:rFonts w:ascii="Times New Roman" w:hAnsi="Times New Roman" w:cs="Times New Roman" w:eastAsiaTheme="minorEastAsia"/>
          <w:color w:val="000000" w:themeColor="text1"/>
          <w:sz w:val="24"/>
          <w:szCs w:val="24"/>
          <w:lang w:val="en-US"/>
          <w14:textFill>
            <w14:solidFill>
              <w14:schemeClr w14:val="tx1"/>
            </w14:solidFill>
          </w14:textFill>
        </w:rPr>
        <w:t>能够满足《环境空气质量标准》（GB3095-2012）中二级标准限值的要求</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w:t>
      </w:r>
      <w:r>
        <w:rPr>
          <w:rFonts w:ascii="Times New Roman" w:hAnsi="Times New Roman" w:cs="Times New Roman" w:eastAsiaTheme="minorEastAsia"/>
          <w:color w:val="000000" w:themeColor="text1"/>
          <w:sz w:val="24"/>
          <w:szCs w:val="24"/>
          <w:lang w:val="en-US"/>
          <w14:textFill>
            <w14:solidFill>
              <w14:schemeClr w14:val="tx1"/>
            </w14:solidFill>
          </w14:textFill>
        </w:rPr>
        <w:t>叠加环境质量现状后的</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TS</w:t>
      </w:r>
      <w:r>
        <w:rPr>
          <w:rFonts w:ascii="Times New Roman" w:hAnsi="Times New Roman" w:cs="Times New Roman" w:eastAsiaTheme="minorEastAsia"/>
          <w:color w:val="000000" w:themeColor="text1"/>
          <w:sz w:val="24"/>
          <w:szCs w:val="24"/>
          <w:lang w:val="en-US"/>
          <w14:textFill>
            <w14:solidFill>
              <w14:schemeClr w14:val="tx1"/>
            </w14:solidFill>
          </w14:textFill>
        </w:rPr>
        <w:t>P</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短期浓度均</w:t>
      </w:r>
      <w:r>
        <w:rPr>
          <w:rFonts w:ascii="Times New Roman" w:hAnsi="Times New Roman" w:cs="Times New Roman" w:eastAsiaTheme="minorEastAsia"/>
          <w:color w:val="000000" w:themeColor="text1"/>
          <w:sz w:val="24"/>
          <w:szCs w:val="24"/>
          <w:lang w:val="en-US"/>
          <w14:textFill>
            <w14:solidFill>
              <w14:schemeClr w14:val="tx1"/>
            </w14:solidFill>
          </w14:textFill>
        </w:rPr>
        <w:t>能够满足《环境空气质量标准》（GB3095-2012）中二级标准限值的要求。新增污染源</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非</w:t>
      </w:r>
      <w:r>
        <w:rPr>
          <w:rFonts w:ascii="Times New Roman" w:hAnsi="Times New Roman" w:cs="Times New Roman" w:eastAsiaTheme="minorEastAsia"/>
          <w:color w:val="000000" w:themeColor="text1"/>
          <w:sz w:val="24"/>
          <w:szCs w:val="24"/>
          <w:lang w:val="en-US"/>
          <w14:textFill>
            <w14:solidFill>
              <w14:schemeClr w14:val="tx1"/>
            </w14:solidFill>
          </w14:textFill>
        </w:rPr>
        <w:t>正常排放下SO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、NO</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、PM</w:t>
      </w:r>
      <w:r>
        <w:rPr>
          <w:rFonts w:ascii="Times New Roman" w:hAnsi="Times New Roman" w:cs="Times New Roman" w:eastAsiaTheme="minorEastAsia"/>
          <w:color w:val="000000" w:themeColor="text1"/>
          <w:sz w:val="24"/>
          <w:szCs w:val="24"/>
          <w:vertAlign w:val="subscript"/>
          <w:lang w:val="en-US"/>
          <w14:textFill>
            <w14:solidFill>
              <w14:schemeClr w14:val="tx1"/>
            </w14:solidFill>
          </w14:textFill>
        </w:rPr>
        <w:t>10</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1小时平均质量浓度贡献值达标。</w:t>
      </w:r>
      <w:r>
        <w:rPr>
          <w:rFonts w:ascii="Times New Roman" w:hAnsi="Times New Roman" w:cs="Times New Roman" w:eastAsiaTheme="minorEastAsia"/>
          <w:color w:val="000000" w:themeColor="text1"/>
          <w:sz w:val="24"/>
          <w:szCs w:val="24"/>
          <w:lang w:val="en-US"/>
          <w14:textFill>
            <w14:solidFill>
              <w14:schemeClr w14:val="tx1"/>
            </w14:solidFill>
          </w14:textFill>
        </w:rPr>
        <w:t>根据本项目大气预测计算结果，本项目污染物厂界浓度满足大气污染物厂界浓度限值，且厂界外大气污染物短期贡献浓度未超过环境质量浓度限值，故不需设置大气环境防护距离。本项目除尘器、脱硫系统和脱硝系统出现非正常工况时情况，排放废气污染物对评价区环境空气质量有一定影响。因此，本项目应加强环保设施运行管理，杜绝事故排放。</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综上所述，从环境空气角度，本项目在拟建厂址建设是可行的。</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（2）地表水环境影响分析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本项目建成后，工艺排水回用，不外排。生活污水</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排入</w:t>
      </w:r>
      <w:r>
        <w:rPr>
          <w:rFonts w:ascii="Times New Roman" w:hAnsi="Times New Roman" w:cs="Times New Roman" w:eastAsiaTheme="minorEastAsia"/>
          <w:color w:val="000000" w:themeColor="text1"/>
          <w:sz w:val="24"/>
          <w:szCs w:val="24"/>
          <w:lang w:val="en-US"/>
          <w14:textFill>
            <w14:solidFill>
              <w14:schemeClr w14:val="tx1"/>
            </w14:solidFill>
          </w14:textFill>
        </w:rPr>
        <w:t>防渗化粪池</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，定期清运至黑龙江红兴隆农垦清洁污水处理有限公司（集中污水处理厂）进行处理。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从地表水环境角度而言，项目的建设是可行的。</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（3）声环境影响预测及评价</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本项目运营后，各厂界昼夜间噪声均满足《声环境质量标准》（GB3096-2008）中</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2</w:t>
      </w:r>
      <w:r>
        <w:rPr>
          <w:rFonts w:ascii="Times New Roman" w:hAnsi="Times New Roman" w:cs="Times New Roman" w:eastAsiaTheme="minorEastAsia"/>
          <w:color w:val="000000" w:themeColor="text1"/>
          <w:sz w:val="24"/>
          <w:szCs w:val="24"/>
          <w:lang w:val="en-US"/>
          <w14:textFill>
            <w14:solidFill>
              <w14:schemeClr w14:val="tx1"/>
            </w14:solidFill>
          </w14:textFill>
        </w:rPr>
        <w:t>类标准限值的要求。从声环境影响的角度分析，本项目的建设是可行的。</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（4）固体废物环境影响分析</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本项目产生的固体废物综合利用率达到100%，固体废物均得到妥善处理不外排，对外环境无影响。</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因此，从固体废物环境影响的角度分析，本项目的建设是可行的。</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9.1.</w:t>
      </w:r>
      <w:r>
        <w:rPr>
          <w:rFonts w:hint="eastAsia" w:ascii="Times New Roman" w:hAnsi="Times New Roman" w:eastAsia="新宋体" w:cstheme="minorBidi"/>
          <w:color w:val="000000" w:themeColor="text1"/>
          <w:szCs w:val="24"/>
          <w:lang w:val="en-US" w:bidi="ar-SA"/>
          <w14:textFill>
            <w14:solidFill>
              <w14:schemeClr w14:val="tx1"/>
            </w14:solidFill>
          </w14:textFill>
        </w:rPr>
        <w:t>6</w:t>
      </w:r>
      <w:r>
        <w:rPr>
          <w:rFonts w:ascii="Times New Roman" w:hAnsi="Times New Roman" w:eastAsia="新宋体" w:cstheme="minorBidi"/>
          <w:color w:val="000000" w:themeColor="text1"/>
          <w:szCs w:val="24"/>
          <w:lang w:val="en-US" w:bidi="ar-SA"/>
          <w14:textFill>
            <w14:solidFill>
              <w14:schemeClr w14:val="tx1"/>
            </w14:solidFill>
          </w14:textFill>
        </w:rPr>
        <w:t>公众参与采纳情况</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建设单位环评开展阶段，采用网上公示、报纸公示、现场公示等方式进行公众意见调查。</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公众参与符合《环境影响评价公众参与办法》中规定的形式和内容要求，公众参与期间，无公众查阅纸版报告书，建设单位未接到公众的反馈意见。</w:t>
      </w:r>
    </w:p>
    <w:p>
      <w:pPr>
        <w:pStyle w:val="5"/>
        <w:ind w:firstLineChars="0"/>
        <w:jc w:val="both"/>
        <w:rPr>
          <w:rFonts w:ascii="Times New Roman" w:hAnsi="Times New Roman" w:eastAsia="新宋体" w:cstheme="minorBidi"/>
          <w:color w:val="000000" w:themeColor="text1"/>
          <w:szCs w:val="24"/>
          <w:lang w:val="en-US" w:bidi="ar-SA"/>
          <w14:textFill>
            <w14:solidFill>
              <w14:schemeClr w14:val="tx1"/>
            </w14:solidFill>
          </w14:textFill>
        </w:rPr>
      </w:pPr>
      <w:r>
        <w:rPr>
          <w:rFonts w:ascii="Times New Roman" w:hAnsi="Times New Roman" w:eastAsia="新宋体" w:cstheme="minorBidi"/>
          <w:color w:val="000000" w:themeColor="text1"/>
          <w:szCs w:val="24"/>
          <w:lang w:val="en-US" w:bidi="ar-SA"/>
          <w14:textFill>
            <w14:solidFill>
              <w14:schemeClr w14:val="tx1"/>
            </w14:solidFill>
          </w14:textFill>
        </w:rPr>
        <w:t>9.1.</w:t>
      </w:r>
      <w:r>
        <w:rPr>
          <w:rFonts w:hint="eastAsia" w:ascii="Times New Roman" w:hAnsi="Times New Roman" w:eastAsia="新宋体" w:cstheme="minorBidi"/>
          <w:color w:val="000000" w:themeColor="text1"/>
          <w:szCs w:val="24"/>
          <w:lang w:val="en-US" w:bidi="ar-SA"/>
          <w14:textFill>
            <w14:solidFill>
              <w14:schemeClr w14:val="tx1"/>
            </w14:solidFill>
          </w14:textFill>
        </w:rPr>
        <w:t>7</w:t>
      </w:r>
      <w:r>
        <w:rPr>
          <w:rFonts w:ascii="Times New Roman" w:hAnsi="Times New Roman" w:eastAsia="新宋体" w:cstheme="minorBidi"/>
          <w:color w:val="000000" w:themeColor="text1"/>
          <w:szCs w:val="24"/>
          <w:lang w:val="en-US" w:bidi="ar-SA"/>
          <w14:textFill>
            <w14:solidFill>
              <w14:schemeClr w14:val="tx1"/>
            </w14:solidFill>
          </w14:textFill>
        </w:rPr>
        <w:t xml:space="preserve"> 综合评价</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综上所述，本项目符合国家产业政策，选址符合城市总体规划及地区供热规划的要求，其建设将对促进</w:t>
      </w:r>
      <w:r>
        <w:rPr>
          <w:rFonts w:hint="eastAsia" w:ascii="Times New Roman" w:hAnsi="Times New Roman" w:cs="Times New Roman" w:eastAsiaTheme="minorEastAsia"/>
          <w:color w:val="000000" w:themeColor="text1"/>
          <w:sz w:val="24"/>
          <w:szCs w:val="24"/>
          <w:lang w:val="en-US"/>
          <w14:textFill>
            <w14:solidFill>
              <w14:schemeClr w14:val="tx1"/>
            </w14:solidFill>
          </w14:textFill>
        </w:rPr>
        <w:t>红兴隆地区</w:t>
      </w:r>
      <w:r>
        <w:rPr>
          <w:rFonts w:ascii="Times New Roman" w:hAnsi="Times New Roman" w:cs="Times New Roman" w:eastAsiaTheme="minorEastAsia"/>
          <w:color w:val="000000" w:themeColor="text1"/>
          <w:sz w:val="24"/>
          <w:szCs w:val="24"/>
          <w:lang w:val="en-US"/>
          <w14:textFill>
            <w14:solidFill>
              <w14:schemeClr w14:val="tx1"/>
            </w14:solidFill>
          </w14:textFill>
        </w:rPr>
        <w:t>经济发展、改善居民供热条件起到重要作用。综合环境空气影响评价、水环境影响分析、声环境影响评价及固体废物环境影响分析，结合环境经济损益分析结论，在确保报告书提出的污染防治措施全面实施并正常运行的前提下，通过加强环境管理及环境监测，杜绝事故排放，本项目的建设可被周围环境所接受。因此，本项目的实施可以使区域环境空气质量得到进一步改善，从环境保护的角度分析是可行的。</w:t>
      </w:r>
    </w:p>
    <w:p>
      <w:pPr>
        <w:pStyle w:val="4"/>
        <w:spacing w:line="600" w:lineRule="exact"/>
        <w:ind w:firstLine="637" w:firstLineChars="0"/>
        <w:jc w:val="both"/>
        <w:rPr>
          <w:rFonts w:ascii="Times New Roman" w:hAnsi="Times New Roman" w:cs="Times New Roman" w:eastAsiaTheme="minorEastAsia"/>
          <w:color w:val="000000" w:themeColor="text1"/>
          <w:szCs w:val="24"/>
          <w:lang w:val="en-US" w:bidi="ar-SA"/>
          <w14:textFill>
            <w14:solidFill>
              <w14:schemeClr w14:val="tx1"/>
            </w14:solidFill>
          </w14:textFill>
        </w:rPr>
      </w:pPr>
      <w:bookmarkStart w:id="374" w:name="_Toc530923526"/>
      <w:bookmarkStart w:id="375" w:name="_Toc334779753"/>
      <w:bookmarkStart w:id="376" w:name="_Toc420766554"/>
      <w:bookmarkStart w:id="377" w:name="_Toc173213336"/>
      <w:bookmarkStart w:id="378" w:name="_Toc162605206"/>
      <w:r>
        <w:rPr>
          <w:rFonts w:ascii="Times New Roman" w:hAnsi="Times New Roman" w:cs="Times New Roman" w:eastAsiaTheme="minorEastAsia"/>
          <w:color w:val="000000" w:themeColor="text1"/>
          <w:szCs w:val="24"/>
          <w:lang w:val="en-US" w:bidi="ar-SA"/>
          <w14:textFill>
            <w14:solidFill>
              <w14:schemeClr w14:val="tx1"/>
            </w14:solidFill>
          </w14:textFill>
        </w:rPr>
        <w:t>9.2要求与建议</w:t>
      </w:r>
      <w:bookmarkEnd w:id="374"/>
      <w:bookmarkEnd w:id="375"/>
      <w:bookmarkEnd w:id="376"/>
      <w:bookmarkEnd w:id="377"/>
      <w:bookmarkEnd w:id="378"/>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（1）加强管理，提高公司全体员工的环保意识。</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（2）建设过程中要严格执行“三同时”制度，建成后，各项环保设施经有关部门验收一格后，方可正式运行。</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pPr>
      <w:r>
        <w:rPr>
          <w:rFonts w:ascii="Times New Roman" w:hAnsi="Times New Roman" w:cs="Times New Roman" w:eastAsiaTheme="minorEastAsia"/>
          <w:color w:val="000000" w:themeColor="text1"/>
          <w:sz w:val="24"/>
          <w:szCs w:val="24"/>
          <w:lang w:val="en-US"/>
          <w14:textFill>
            <w14:solidFill>
              <w14:schemeClr w14:val="tx1"/>
            </w14:solidFill>
          </w14:textFill>
        </w:rPr>
        <w:t>（3）建议委托监理单位开展环境监理，确保各项污染防治措施、环境风险防范设施落实到位。</w:t>
      </w:r>
    </w:p>
    <w:p>
      <w:pPr>
        <w:pStyle w:val="26"/>
        <w:spacing w:line="500" w:lineRule="exact"/>
        <w:ind w:firstLine="476" w:firstLineChars="200"/>
        <w:jc w:val="both"/>
        <w:rPr>
          <w:rFonts w:ascii="Times New Roman" w:hAnsi="Times New Roman" w:cs="Times New Roman" w:eastAsiaTheme="minorEastAsia"/>
          <w:color w:val="000000" w:themeColor="text1"/>
          <w:sz w:val="24"/>
          <w:szCs w:val="24"/>
          <w:lang w:val="en-US"/>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0" w:num="1"/>
          <w:docGrid w:type="linesAndChars" w:linePitch="312" w:charSpace="-551"/>
        </w:sectPr>
      </w:pPr>
      <w:r>
        <w:rPr>
          <w:rFonts w:ascii="Times New Roman" w:hAnsi="Times New Roman" w:cs="Times New Roman" w:eastAsiaTheme="minorEastAsia"/>
          <w:color w:val="000000" w:themeColor="text1"/>
          <w:sz w:val="24"/>
          <w:szCs w:val="24"/>
          <w:lang w:val="en-US"/>
          <w14:textFill>
            <w14:solidFill>
              <w14:schemeClr w14:val="tx1"/>
            </w14:solidFill>
          </w14:textFill>
        </w:rPr>
        <w:t>（4）目前项目处于环评阶段，经委托我单位开展环境影响评价，结果表明从环境保护角度，项目建设可行。建设单位应关注后续环保设计，按照报告书及环评批复中要求的污染防治措施，逐一落实。</w:t>
      </w: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附表1  大气环境影响评价自查表</w:t>
      </w:r>
    </w:p>
    <w:tbl>
      <w:tblPr>
        <w:tblStyle w:val="70"/>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Layout w:type="autofit"/>
        <w:tblCellMar>
          <w:top w:w="0" w:type="dxa"/>
          <w:left w:w="28" w:type="dxa"/>
          <w:bottom w:w="0" w:type="dxa"/>
          <w:right w:w="28" w:type="dxa"/>
        </w:tblCellMar>
      </w:tblPr>
      <w:tblGrid>
        <w:gridCol w:w="471"/>
        <w:gridCol w:w="1231"/>
        <w:gridCol w:w="958"/>
        <w:gridCol w:w="783"/>
        <w:gridCol w:w="709"/>
        <w:gridCol w:w="708"/>
        <w:gridCol w:w="1372"/>
        <w:gridCol w:w="1130"/>
        <w:gridCol w:w="611"/>
        <w:gridCol w:w="389"/>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1315"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工作内容</w:t>
            </w:r>
          </w:p>
        </w:tc>
        <w:tc>
          <w:tcPr>
            <w:tcW w:w="3685" w:type="pct"/>
            <w:gridSpan w:val="8"/>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自查项目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评价等级</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与范围</w:t>
            </w: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评价等级</w:t>
            </w:r>
          </w:p>
        </w:tc>
        <w:tc>
          <w:tcPr>
            <w:tcW w:w="1631" w:type="pct"/>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一级（√）</w:t>
            </w:r>
          </w:p>
        </w:tc>
        <w:tc>
          <w:tcPr>
            <w:tcW w:w="146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二级□</w:t>
            </w:r>
          </w:p>
        </w:tc>
        <w:tc>
          <w:tcPr>
            <w:tcW w:w="59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评价范围</w:t>
            </w:r>
          </w:p>
        </w:tc>
        <w:tc>
          <w:tcPr>
            <w:tcW w:w="1631" w:type="pct"/>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边长=50km□</w:t>
            </w:r>
          </w:p>
        </w:tc>
        <w:tc>
          <w:tcPr>
            <w:tcW w:w="146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边长=5~50km□</w:t>
            </w:r>
          </w:p>
        </w:tc>
        <w:tc>
          <w:tcPr>
            <w:tcW w:w="59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边长=5km（√）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评价因子</w:t>
            </w: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SO2+NOx排放量</w:t>
            </w:r>
          </w:p>
        </w:tc>
        <w:tc>
          <w:tcPr>
            <w:tcW w:w="901"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≥2000t/a□</w:t>
            </w:r>
          </w:p>
        </w:tc>
        <w:tc>
          <w:tcPr>
            <w:tcW w:w="1436"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500~2000t/a□</w:t>
            </w:r>
          </w:p>
        </w:tc>
        <w:tc>
          <w:tcPr>
            <w:tcW w:w="1347"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&lt;500t/a（√）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评价因子</w:t>
            </w:r>
          </w:p>
        </w:tc>
        <w:tc>
          <w:tcPr>
            <w:tcW w:w="2337" w:type="pct"/>
            <w:gridSpan w:val="5"/>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基本污染物（SO2、NO2、PM10、</w:t>
            </w:r>
            <w:r>
              <w:rPr>
                <w:rFonts w:hint="eastAsia" w:ascii="Times New Roman" w:eastAsiaTheme="minorEastAsia"/>
                <w:color w:val="000000" w:themeColor="text1"/>
                <w:sz w:val="21"/>
                <w:szCs w:val="21"/>
                <w14:textFill>
                  <w14:solidFill>
                    <w14:schemeClr w14:val="tx1"/>
                  </w14:solidFill>
                </w14:textFill>
              </w:rPr>
              <w:t>PM2.5、</w:t>
            </w:r>
            <w:r>
              <w:rPr>
                <w:rFonts w:ascii="Times New Roman" w:eastAsiaTheme="minorEastAsia"/>
                <w:color w:val="000000" w:themeColor="text1"/>
                <w:sz w:val="21"/>
                <w:szCs w:val="21"/>
                <w14:textFill>
                  <w14:solidFill>
                    <w14:schemeClr w14:val="tx1"/>
                  </w14:solidFill>
                </w14:textFill>
              </w:rPr>
              <w:t>CO、O3）</w:t>
            </w:r>
          </w:p>
        </w:tc>
        <w:tc>
          <w:tcPr>
            <w:tcW w:w="1347" w:type="pct"/>
            <w:gridSpan w:val="3"/>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包括二次PM2.5□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337" w:type="pct"/>
            <w:gridSpan w:val="5"/>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其他污染物（SO2、NO2、PM10、氨、TSP）</w:t>
            </w:r>
          </w:p>
        </w:tc>
        <w:tc>
          <w:tcPr>
            <w:tcW w:w="1347" w:type="pct"/>
            <w:gridSpan w:val="3"/>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不包括二次PM2.5（√）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评价标准</w:t>
            </w: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评价标准</w:t>
            </w:r>
          </w:p>
        </w:tc>
        <w:tc>
          <w:tcPr>
            <w:tcW w:w="1266"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国家标准（√）</w:t>
            </w:r>
          </w:p>
        </w:tc>
        <w:tc>
          <w:tcPr>
            <w:tcW w:w="107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地方标准□</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附录D□</w:t>
            </w:r>
          </w:p>
        </w:tc>
        <w:tc>
          <w:tcPr>
            <w:tcW w:w="59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其他标准□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现状评价</w:t>
            </w: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评价功能区</w:t>
            </w:r>
          </w:p>
        </w:tc>
        <w:tc>
          <w:tcPr>
            <w:tcW w:w="1631" w:type="pct"/>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一类区□</w:t>
            </w:r>
          </w:p>
        </w:tc>
        <w:tc>
          <w:tcPr>
            <w:tcW w:w="146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二类区（√）</w:t>
            </w:r>
          </w:p>
        </w:tc>
        <w:tc>
          <w:tcPr>
            <w:tcW w:w="59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一类区和二类区□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评价基准年</w:t>
            </w:r>
          </w:p>
        </w:tc>
        <w:tc>
          <w:tcPr>
            <w:tcW w:w="3685" w:type="pct"/>
            <w:gridSpan w:val="8"/>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w:t>
            </w:r>
            <w:r>
              <w:rPr>
                <w:rFonts w:hint="eastAsia" w:ascii="Times New Roman" w:eastAsiaTheme="minorEastAsia"/>
                <w:color w:val="000000" w:themeColor="text1"/>
                <w:sz w:val="21"/>
                <w:szCs w:val="21"/>
                <w14:textFill>
                  <w14:solidFill>
                    <w14:schemeClr w14:val="tx1"/>
                  </w14:solidFill>
                </w14:textFill>
              </w:rPr>
              <w:t>21</w:t>
            </w:r>
            <w:r>
              <w:rPr>
                <w:rFonts w:ascii="Times New Roman" w:eastAsiaTheme="minorEastAsia"/>
                <w:color w:val="000000" w:themeColor="text1"/>
                <w:sz w:val="21"/>
                <w:szCs w:val="21"/>
                <w14:textFill>
                  <w14:solidFill>
                    <w14:schemeClr w14:val="tx1"/>
                  </w14:solidFill>
                </w14:textFill>
              </w:rPr>
              <w:t>）年</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环境空气质量现状调查数据来源</w:t>
            </w:r>
          </w:p>
        </w:tc>
        <w:tc>
          <w:tcPr>
            <w:tcW w:w="1631" w:type="pct"/>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长期例行监测数据□</w:t>
            </w:r>
          </w:p>
        </w:tc>
        <w:tc>
          <w:tcPr>
            <w:tcW w:w="146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主管部门发布的数据（√）</w:t>
            </w:r>
          </w:p>
        </w:tc>
        <w:tc>
          <w:tcPr>
            <w:tcW w:w="59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现状补充检测（√）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现状评价</w:t>
            </w:r>
          </w:p>
        </w:tc>
        <w:tc>
          <w:tcPr>
            <w:tcW w:w="2337" w:type="pct"/>
            <w:gridSpan w:val="5"/>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达标区（√）</w:t>
            </w:r>
          </w:p>
        </w:tc>
        <w:tc>
          <w:tcPr>
            <w:tcW w:w="1347"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不达标区□</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污染源调查</w:t>
            </w:r>
          </w:p>
        </w:tc>
        <w:tc>
          <w:tcPr>
            <w:tcW w:w="101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调查内容</w:t>
            </w:r>
          </w:p>
        </w:tc>
        <w:tc>
          <w:tcPr>
            <w:tcW w:w="1266"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本项目正常排放源（√）</w:t>
            </w:r>
          </w:p>
        </w:tc>
        <w:tc>
          <w:tcPr>
            <w:tcW w:w="1072" w:type="pct"/>
            <w:gridSpan w:val="2"/>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拟替代的污染源□</w:t>
            </w:r>
          </w:p>
        </w:tc>
        <w:tc>
          <w:tcPr>
            <w:tcW w:w="755"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其他在建、拟建项目污染源□</w:t>
            </w:r>
          </w:p>
        </w:tc>
        <w:tc>
          <w:tcPr>
            <w:tcW w:w="592" w:type="pct"/>
            <w:gridSpan w:val="2"/>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区域污染源□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66"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本项目非正常排放源（√）</w:t>
            </w:r>
          </w:p>
        </w:tc>
        <w:tc>
          <w:tcPr>
            <w:tcW w:w="1072"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55"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92"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66"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原有污染源（√）</w:t>
            </w:r>
          </w:p>
        </w:tc>
        <w:tc>
          <w:tcPr>
            <w:tcW w:w="1072"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55"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92"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大气环境影响</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预测与评价</w:t>
            </w: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预测模型</w:t>
            </w:r>
          </w:p>
        </w:tc>
        <w:tc>
          <w:tcPr>
            <w:tcW w:w="49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AERMOD（√）</w:t>
            </w:r>
          </w:p>
        </w:tc>
        <w:tc>
          <w:tcPr>
            <w:tcW w:w="406"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ADMS□</w:t>
            </w:r>
          </w:p>
        </w:tc>
        <w:tc>
          <w:tcPr>
            <w:tcW w:w="729"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AUSTAL2000□</w:t>
            </w:r>
          </w:p>
        </w:tc>
        <w:tc>
          <w:tcPr>
            <w:tcW w:w="70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EDMS/AEDT□</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CALPUFF□</w:t>
            </w:r>
          </w:p>
        </w:tc>
        <w:tc>
          <w:tcPr>
            <w:tcW w:w="36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网格模型□</w:t>
            </w:r>
          </w:p>
        </w:tc>
        <w:tc>
          <w:tcPr>
            <w:tcW w:w="227"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其他□</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（不适用）</w:t>
            </w: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预测范围</w:t>
            </w:r>
          </w:p>
        </w:tc>
        <w:tc>
          <w:tcPr>
            <w:tcW w:w="1631" w:type="pct"/>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边长≥50km□</w:t>
            </w:r>
          </w:p>
        </w:tc>
        <w:tc>
          <w:tcPr>
            <w:tcW w:w="146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边长5~50km□</w:t>
            </w:r>
          </w:p>
        </w:tc>
        <w:tc>
          <w:tcPr>
            <w:tcW w:w="59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边长=5km（√）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w:t>
            </w:r>
          </w:p>
        </w:tc>
        <w:tc>
          <w:tcPr>
            <w:tcW w:w="101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预测因子</w:t>
            </w:r>
          </w:p>
        </w:tc>
        <w:tc>
          <w:tcPr>
            <w:tcW w:w="2337" w:type="pct"/>
            <w:gridSpan w:val="5"/>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预测因子（SO2、NO2、PM10、氨、TSP）</w:t>
            </w:r>
          </w:p>
        </w:tc>
        <w:tc>
          <w:tcPr>
            <w:tcW w:w="1347"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包括二次PM2.5□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w:t>
            </w:r>
          </w:p>
        </w:tc>
        <w:tc>
          <w:tcPr>
            <w:tcW w:w="101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337" w:type="pct"/>
            <w:gridSpan w:val="5"/>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47"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不包括二次PM2.5（√）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w:t>
            </w: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正常排放短期浓度贡献值</w:t>
            </w:r>
          </w:p>
        </w:tc>
        <w:tc>
          <w:tcPr>
            <w:tcW w:w="2337" w:type="pct"/>
            <w:gridSpan w:val="5"/>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C本项目最大占标率≤100%（√）</w:t>
            </w:r>
          </w:p>
        </w:tc>
        <w:tc>
          <w:tcPr>
            <w:tcW w:w="1347"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C本项目最大占标率&gt;100%□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w:t>
            </w:r>
          </w:p>
        </w:tc>
        <w:tc>
          <w:tcPr>
            <w:tcW w:w="101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正常排放年均浓度贡献值</w:t>
            </w:r>
          </w:p>
        </w:tc>
        <w:tc>
          <w:tcPr>
            <w:tcW w:w="901"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一类区</w:t>
            </w:r>
          </w:p>
        </w:tc>
        <w:tc>
          <w:tcPr>
            <w:tcW w:w="1436"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C本项目最大占标率≤10%□</w:t>
            </w:r>
          </w:p>
        </w:tc>
        <w:tc>
          <w:tcPr>
            <w:tcW w:w="1347"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C本项目最大占标率&gt;10%□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w:t>
            </w:r>
          </w:p>
        </w:tc>
        <w:tc>
          <w:tcPr>
            <w:tcW w:w="101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01"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二类区</w:t>
            </w:r>
          </w:p>
        </w:tc>
        <w:tc>
          <w:tcPr>
            <w:tcW w:w="1436"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C本项目最大占标率≤30%（√）</w:t>
            </w:r>
          </w:p>
        </w:tc>
        <w:tc>
          <w:tcPr>
            <w:tcW w:w="1347"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C本项目最大占标率&gt;30%□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w:t>
            </w:r>
          </w:p>
        </w:tc>
        <w:tc>
          <w:tcPr>
            <w:tcW w:w="101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非正常1h浓度贡献值</w:t>
            </w:r>
          </w:p>
        </w:tc>
        <w:tc>
          <w:tcPr>
            <w:tcW w:w="1266"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非正常持续时长</w:t>
            </w:r>
          </w:p>
        </w:tc>
        <w:tc>
          <w:tcPr>
            <w:tcW w:w="1827" w:type="pct"/>
            <w:gridSpan w:val="3"/>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C非正常占标率≤100%（√）</w:t>
            </w:r>
          </w:p>
        </w:tc>
        <w:tc>
          <w:tcPr>
            <w:tcW w:w="592" w:type="pct"/>
            <w:gridSpan w:val="2"/>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C非正常占标率&gt;100%□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w:t>
            </w:r>
          </w:p>
        </w:tc>
        <w:tc>
          <w:tcPr>
            <w:tcW w:w="101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66"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（0.1）h</w:t>
            </w:r>
          </w:p>
        </w:tc>
        <w:tc>
          <w:tcPr>
            <w:tcW w:w="1827" w:type="pct"/>
            <w:gridSpan w:val="3"/>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92"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w:t>
            </w: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保证率日平均浓度和年平均浓度叠加值</w:t>
            </w:r>
          </w:p>
        </w:tc>
        <w:tc>
          <w:tcPr>
            <w:tcW w:w="2337" w:type="pct"/>
            <w:gridSpan w:val="5"/>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C叠加达标（√）</w:t>
            </w:r>
          </w:p>
        </w:tc>
        <w:tc>
          <w:tcPr>
            <w:tcW w:w="1347"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C叠加不达标□</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noWrap/>
            <w:vAlign w:val="bottom"/>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w:t>
            </w: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区域环境质量的整体变化情况</w:t>
            </w:r>
          </w:p>
        </w:tc>
        <w:tc>
          <w:tcPr>
            <w:tcW w:w="2337" w:type="pct"/>
            <w:gridSpan w:val="5"/>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k≤-20%□</w:t>
            </w:r>
          </w:p>
        </w:tc>
        <w:tc>
          <w:tcPr>
            <w:tcW w:w="1347"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k&gt;-20%□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环境监测计划</w:t>
            </w:r>
          </w:p>
        </w:tc>
        <w:tc>
          <w:tcPr>
            <w:tcW w:w="1018"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污染源监测</w:t>
            </w:r>
          </w:p>
        </w:tc>
        <w:tc>
          <w:tcPr>
            <w:tcW w:w="1631" w:type="pct"/>
            <w:gridSpan w:val="4"/>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监测因子：（SO2、NO2、PM10、汞及其化合物、烟气黑度、氨）</w:t>
            </w:r>
          </w:p>
        </w:tc>
        <w:tc>
          <w:tcPr>
            <w:tcW w:w="146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有组织废气监测（√）</w:t>
            </w:r>
          </w:p>
        </w:tc>
        <w:tc>
          <w:tcPr>
            <w:tcW w:w="592" w:type="pct"/>
            <w:gridSpan w:val="2"/>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无监测□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8"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31" w:type="pct"/>
            <w:gridSpan w:val="4"/>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6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无组织废气监测（√）</w:t>
            </w:r>
          </w:p>
        </w:tc>
        <w:tc>
          <w:tcPr>
            <w:tcW w:w="592" w:type="pct"/>
            <w:gridSpan w:val="2"/>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环境质量监测</w:t>
            </w:r>
          </w:p>
        </w:tc>
        <w:tc>
          <w:tcPr>
            <w:tcW w:w="1631" w:type="pct"/>
            <w:gridSpan w:val="4"/>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监测因子：（）</w:t>
            </w:r>
          </w:p>
        </w:tc>
        <w:tc>
          <w:tcPr>
            <w:tcW w:w="146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监测点位数（）</w:t>
            </w:r>
          </w:p>
        </w:tc>
        <w:tc>
          <w:tcPr>
            <w:tcW w:w="59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无监测□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restar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评价结论</w:t>
            </w: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环境影响</w:t>
            </w:r>
          </w:p>
        </w:tc>
        <w:tc>
          <w:tcPr>
            <w:tcW w:w="3685" w:type="pct"/>
            <w:gridSpan w:val="8"/>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可以接受（√）不可以接受□</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大气环境防护距离</w:t>
            </w:r>
          </w:p>
        </w:tc>
        <w:tc>
          <w:tcPr>
            <w:tcW w:w="3685" w:type="pct"/>
            <w:gridSpan w:val="8"/>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距（-)厂界最远（-）m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297" w:type="pct"/>
            <w:vMerge w:val="continue"/>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018"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污染源年排放量</w:t>
            </w:r>
          </w:p>
        </w:tc>
        <w:tc>
          <w:tcPr>
            <w:tcW w:w="1266" w:type="pct"/>
            <w:gridSpan w:val="3"/>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SO2:(</w:t>
            </w:r>
            <w:r>
              <w:rPr>
                <w:rFonts w:hint="eastAsia" w:ascii="Times New Roman" w:eastAsiaTheme="minorEastAsia"/>
                <w:color w:val="000000" w:themeColor="text1"/>
                <w:sz w:val="21"/>
                <w:szCs w:val="21"/>
                <w14:textFill>
                  <w14:solidFill>
                    <w14:schemeClr w14:val="tx1"/>
                  </w14:solidFill>
                </w14:textFill>
              </w:rPr>
              <w:t>5.143</w:t>
            </w:r>
            <w:r>
              <w:rPr>
                <w:rFonts w:ascii="Times New Roman" w:eastAsiaTheme="minorEastAsia"/>
                <w:color w:val="000000" w:themeColor="text1"/>
                <w:sz w:val="21"/>
                <w:szCs w:val="21"/>
                <w14:textFill>
                  <w14:solidFill>
                    <w14:schemeClr w14:val="tx1"/>
                  </w14:solidFill>
                </w14:textFill>
              </w:rPr>
              <w:t>)t/a</w:t>
            </w:r>
          </w:p>
        </w:tc>
        <w:tc>
          <w:tcPr>
            <w:tcW w:w="107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NOx:(</w:t>
            </w:r>
            <w:r>
              <w:rPr>
                <w:rFonts w:hint="eastAsia" w:ascii="Times New Roman" w:eastAsiaTheme="minorEastAsia"/>
                <w:color w:val="000000" w:themeColor="text1"/>
                <w:sz w:val="21"/>
                <w:szCs w:val="21"/>
                <w14:textFill>
                  <w14:solidFill>
                    <w14:schemeClr w14:val="tx1"/>
                  </w14:solidFill>
                </w14:textFill>
              </w:rPr>
              <w:t>9.479</w:t>
            </w:r>
            <w:r>
              <w:rPr>
                <w:rFonts w:ascii="Times New Roman" w:eastAsiaTheme="minorEastAsia"/>
                <w:color w:val="000000" w:themeColor="text1"/>
                <w:sz w:val="21"/>
                <w:szCs w:val="21"/>
                <w14:textFill>
                  <w14:solidFill>
                    <w14:schemeClr w14:val="tx1"/>
                  </w14:solidFill>
                </w14:textFill>
              </w:rPr>
              <w:t>）t/a</w:t>
            </w:r>
          </w:p>
        </w:tc>
        <w:tc>
          <w:tcPr>
            <w:tcW w:w="755" w:type="pct"/>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颗粒物:(</w:t>
            </w:r>
            <w:r>
              <w:rPr>
                <w:rFonts w:hint="eastAsia" w:ascii="Times New Roman" w:eastAsiaTheme="minorEastAsia"/>
                <w:color w:val="000000" w:themeColor="text1"/>
                <w:sz w:val="21"/>
                <w:szCs w:val="21"/>
                <w14:textFill>
                  <w14:solidFill>
                    <w14:schemeClr w14:val="tx1"/>
                  </w14:solidFill>
                </w14:textFill>
              </w:rPr>
              <w:t>0.862</w:t>
            </w:r>
            <w:r>
              <w:rPr>
                <w:rFonts w:ascii="Times New Roman" w:eastAsiaTheme="minorEastAsia"/>
                <w:color w:val="000000" w:themeColor="text1"/>
                <w:sz w:val="21"/>
                <w:szCs w:val="21"/>
                <w14:textFill>
                  <w14:solidFill>
                    <w14:schemeClr w14:val="tx1"/>
                  </w14:solidFill>
                </w14:textFill>
              </w:rPr>
              <w:t>)t/a</w:t>
            </w:r>
          </w:p>
        </w:tc>
        <w:tc>
          <w:tcPr>
            <w:tcW w:w="592" w:type="pct"/>
            <w:gridSpan w:val="2"/>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VOCs:()t/a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28" w:type="dxa"/>
            <w:bottom w:w="0" w:type="dxa"/>
            <w:right w:w="28" w:type="dxa"/>
          </w:tblCellMar>
        </w:tblPrEx>
        <w:trPr>
          <w:cantSplit/>
        </w:trPr>
        <w:tc>
          <w:tcPr>
            <w:tcW w:w="5000" w:type="pct"/>
            <w:gridSpan w:val="10"/>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注：“□”，填“√”；“（）”为内容填写项</w:t>
            </w:r>
          </w:p>
        </w:tc>
      </w:tr>
    </w:tbl>
    <w:p>
      <w:pPr>
        <w:pStyle w:val="92"/>
        <w:rPr>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附表2  地表水环境影响评价自查表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0"/>
        <w:gridCol w:w="1404"/>
        <w:gridCol w:w="1249"/>
        <w:gridCol w:w="312"/>
        <w:gridCol w:w="53"/>
        <w:gridCol w:w="467"/>
        <w:gridCol w:w="227"/>
        <w:gridCol w:w="191"/>
        <w:gridCol w:w="626"/>
        <w:gridCol w:w="624"/>
        <w:gridCol w:w="182"/>
        <w:gridCol w:w="234"/>
        <w:gridCol w:w="786"/>
        <w:gridCol w:w="48"/>
        <w:gridCol w:w="12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5" w:type="pct"/>
            <w:gridSpan w:val="2"/>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工作内容</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影</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响</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识</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别</w:t>
            </w: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影响类型</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水污染影响型</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；水文要素影响型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水环境保护目标</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饮用水水源保护区 □；饮用水取水口 □；涉水的自然保护区 □；重要湿地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重点保护与珍稀水生生物的栖息地 □；重要水生生物的自然产卵场及索饵场、越冬场和洄游通道、天然渔场等渔业水体 □；涉水的风景名胜区 □；其他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影响途径</w:t>
            </w:r>
          </w:p>
        </w:tc>
        <w:tc>
          <w:tcPr>
            <w:tcW w:w="1833"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水污染影响型</w:t>
            </w:r>
          </w:p>
        </w:tc>
        <w:tc>
          <w:tcPr>
            <w:tcW w:w="183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33"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直接排放 □；间接排放</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；其他 □</w:t>
            </w:r>
          </w:p>
        </w:tc>
        <w:tc>
          <w:tcPr>
            <w:tcW w:w="183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水温 □；径流 □；水域面积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影响因子</w:t>
            </w:r>
          </w:p>
        </w:tc>
        <w:tc>
          <w:tcPr>
            <w:tcW w:w="1833"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持久性污染物 □；有毒有害污染物 □；非持久性污染物</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pH值</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；热污染 □；富营养化 □；其他 □</w:t>
            </w:r>
          </w:p>
        </w:tc>
        <w:tc>
          <w:tcPr>
            <w:tcW w:w="183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水温 □；水位（水深） □；流速 □；流量 □；其他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5" w:type="pct"/>
            <w:gridSpan w:val="2"/>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评价等级</w:t>
            </w:r>
          </w:p>
        </w:tc>
        <w:tc>
          <w:tcPr>
            <w:tcW w:w="1833"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水污染影响型</w:t>
            </w:r>
          </w:p>
        </w:tc>
        <w:tc>
          <w:tcPr>
            <w:tcW w:w="183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水文要素影响型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5" w:type="pct"/>
            <w:gridSpan w:val="2"/>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33"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一级 □；二级 □；三级A □；三级B </w:t>
            </w:r>
            <w:r>
              <w:rPr>
                <w:rFonts w:ascii="Times New Roman" w:eastAsiaTheme="minorEastAsia"/>
                <w:color w:val="000000" w:themeColor="text1"/>
                <w:sz w:val="21"/>
                <w:szCs w:val="21"/>
                <w14:textFill>
                  <w14:solidFill>
                    <w14:schemeClr w14:val="tx1"/>
                  </w14:solidFill>
                </w14:textFill>
              </w:rPr>
              <w:sym w:font="Wingdings 2" w:char="0052"/>
            </w:r>
          </w:p>
        </w:tc>
        <w:tc>
          <w:tcPr>
            <w:tcW w:w="183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一级 □；二级 □；三级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现</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状</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调</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查</w:t>
            </w:r>
          </w:p>
        </w:tc>
        <w:tc>
          <w:tcPr>
            <w:tcW w:w="824"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区域污染源</w:t>
            </w:r>
          </w:p>
        </w:tc>
        <w:tc>
          <w:tcPr>
            <w:tcW w:w="1833"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调查项目</w:t>
            </w:r>
          </w:p>
        </w:tc>
        <w:tc>
          <w:tcPr>
            <w:tcW w:w="183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6" w:type="pct"/>
            <w:gridSpan w:val="2"/>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已建 □；在建 □；拟建 □；其他 □</w:t>
            </w:r>
          </w:p>
        </w:tc>
        <w:tc>
          <w:tcPr>
            <w:tcW w:w="917"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拟替代的污染源□</w:t>
            </w:r>
          </w:p>
        </w:tc>
        <w:tc>
          <w:tcPr>
            <w:tcW w:w="183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排污许可证 □；环评 □；环保验收 □；既有实测 □；现场监测 □；入河排放口数据 □；其他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受影响水体水环境质量</w:t>
            </w:r>
          </w:p>
        </w:tc>
        <w:tc>
          <w:tcPr>
            <w:tcW w:w="1833"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调查时期</w:t>
            </w:r>
          </w:p>
        </w:tc>
        <w:tc>
          <w:tcPr>
            <w:tcW w:w="183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33"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丰水期 □；平水期 □；枯水期 □；冰封期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春季 □；夏季 □；秋季 □；冬季 □ </w:t>
            </w:r>
          </w:p>
        </w:tc>
        <w:tc>
          <w:tcPr>
            <w:tcW w:w="183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生态环境保护主管部门</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；补充监测 □；其他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区域水资源开发利用状况</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未开发 □；开发量 40%以下 □；开发量 40%以上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水文情势调查</w:t>
            </w:r>
          </w:p>
        </w:tc>
        <w:tc>
          <w:tcPr>
            <w:tcW w:w="1833"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调查时期</w:t>
            </w:r>
          </w:p>
        </w:tc>
        <w:tc>
          <w:tcPr>
            <w:tcW w:w="183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数据来源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833"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丰水期 □；平水期 □；枯水期 □；冰封期</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春季  □；夏季 □；秋季 □；冬季 □</w:t>
            </w:r>
          </w:p>
        </w:tc>
        <w:tc>
          <w:tcPr>
            <w:tcW w:w="183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水行政主管部门 □；补充监测□；其他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补充监测</w:t>
            </w:r>
          </w:p>
        </w:tc>
        <w:tc>
          <w:tcPr>
            <w:tcW w:w="1354"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监测时期</w:t>
            </w:r>
          </w:p>
        </w:tc>
        <w:tc>
          <w:tcPr>
            <w:tcW w:w="1089"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监测因子</w:t>
            </w:r>
          </w:p>
        </w:tc>
        <w:tc>
          <w:tcPr>
            <w:tcW w:w="1222"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监测断面或点位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54"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丰水期 □；平水期 □；枯水期 □；冰封期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春季  □；夏季 □；秋季 □；冬季 □</w:t>
            </w:r>
          </w:p>
        </w:tc>
        <w:tc>
          <w:tcPr>
            <w:tcW w:w="1089"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222"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监测断面或点位个数（）个</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现</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状</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价</w:t>
            </w: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评价范围</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河流：长度（）km；湖库、河口及近岸海域：面积（/）km2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评价因子</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评价标准</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河流、湖库、河口：Ⅰ类 □；Ⅱ类□；Ⅲ类</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；Ⅳ类 □；Ⅴ类</w:t>
            </w:r>
            <w:r>
              <w:rPr>
                <w:rFonts w:ascii="Times New Roman" w:eastAsiaTheme="minorEastAsia"/>
                <w:color w:val="000000" w:themeColor="text1"/>
                <w:sz w:val="21"/>
                <w:szCs w:val="21"/>
                <w14:textFill>
                  <w14:solidFill>
                    <w14:schemeClr w14:val="tx1"/>
                  </w14:solidFill>
                </w14:textFill>
              </w:rPr>
              <w:sym w:font="Wingdings 2" w:char="0052"/>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近岸海域：第一类 □；第二类 □；第三类 □；第四类</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规划年评价标准（/）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评价时期</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丰水期 □；平水期 □；枯水期</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 xml:space="preserve">；冰封期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春季□；夏季 □；秋季 □；冬季</w:t>
            </w:r>
            <w:r>
              <w:rPr>
                <w:rFonts w:ascii="Times New Roman" w:eastAsiaTheme="minorEastAsia"/>
                <w:color w:val="000000" w:themeColor="text1"/>
                <w:sz w:val="21"/>
                <w:szCs w:val="21"/>
                <w14:textFill>
                  <w14:solidFill>
                    <w14:schemeClr w14:val="tx1"/>
                  </w14:solidFill>
                </w14:textFill>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评价结论</w:t>
            </w:r>
          </w:p>
        </w:tc>
        <w:tc>
          <w:tcPr>
            <w:tcW w:w="2904" w:type="pct"/>
            <w:gridSpan w:val="11"/>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水环境功能区或水功能区、近岸海域环境功能区水质达标状况：达标</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；不达标</w:t>
            </w:r>
            <w:r>
              <w:rPr>
                <w:rFonts w:ascii="Times New Roman" w:eastAsiaTheme="minorEastAsia"/>
                <w:color w:val="000000" w:themeColor="text1"/>
                <w:sz w:val="21"/>
                <w:szCs w:val="21"/>
                <w14:textFill>
                  <w14:solidFill>
                    <w14:schemeClr w14:val="tx1"/>
                  </w14:solidFill>
                </w14:textFill>
              </w:rPr>
              <w:sym w:font="Wingdings 2" w:char="0052"/>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水环境控制单元或断面水质达标状况：达标□；不达标□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水环境保护目标质量状况：达标 □；不达标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对照断面、控制断面等代表性断面的水质状况：达标□；不达标□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底泥污染评价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水资源与开发利用程度及其水文情势评价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水环境质量回顾评价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流域（区域）水资源（包括水能资源）与开发利用总体状况、生态流量管理要求与现状满足程度、建设项目占用水域空间的水流状况与河湖演变状况 □</w:t>
            </w:r>
          </w:p>
        </w:tc>
        <w:tc>
          <w:tcPr>
            <w:tcW w:w="761" w:type="pct"/>
            <w:gridSpan w:val="2"/>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达标区</w:t>
            </w:r>
            <w:r>
              <w:rPr>
                <w:rFonts w:ascii="Times New Roman" w:eastAsiaTheme="minorEastAsia"/>
                <w:color w:val="000000" w:themeColor="text1"/>
                <w:sz w:val="21"/>
                <w:szCs w:val="21"/>
                <w14:textFill>
                  <w14:solidFill>
                    <w14:schemeClr w14:val="tx1"/>
                  </w14:solidFill>
                </w14:textFill>
              </w:rPr>
              <w:sym w:font="Wingdings 2" w:char="0052"/>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不达标区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影</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响</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测</w:t>
            </w: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预测范围</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河流：长度（/）km；湖库、河口及近岸海域：面积（/）km2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预测因子</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预测时期</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丰水期 □；平水期 □；枯水期 □；冰封期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春季 □；夏季 □；秋季 □；冬季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设计水文条件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预测情景</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建设期 □；生产运行期 □；服务期满后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正常工况 □；非正常工况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污染控制和减缓措施方案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区（流）域环境质量改善目标要求情景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预测方法</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数值解 □：解析解 □；其他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导则推荐模式 □：其他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影</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响</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价</w:t>
            </w: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水污染控制和水环境影响减缓措施有效性评价</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区（流）域水环境质量改善目标 □；替代削减源 □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水环境影响评价</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排放口混合区外满足水环境管理要求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水环境功能区或水功能区、近岸海域环境功能区水质达标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满足水环境保护目标水域水环境质量要求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水环境控制单元或断面水质达标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满足重点水污染物排放总量控制指标要求，重点行业建设项目，主要污染物排放满足等量或减量替代要求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满足区（流）域水环境质量改善目标要求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水文要素影响型建设项目同时应包括水文情势变化评价、主要水文特征值影响评价、生态流量符合性评价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对于新设或调整入河（湖库、近岸海域）排放口的建设项目，应包括排放口设置的环境合理性评价 □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满足生态保护红线、水环境质量底线、资源利用上线和环境准入清单管理要求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污染源排放量核算</w:t>
            </w:r>
          </w:p>
        </w:tc>
        <w:tc>
          <w:tcPr>
            <w:tcW w:w="1221"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污染物名称</w:t>
            </w:r>
          </w:p>
        </w:tc>
        <w:tc>
          <w:tcPr>
            <w:tcW w:w="122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排放量/（t/a）</w:t>
            </w:r>
          </w:p>
        </w:tc>
        <w:tc>
          <w:tcPr>
            <w:tcW w:w="1222"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21"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COD</w:t>
            </w:r>
          </w:p>
        </w:tc>
        <w:tc>
          <w:tcPr>
            <w:tcW w:w="122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0.224</w:t>
            </w:r>
          </w:p>
        </w:tc>
        <w:tc>
          <w:tcPr>
            <w:tcW w:w="1222"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21"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BOD5</w:t>
            </w:r>
          </w:p>
        </w:tc>
        <w:tc>
          <w:tcPr>
            <w:tcW w:w="122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0.149</w:t>
            </w:r>
          </w:p>
        </w:tc>
        <w:tc>
          <w:tcPr>
            <w:tcW w:w="1222"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21"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NH3-N</w:t>
            </w:r>
          </w:p>
        </w:tc>
        <w:tc>
          <w:tcPr>
            <w:tcW w:w="122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0.022</w:t>
            </w:r>
          </w:p>
        </w:tc>
        <w:tc>
          <w:tcPr>
            <w:tcW w:w="1222"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21"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SS</w:t>
            </w:r>
          </w:p>
        </w:tc>
        <w:tc>
          <w:tcPr>
            <w:tcW w:w="1222"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222"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替代源排放情况</w:t>
            </w:r>
          </w:p>
        </w:tc>
        <w:tc>
          <w:tcPr>
            <w:tcW w:w="733"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污染源名称</w:t>
            </w:r>
          </w:p>
        </w:tc>
        <w:tc>
          <w:tcPr>
            <w:tcW w:w="733"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排污许可证编号</w:t>
            </w:r>
          </w:p>
        </w:tc>
        <w:tc>
          <w:tcPr>
            <w:tcW w:w="733" w:type="pct"/>
            <w:gridSpan w:val="2"/>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污染物名称</w:t>
            </w:r>
          </w:p>
        </w:tc>
        <w:tc>
          <w:tcPr>
            <w:tcW w:w="733"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排放量/（t/a）</w:t>
            </w:r>
          </w:p>
        </w:tc>
        <w:tc>
          <w:tcPr>
            <w:tcW w:w="733"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排放浓度/（mg/L）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33" w:type="pct"/>
            <w:shd w:val="clear" w:color="auto" w:fill="auto"/>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733" w:type="pct"/>
            <w:gridSpan w:val="5"/>
            <w:shd w:val="clear" w:color="auto" w:fill="auto"/>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733" w:type="pct"/>
            <w:gridSpan w:val="2"/>
            <w:shd w:val="clear" w:color="auto" w:fill="auto"/>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733" w:type="pct"/>
            <w:gridSpan w:val="4"/>
            <w:shd w:val="clear" w:color="auto" w:fill="auto"/>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733" w:type="pct"/>
            <w:shd w:val="clear" w:color="auto" w:fill="auto"/>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生态流量确定</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生态流量：一般水期（）m3/s；鱼类繁殖期（）m3/s；其他（）m3/s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生态水位：一般水期（）m；鱼类繁殖期（）m；其他（）m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防</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治</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措</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施</w:t>
            </w: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环保措施</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污水处理设施</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；水文减缓设施 □；生态流量保障设施 □；区域削减 □；依托其他工程措施</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 xml:space="preserve">；其他 □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监测计划</w:t>
            </w:r>
          </w:p>
        </w:tc>
        <w:tc>
          <w:tcPr>
            <w:tcW w:w="947"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359"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环境质量</w:t>
            </w:r>
          </w:p>
        </w:tc>
        <w:tc>
          <w:tcPr>
            <w:tcW w:w="1359"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47"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监测方式</w:t>
            </w:r>
          </w:p>
        </w:tc>
        <w:tc>
          <w:tcPr>
            <w:tcW w:w="1359"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手动 □；自动 □；无监测□</w:t>
            </w:r>
          </w:p>
        </w:tc>
        <w:tc>
          <w:tcPr>
            <w:tcW w:w="1359"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手动□；自动</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；无监测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47"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监测点位</w:t>
            </w:r>
          </w:p>
        </w:tc>
        <w:tc>
          <w:tcPr>
            <w:tcW w:w="1359"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359"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（污水排放口）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47"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监测因子</w:t>
            </w:r>
          </w:p>
        </w:tc>
        <w:tc>
          <w:tcPr>
            <w:tcW w:w="1359"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（COD、氨氮）</w:t>
            </w:r>
          </w:p>
        </w:tc>
        <w:tc>
          <w:tcPr>
            <w:tcW w:w="1359"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11"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4"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污染物排放清单</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5" w:type="pct"/>
            <w:gridSpan w:val="2"/>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评价结论</w:t>
            </w:r>
          </w:p>
        </w:tc>
        <w:tc>
          <w:tcPr>
            <w:tcW w:w="3665" w:type="pct"/>
            <w:gridSpan w:val="1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可以接受</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；不可以接受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1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注：“□”为勾选项，可√；“（）”为内容填写项；“备注”为其他补充内容。</w:t>
            </w:r>
          </w:p>
        </w:tc>
      </w:tr>
    </w:tbl>
    <w:p>
      <w:pPr>
        <w:ind w:firstLine="180"/>
        <w:rPr>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附表3  环境风险评价自查表</w:t>
      </w:r>
    </w:p>
    <w:tbl>
      <w:tblPr>
        <w:tblStyle w:val="70"/>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65"/>
        <w:gridCol w:w="1401"/>
        <w:gridCol w:w="958"/>
        <w:gridCol w:w="290"/>
        <w:gridCol w:w="315"/>
        <w:gridCol w:w="518"/>
        <w:gridCol w:w="397"/>
        <w:gridCol w:w="19"/>
        <w:gridCol w:w="223"/>
        <w:gridCol w:w="406"/>
        <w:gridCol w:w="136"/>
        <w:gridCol w:w="339"/>
        <w:gridCol w:w="145"/>
        <w:gridCol w:w="297"/>
        <w:gridCol w:w="121"/>
        <w:gridCol w:w="319"/>
        <w:gridCol w:w="206"/>
        <w:gridCol w:w="235"/>
        <w:gridCol w:w="7"/>
        <w:gridCol w:w="65"/>
        <w:gridCol w:w="12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0" w:type="pct"/>
            <w:gridSpan w:val="2"/>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工作内容</w:t>
            </w:r>
          </w:p>
        </w:tc>
        <w:tc>
          <w:tcPr>
            <w:tcW w:w="3670" w:type="pct"/>
            <w:gridSpan w:val="19"/>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完成情况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风</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险</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调</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查</w:t>
            </w:r>
          </w:p>
        </w:tc>
        <w:tc>
          <w:tcPr>
            <w:tcW w:w="822"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危险物质</w:t>
            </w:r>
          </w:p>
        </w:tc>
        <w:tc>
          <w:tcPr>
            <w:tcW w:w="562"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名称</w:t>
            </w:r>
          </w:p>
        </w:tc>
        <w:tc>
          <w:tcPr>
            <w:tcW w:w="892"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柴油</w:t>
            </w:r>
          </w:p>
        </w:tc>
        <w:tc>
          <w:tcPr>
            <w:tcW w:w="460"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废机油</w:t>
            </w:r>
          </w:p>
        </w:tc>
        <w:tc>
          <w:tcPr>
            <w:tcW w:w="458"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17"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1"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2"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62"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存在总量/t</w:t>
            </w:r>
          </w:p>
        </w:tc>
        <w:tc>
          <w:tcPr>
            <w:tcW w:w="892"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0.05</w:t>
            </w:r>
          </w:p>
        </w:tc>
        <w:tc>
          <w:tcPr>
            <w:tcW w:w="460"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0.1</w:t>
            </w:r>
          </w:p>
        </w:tc>
        <w:tc>
          <w:tcPr>
            <w:tcW w:w="458"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17"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781"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2"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环境敏感性</w:t>
            </w:r>
          </w:p>
        </w:tc>
        <w:tc>
          <w:tcPr>
            <w:tcW w:w="562"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w:t>
            </w:r>
          </w:p>
        </w:tc>
        <w:tc>
          <w:tcPr>
            <w:tcW w:w="1551" w:type="pct"/>
            <w:gridSpan w:val="9"/>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500m范围内人口数</w:t>
            </w:r>
            <w:r>
              <w:rPr>
                <w:rFonts w:hint="eastAsia" w:ascii="Times New Roman" w:eastAsiaTheme="minorEastAsia"/>
                <w:color w:val="000000" w:themeColor="text1"/>
                <w:sz w:val="21"/>
                <w:szCs w:val="21"/>
                <w14:textFill>
                  <w14:solidFill>
                    <w14:schemeClr w14:val="tx1"/>
                  </w14:solidFill>
                </w14:textFill>
              </w:rPr>
              <w:t xml:space="preserve">    </w:t>
            </w:r>
            <w:r>
              <w:rPr>
                <w:rFonts w:ascii="Times New Roman" w:eastAsiaTheme="minorEastAsia"/>
                <w:color w:val="000000" w:themeColor="text1"/>
                <w:sz w:val="21"/>
                <w:szCs w:val="21"/>
                <w14:textFill>
                  <w14:solidFill>
                    <w14:schemeClr w14:val="tx1"/>
                  </w14:solidFill>
                </w14:textFill>
              </w:rPr>
              <w:t>人</w:t>
            </w:r>
          </w:p>
        </w:tc>
        <w:tc>
          <w:tcPr>
            <w:tcW w:w="1557" w:type="pct"/>
            <w:gridSpan w:val="9"/>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5km范围内人口数</w:t>
            </w:r>
            <w:r>
              <w:rPr>
                <w:rFonts w:hint="eastAsia" w:ascii="Times New Roman" w:eastAsiaTheme="minorEastAsia"/>
                <w:color w:val="000000" w:themeColor="text1"/>
                <w:sz w:val="21"/>
                <w:szCs w:val="21"/>
                <w14:textFill>
                  <w14:solidFill>
                    <w14:schemeClr w14:val="tx1"/>
                  </w14:solidFill>
                </w14:textFill>
              </w:rPr>
              <w:t xml:space="preserve">    </w:t>
            </w:r>
            <w:r>
              <w:rPr>
                <w:rFonts w:ascii="Times New Roman" w:eastAsiaTheme="minorEastAsia"/>
                <w:color w:val="000000" w:themeColor="text1"/>
                <w:sz w:val="21"/>
                <w:szCs w:val="21"/>
                <w14:textFill>
                  <w14:solidFill>
                    <w14:schemeClr w14:val="tx1"/>
                  </w14:solidFill>
                </w14:textFill>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2"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62"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331" w:type="pct"/>
            <w:gridSpan w:val="1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每公里管段周边200m范围内人口数（最大）</w:t>
            </w:r>
          </w:p>
        </w:tc>
        <w:tc>
          <w:tcPr>
            <w:tcW w:w="776" w:type="pct"/>
            <w:gridSpan w:val="2"/>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2"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62"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地表水</w:t>
            </w:r>
          </w:p>
        </w:tc>
        <w:tc>
          <w:tcPr>
            <w:tcW w:w="892"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地表水功能敏感性</w:t>
            </w:r>
          </w:p>
        </w:tc>
        <w:tc>
          <w:tcPr>
            <w:tcW w:w="659"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F1 □</w:t>
            </w:r>
          </w:p>
        </w:tc>
        <w:tc>
          <w:tcPr>
            <w:tcW w:w="776"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F2 □</w:t>
            </w:r>
          </w:p>
        </w:tc>
        <w:tc>
          <w:tcPr>
            <w:tcW w:w="781"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F3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2"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62"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92"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环境敏感目标分级</w:t>
            </w:r>
          </w:p>
        </w:tc>
        <w:tc>
          <w:tcPr>
            <w:tcW w:w="659"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S1 □</w:t>
            </w:r>
          </w:p>
        </w:tc>
        <w:tc>
          <w:tcPr>
            <w:tcW w:w="776"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S2 □</w:t>
            </w:r>
          </w:p>
        </w:tc>
        <w:tc>
          <w:tcPr>
            <w:tcW w:w="781"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2"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62"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地下水</w:t>
            </w:r>
          </w:p>
        </w:tc>
        <w:tc>
          <w:tcPr>
            <w:tcW w:w="892"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地下水功能敏感性</w:t>
            </w:r>
          </w:p>
        </w:tc>
        <w:tc>
          <w:tcPr>
            <w:tcW w:w="659"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G1 □</w:t>
            </w:r>
          </w:p>
        </w:tc>
        <w:tc>
          <w:tcPr>
            <w:tcW w:w="776"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G2 □</w:t>
            </w:r>
          </w:p>
        </w:tc>
        <w:tc>
          <w:tcPr>
            <w:tcW w:w="781"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2"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62"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92"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包气带防污性能</w:t>
            </w:r>
          </w:p>
        </w:tc>
        <w:tc>
          <w:tcPr>
            <w:tcW w:w="659"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D1 □</w:t>
            </w:r>
          </w:p>
        </w:tc>
        <w:tc>
          <w:tcPr>
            <w:tcW w:w="776"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D2 □</w:t>
            </w:r>
          </w:p>
        </w:tc>
        <w:tc>
          <w:tcPr>
            <w:tcW w:w="781"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D3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0" w:type="pct"/>
            <w:gridSpan w:val="2"/>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物质及工艺</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系统危险性</w:t>
            </w:r>
          </w:p>
        </w:tc>
        <w:tc>
          <w:tcPr>
            <w:tcW w:w="562"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Q值</w:t>
            </w:r>
          </w:p>
        </w:tc>
        <w:tc>
          <w:tcPr>
            <w:tcW w:w="892"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Q＜1 （√）</w:t>
            </w:r>
          </w:p>
        </w:tc>
        <w:tc>
          <w:tcPr>
            <w:tcW w:w="659"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1≤Q＜10 □</w:t>
            </w:r>
          </w:p>
        </w:tc>
        <w:tc>
          <w:tcPr>
            <w:tcW w:w="776"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10≤Q＜100 □</w:t>
            </w:r>
          </w:p>
        </w:tc>
        <w:tc>
          <w:tcPr>
            <w:tcW w:w="781"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Q＞100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0" w:type="pct"/>
            <w:gridSpan w:val="2"/>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62"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M值</w:t>
            </w:r>
          </w:p>
        </w:tc>
        <w:tc>
          <w:tcPr>
            <w:tcW w:w="892"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M1 □</w:t>
            </w:r>
          </w:p>
        </w:tc>
        <w:tc>
          <w:tcPr>
            <w:tcW w:w="659"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M2 □</w:t>
            </w:r>
          </w:p>
        </w:tc>
        <w:tc>
          <w:tcPr>
            <w:tcW w:w="776"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M3 □</w:t>
            </w:r>
          </w:p>
        </w:tc>
        <w:tc>
          <w:tcPr>
            <w:tcW w:w="781"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M4 </w:t>
            </w:r>
            <w:r>
              <w:rPr>
                <w:rFonts w:ascii="Times New Roman" w:eastAsiaTheme="minorEastAsia"/>
                <w:color w:val="000000" w:themeColor="text1"/>
                <w:sz w:val="21"/>
                <w:szCs w:val="21"/>
                <w14:textFill>
                  <w14:solidFill>
                    <w14:schemeClr w14:val="tx1"/>
                  </w14:solidFill>
                </w14:textFill>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0" w:type="pct"/>
            <w:gridSpan w:val="2"/>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62"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P值</w:t>
            </w:r>
          </w:p>
        </w:tc>
        <w:tc>
          <w:tcPr>
            <w:tcW w:w="892"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P1 □</w:t>
            </w:r>
          </w:p>
        </w:tc>
        <w:tc>
          <w:tcPr>
            <w:tcW w:w="659"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P2 □</w:t>
            </w:r>
          </w:p>
        </w:tc>
        <w:tc>
          <w:tcPr>
            <w:tcW w:w="776"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P3 □</w:t>
            </w:r>
          </w:p>
        </w:tc>
        <w:tc>
          <w:tcPr>
            <w:tcW w:w="781"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P4 </w:t>
            </w:r>
            <w:r>
              <w:rPr>
                <w:rFonts w:ascii="Times New Roman" w:eastAsiaTheme="minorEastAsia"/>
                <w:color w:val="000000" w:themeColor="text1"/>
                <w:sz w:val="21"/>
                <w:szCs w:val="21"/>
                <w14:textFill>
                  <w14:solidFill>
                    <w14:schemeClr w14:val="tx1"/>
                  </w14:solidFill>
                </w14:textFill>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0" w:type="pct"/>
            <w:gridSpan w:val="2"/>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敏感程度</w:t>
            </w:r>
          </w:p>
        </w:tc>
        <w:tc>
          <w:tcPr>
            <w:tcW w:w="562"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w:t>
            </w:r>
          </w:p>
        </w:tc>
        <w:tc>
          <w:tcPr>
            <w:tcW w:w="1034"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E1 □</w:t>
            </w:r>
          </w:p>
        </w:tc>
        <w:tc>
          <w:tcPr>
            <w:tcW w:w="1034"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E2 </w:t>
            </w:r>
          </w:p>
        </w:tc>
        <w:tc>
          <w:tcPr>
            <w:tcW w:w="1040"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E3 </w:t>
            </w:r>
            <w:r>
              <w:rPr>
                <w:rFonts w:ascii="Times New Roman" w:eastAsiaTheme="minorEastAsia"/>
                <w:color w:val="000000" w:themeColor="text1"/>
                <w:sz w:val="21"/>
                <w:szCs w:val="21"/>
                <w14:textFill>
                  <w14:solidFill>
                    <w14:schemeClr w14:val="tx1"/>
                  </w14:solidFill>
                </w14:textFill>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0" w:type="pct"/>
            <w:gridSpan w:val="2"/>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62"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地表水</w:t>
            </w:r>
          </w:p>
        </w:tc>
        <w:tc>
          <w:tcPr>
            <w:tcW w:w="1034"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E1 □</w:t>
            </w:r>
          </w:p>
        </w:tc>
        <w:tc>
          <w:tcPr>
            <w:tcW w:w="1034"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E2 </w:t>
            </w:r>
            <w:r>
              <w:rPr>
                <w:rFonts w:ascii="Times New Roman" w:eastAsiaTheme="minorEastAsia"/>
                <w:color w:val="000000" w:themeColor="text1"/>
                <w:sz w:val="21"/>
                <w:szCs w:val="21"/>
                <w14:textFill>
                  <w14:solidFill>
                    <w14:schemeClr w14:val="tx1"/>
                  </w14:solidFill>
                </w14:textFill>
              </w:rPr>
              <w:sym w:font="Wingdings 2" w:char="0052"/>
            </w:r>
          </w:p>
        </w:tc>
        <w:tc>
          <w:tcPr>
            <w:tcW w:w="1040"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E3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0" w:type="pct"/>
            <w:gridSpan w:val="2"/>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62"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地下水</w:t>
            </w:r>
          </w:p>
        </w:tc>
        <w:tc>
          <w:tcPr>
            <w:tcW w:w="1034"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E1 □</w:t>
            </w:r>
          </w:p>
        </w:tc>
        <w:tc>
          <w:tcPr>
            <w:tcW w:w="1034"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E2 □</w:t>
            </w:r>
          </w:p>
        </w:tc>
        <w:tc>
          <w:tcPr>
            <w:tcW w:w="1040"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E3 </w:t>
            </w:r>
            <w:r>
              <w:rPr>
                <w:rFonts w:ascii="Times New Roman" w:eastAsiaTheme="minorEastAsia"/>
                <w:color w:val="000000" w:themeColor="text1"/>
                <w:sz w:val="21"/>
                <w:szCs w:val="21"/>
                <w14:textFill>
                  <w14:solidFill>
                    <w14:schemeClr w14:val="tx1"/>
                  </w14:solidFill>
                </w14:textFill>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0" w:type="pct"/>
            <w:gridSpan w:val="2"/>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环境风险</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潜势</w:t>
            </w:r>
          </w:p>
        </w:tc>
        <w:tc>
          <w:tcPr>
            <w:tcW w:w="732" w:type="pct"/>
            <w:gridSpan w:val="2"/>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Ⅳ+ □</w:t>
            </w:r>
          </w:p>
        </w:tc>
        <w:tc>
          <w:tcPr>
            <w:tcW w:w="733"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Ⅳ □</w:t>
            </w:r>
          </w:p>
        </w:tc>
        <w:tc>
          <w:tcPr>
            <w:tcW w:w="733"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Ⅲ □</w:t>
            </w:r>
          </w:p>
        </w:tc>
        <w:tc>
          <w:tcPr>
            <w:tcW w:w="733"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Ⅱ □</w:t>
            </w:r>
          </w:p>
        </w:tc>
        <w:tc>
          <w:tcPr>
            <w:tcW w:w="739"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I（√）</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0" w:type="pct"/>
            <w:gridSpan w:val="2"/>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评价等级</w:t>
            </w:r>
          </w:p>
        </w:tc>
        <w:tc>
          <w:tcPr>
            <w:tcW w:w="917"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一级 □</w:t>
            </w:r>
          </w:p>
        </w:tc>
        <w:tc>
          <w:tcPr>
            <w:tcW w:w="917"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二级</w:t>
            </w:r>
          </w:p>
        </w:tc>
        <w:tc>
          <w:tcPr>
            <w:tcW w:w="917"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三级 □</w:t>
            </w:r>
          </w:p>
        </w:tc>
        <w:tc>
          <w:tcPr>
            <w:tcW w:w="919"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简单分析</w:t>
            </w:r>
            <w:r>
              <w:rPr>
                <w:rFonts w:ascii="Times New Roman" w:eastAsiaTheme="minorEastAsia"/>
                <w:color w:val="000000" w:themeColor="text1"/>
                <w:sz w:val="21"/>
                <w:szCs w:val="21"/>
                <w14:textFill>
                  <w14:solidFill>
                    <w14:schemeClr w14:val="tx1"/>
                  </w14:solidFill>
                </w14:textFill>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风</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险</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识</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别</w:t>
            </w:r>
          </w:p>
        </w:tc>
        <w:tc>
          <w:tcPr>
            <w:tcW w:w="822"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物质危险性</w:t>
            </w:r>
          </w:p>
        </w:tc>
        <w:tc>
          <w:tcPr>
            <w:tcW w:w="1834" w:type="pct"/>
            <w:gridSpan w:val="8"/>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有毒有害 □</w:t>
            </w:r>
          </w:p>
        </w:tc>
        <w:tc>
          <w:tcPr>
            <w:tcW w:w="1836" w:type="pct"/>
            <w:gridSpan w:val="11"/>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易燃易爆（√）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2"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环境风险类型</w:t>
            </w:r>
          </w:p>
        </w:tc>
        <w:tc>
          <w:tcPr>
            <w:tcW w:w="1834" w:type="pct"/>
            <w:gridSpan w:val="8"/>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泄漏□</w:t>
            </w:r>
          </w:p>
        </w:tc>
        <w:tc>
          <w:tcPr>
            <w:tcW w:w="1836" w:type="pct"/>
            <w:gridSpan w:val="11"/>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火灾、爆炸引发伴生/次生污染物排放（√）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2"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影响途径</w:t>
            </w:r>
          </w:p>
        </w:tc>
        <w:tc>
          <w:tcPr>
            <w:tcW w:w="1221"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w:t>
            </w:r>
          </w:p>
        </w:tc>
        <w:tc>
          <w:tcPr>
            <w:tcW w:w="1222" w:type="pct"/>
            <w:gridSpan w:val="9"/>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地表水□</w:t>
            </w:r>
          </w:p>
        </w:tc>
        <w:tc>
          <w:tcPr>
            <w:tcW w:w="1227" w:type="pct"/>
            <w:gridSpan w:val="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地下水（√）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0" w:type="pct"/>
            <w:gridSpan w:val="2"/>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事故情形分析</w:t>
            </w:r>
          </w:p>
        </w:tc>
        <w:tc>
          <w:tcPr>
            <w:tcW w:w="917"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源强设定方法</w:t>
            </w:r>
          </w:p>
        </w:tc>
        <w:tc>
          <w:tcPr>
            <w:tcW w:w="917"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计算法 □</w:t>
            </w:r>
          </w:p>
        </w:tc>
        <w:tc>
          <w:tcPr>
            <w:tcW w:w="917"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经验估算法 □</w:t>
            </w:r>
          </w:p>
        </w:tc>
        <w:tc>
          <w:tcPr>
            <w:tcW w:w="919"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其他估算法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风险</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与</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w:t>
            </w:r>
          </w:p>
        </w:tc>
        <w:tc>
          <w:tcPr>
            <w:tcW w:w="822"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w:t>
            </w:r>
          </w:p>
        </w:tc>
        <w:tc>
          <w:tcPr>
            <w:tcW w:w="917" w:type="pct"/>
            <w:gridSpan w:val="3"/>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预测模型</w:t>
            </w:r>
          </w:p>
        </w:tc>
        <w:tc>
          <w:tcPr>
            <w:tcW w:w="917" w:type="pct"/>
            <w:gridSpan w:val="5"/>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SLAB □</w:t>
            </w:r>
          </w:p>
        </w:tc>
        <w:tc>
          <w:tcPr>
            <w:tcW w:w="917" w:type="pct"/>
            <w:gridSpan w:val="7"/>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AFTOX □</w:t>
            </w:r>
          </w:p>
        </w:tc>
        <w:tc>
          <w:tcPr>
            <w:tcW w:w="919" w:type="pct"/>
            <w:gridSpan w:val="4"/>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2"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7" w:type="pct"/>
            <w:gridSpan w:val="3"/>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预测结果</w:t>
            </w:r>
          </w:p>
        </w:tc>
        <w:tc>
          <w:tcPr>
            <w:tcW w:w="2753" w:type="pct"/>
            <w:gridSpan w:val="1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大气毒性终点浓度-1 最大影响范围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2"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917" w:type="pct"/>
            <w:gridSpan w:val="3"/>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753" w:type="pct"/>
            <w:gridSpan w:val="16"/>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大气毒性终点浓度-2 最大影响范围  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2" w:type="pc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地表水</w:t>
            </w:r>
          </w:p>
        </w:tc>
        <w:tc>
          <w:tcPr>
            <w:tcW w:w="3670" w:type="pct"/>
            <w:gridSpan w:val="19"/>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最近环境敏感目标，到达时间  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2" w:type="pct"/>
            <w:vMerge w:val="restart"/>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地下水</w:t>
            </w:r>
          </w:p>
        </w:tc>
        <w:tc>
          <w:tcPr>
            <w:tcW w:w="3670" w:type="pct"/>
            <w:gridSpan w:val="19"/>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下游厂区边界到达时间d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8"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22" w:type="pct"/>
            <w:vMerge w:val="continue"/>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3670" w:type="pct"/>
            <w:gridSpan w:val="19"/>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最近环境敏感目标，到达时间d</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330" w:type="pct"/>
            <w:gridSpan w:val="2"/>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重点风险</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防范措施</w:t>
            </w:r>
          </w:p>
        </w:tc>
        <w:tc>
          <w:tcPr>
            <w:tcW w:w="3670" w:type="pct"/>
            <w:gridSpan w:val="19"/>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本项目点火所用轻柴油须由有危险品运输资质单位负责运输，在点火作业，柴油罐车停靠在厂内内，应设置明显警示标志及隔离区，操作人员必须经过相关培训，做到专岗专人，罐车停留区域必须配备灭火设施或灭火器材并确保足够的通风，防止油气积聚。</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2）厂区内应有醒目的严禁烟火标志，严禁动火吸烟；采取有效措施防止电气线路和电气设施在开关断开、接触不良、短路、漏电时产生火花，防止静电放电火花；采取防雷接地措施，防止雷电放电火花。建立应急救援组织或者配备应急救援人员，配备必要的应急救援器材、设备，对消防措施定期检查，保证消防措施的有效性，并定期组织演练。</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3）通风除尘、泄爆、防爆设施，未经安全主管部门同意，不得拆除、更改及停止使用。</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4）燃煤输送系统内应杜绝非生产性明火出现，燃煤制备车间内不应存放易燃、易爆物品。</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5）燃煤输送系统应防止产生摩擦碰撞火花：应在系统适当位置安装除去物料中的铁质及其它杂物的装置；进行非动火检修维护作业时，不宜使用铁器敲击设备、管道，应采用防爆手工工具。</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6）良好的维护和清洁的房间是防爆的最佳措施，应建立定期的清扫制度，特别加强对于转动、发热等部位的清扫。</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7）宜采用真空吸尘装置进行清扫作业，不宜采用压缩空气进行清扫作业。</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8）系统内的设备停车后及检修前，应先清除设备内部积料和设备外部积尘。</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9）应根据粉尘防爆实施细则和安全检查规范定期做防爆安全检查。</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10）系统作业时，不应实施明火作业。企业应根据具体情况划分防火防爆作业区域，并明确各区域办理明火作业的审批部门和权限。</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11）防火防爆作业区域的建筑物，明火作业处10m半径范围内均应清扫干净，并用水淋湿地面，且所有门窗均应打开。</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12）在灰渣仓顶部进行明火作业，明火作业点10m半径范围内的所有仓顶孔、通风除尘口均应加盖并用阻燃材料覆盖，并将仓内煤粉排净。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1330" w:type="pct"/>
            <w:gridSpan w:val="2"/>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评价结论与建议</w:t>
            </w:r>
          </w:p>
        </w:tc>
        <w:tc>
          <w:tcPr>
            <w:tcW w:w="3670" w:type="pct"/>
            <w:gridSpan w:val="19"/>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在建设单位有效落实本次评价提出的事故防范措施的前提下，其生产对外界的风险影响不大，可满足环境风险的要求。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000" w:type="pct"/>
            <w:gridSpan w:val="21"/>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注：“□”为勾选项，“ ”为填写项。</w:t>
            </w:r>
          </w:p>
        </w:tc>
      </w:tr>
    </w:tbl>
    <w:p>
      <w:pPr>
        <w:pStyle w:val="26"/>
        <w:ind w:firstLine="177"/>
        <w:rPr>
          <w:color w:val="000000" w:themeColor="text1"/>
          <w14:textFill>
            <w14:solidFill>
              <w14:schemeClr w14:val="tx1"/>
            </w14:solidFill>
          </w14:textFill>
        </w:rPr>
      </w:pPr>
    </w:p>
    <w:p>
      <w:pPr>
        <w:pStyle w:val="89"/>
        <w:ind w:firstLine="177"/>
        <w:rPr>
          <w:color w:val="000000" w:themeColor="text1"/>
          <w14:textFill>
            <w14:solidFill>
              <w14:schemeClr w14:val="tx1"/>
            </w14:solidFill>
          </w14:textFill>
        </w:rPr>
      </w:pPr>
    </w:p>
    <w:p>
      <w:pPr>
        <w:pStyle w:val="90"/>
        <w:ind w:firstLine="20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26"/>
        <w:ind w:firstLine="177"/>
        <w:rPr>
          <w:color w:val="000000" w:themeColor="text1"/>
          <w14:textFill>
            <w14:solidFill>
              <w14:schemeClr w14:val="tx1"/>
            </w14:solidFill>
          </w14:textFill>
        </w:rPr>
      </w:pPr>
    </w:p>
    <w:p>
      <w:pPr>
        <w:pStyle w:val="89"/>
        <w:ind w:firstLine="177"/>
        <w:rPr>
          <w:color w:val="000000" w:themeColor="text1"/>
          <w14:textFill>
            <w14:solidFill>
              <w14:schemeClr w14:val="tx1"/>
            </w14:solidFill>
          </w14:textFill>
        </w:rPr>
      </w:pPr>
    </w:p>
    <w:p>
      <w:pPr>
        <w:pStyle w:val="90"/>
        <w:ind w:firstLine="20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26"/>
        <w:ind w:firstLine="177"/>
        <w:rPr>
          <w:color w:val="000000" w:themeColor="text1"/>
          <w14:textFill>
            <w14:solidFill>
              <w14:schemeClr w14:val="tx1"/>
            </w14:solidFill>
          </w14:textFill>
        </w:rPr>
      </w:pPr>
    </w:p>
    <w:p>
      <w:pPr>
        <w:pStyle w:val="89"/>
        <w:ind w:firstLine="177"/>
        <w:rPr>
          <w:color w:val="000000" w:themeColor="text1"/>
          <w14:textFill>
            <w14:solidFill>
              <w14:schemeClr w14:val="tx1"/>
            </w14:solidFill>
          </w14:textFill>
        </w:rPr>
      </w:pPr>
    </w:p>
    <w:p>
      <w:pPr>
        <w:pStyle w:val="90"/>
        <w:ind w:firstLine="207"/>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附表4建设项目声环境影响评价自查表</w:t>
      </w:r>
    </w:p>
    <w:tbl>
      <w:tblPr>
        <w:tblStyle w:val="70"/>
        <w:tblW w:w="4848" w:type="pct"/>
        <w:jc w:val="center"/>
        <w:tblBorders>
          <w:top w:val="single" w:color="auto" w:sz="12" w:space="0"/>
          <w:left w:val="none" w:color="auto" w:sz="0" w:space="0"/>
          <w:bottom w:val="single" w:color="auto" w:sz="12" w:space="0"/>
          <w:right w:val="none" w:color="auto" w:sz="0" w:space="0"/>
          <w:insideH w:val="none" w:color="auto" w:sz="0" w:space="0"/>
          <w:insideV w:val="single" w:color="auto" w:sz="6" w:space="0"/>
        </w:tblBorders>
        <w:tblLayout w:type="autofit"/>
        <w:tblCellMar>
          <w:top w:w="0" w:type="dxa"/>
          <w:left w:w="108" w:type="dxa"/>
          <w:bottom w:w="0" w:type="dxa"/>
          <w:right w:w="108" w:type="dxa"/>
        </w:tblCellMar>
      </w:tblPr>
      <w:tblGrid>
        <w:gridCol w:w="1234"/>
        <w:gridCol w:w="1088"/>
        <w:gridCol w:w="1044"/>
        <w:gridCol w:w="613"/>
        <w:gridCol w:w="511"/>
        <w:gridCol w:w="92"/>
        <w:gridCol w:w="15"/>
        <w:gridCol w:w="961"/>
        <w:gridCol w:w="7"/>
        <w:gridCol w:w="959"/>
        <w:gridCol w:w="25"/>
        <w:gridCol w:w="473"/>
        <w:gridCol w:w="469"/>
        <w:gridCol w:w="1031"/>
      </w:tblGrid>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541" w:hRule="atLeast"/>
          <w:tblHeader/>
          <w:jc w:val="center"/>
        </w:trPr>
        <w:tc>
          <w:tcPr>
            <w:tcW w:w="1319" w:type="pct"/>
            <w:gridSpan w:val="2"/>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工作内容</w:t>
            </w:r>
          </w:p>
        </w:tc>
        <w:tc>
          <w:tcPr>
            <w:tcW w:w="3680" w:type="pct"/>
            <w:gridSpan w:val="12"/>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自查项目</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307" w:hRule="atLeast"/>
          <w:jc w:val="center"/>
        </w:trPr>
        <w:tc>
          <w:tcPr>
            <w:tcW w:w="702" w:type="pct"/>
            <w:vMerge w:val="restart"/>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评价等级与范围</w:t>
            </w:r>
          </w:p>
        </w:tc>
        <w:tc>
          <w:tcPr>
            <w:tcW w:w="616"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评价等级</w:t>
            </w:r>
          </w:p>
        </w:tc>
        <w:tc>
          <w:tcPr>
            <w:tcW w:w="3680" w:type="pct"/>
            <w:gridSpan w:val="12"/>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一级 </w:t>
            </w:r>
            <w:r>
              <w:rPr>
                <w:rFonts w:ascii="Times New Roman" w:eastAsiaTheme="minorEastAsia"/>
                <w:color w:val="000000" w:themeColor="text1"/>
                <w:sz w:val="21"/>
                <w:szCs w:val="21"/>
                <w14:textFill>
                  <w14:solidFill>
                    <w14:schemeClr w14:val="tx1"/>
                  </w14:solidFill>
                </w14:textFill>
              </w:rPr>
              <w:sym w:font="Wingdings 2" w:char="00A3"/>
            </w:r>
            <w:r>
              <w:rPr>
                <w:rFonts w:ascii="Times New Roman" w:eastAsiaTheme="minorEastAsia"/>
                <w:color w:val="000000" w:themeColor="text1"/>
                <w:sz w:val="21"/>
                <w:szCs w:val="21"/>
                <w14:textFill>
                  <w14:solidFill>
                    <w14:schemeClr w14:val="tx1"/>
                  </w14:solidFill>
                </w14:textFill>
              </w:rPr>
              <w:t xml:space="preserve">                 二级 </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 xml:space="preserve">                 三级</w:t>
            </w:r>
            <w:r>
              <w:rPr>
                <w:rFonts w:ascii="Times New Roman" w:eastAsiaTheme="minorEastAsia"/>
                <w:color w:val="000000" w:themeColor="text1"/>
                <w:sz w:val="21"/>
                <w:szCs w:val="21"/>
                <w14:textFill>
                  <w14:solidFill>
                    <w14:schemeClr w14:val="tx1"/>
                  </w14:solidFill>
                </w14:textFill>
              </w:rPr>
              <w:sym w:font="Wingdings 2" w:char="00A3"/>
            </w:r>
            <w:r>
              <w:rPr>
                <w:rFonts w:ascii="Times New Roman" w:eastAsiaTheme="minorEastAsia"/>
                <w:color w:val="000000" w:themeColor="text1"/>
                <w:sz w:val="21"/>
                <w:szCs w:val="21"/>
                <w14:textFill>
                  <w14:solidFill>
                    <w14:schemeClr w14:val="tx1"/>
                  </w14:solidFill>
                </w14:textFill>
              </w:rPr>
              <w:t xml:space="preserve"> </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307" w:hRule="atLeast"/>
          <w:jc w:val="center"/>
        </w:trPr>
        <w:tc>
          <w:tcPr>
            <w:tcW w:w="7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16"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评价范围</w:t>
            </w:r>
          </w:p>
        </w:tc>
        <w:tc>
          <w:tcPr>
            <w:tcW w:w="3680" w:type="pct"/>
            <w:gridSpan w:val="12"/>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200m </w:t>
            </w:r>
            <w:r>
              <w:rPr>
                <w:rFonts w:ascii="Times New Roman" w:eastAsiaTheme="minorEastAsia"/>
                <w:color w:val="000000" w:themeColor="text1"/>
                <w:sz w:val="21"/>
                <w:szCs w:val="21"/>
                <w14:textFill>
                  <w14:solidFill>
                    <w14:schemeClr w14:val="tx1"/>
                  </w14:solidFill>
                </w14:textFill>
              </w:rPr>
              <w:sym w:font="Wingdings 2" w:char="00A3"/>
            </w:r>
            <w:r>
              <w:rPr>
                <w:rFonts w:ascii="Times New Roman" w:eastAsiaTheme="minorEastAsia"/>
                <w:color w:val="000000" w:themeColor="text1"/>
                <w:sz w:val="21"/>
                <w:szCs w:val="21"/>
                <w14:textFill>
                  <w14:solidFill>
                    <w14:schemeClr w14:val="tx1"/>
                  </w14:solidFill>
                </w14:textFill>
              </w:rPr>
              <w:t xml:space="preserve">                   大于200m </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 xml:space="preserve">                   小于200m </w:t>
            </w:r>
            <w:r>
              <w:rPr>
                <w:rFonts w:ascii="Times New Roman" w:eastAsiaTheme="minorEastAsia"/>
                <w:color w:val="000000" w:themeColor="text1"/>
                <w:sz w:val="21"/>
                <w:szCs w:val="21"/>
                <w14:textFill>
                  <w14:solidFill>
                    <w14:schemeClr w14:val="tx1"/>
                  </w14:solidFill>
                </w14:textFill>
              </w:rPr>
              <w:sym w:font="Wingdings 2" w:char="00A3"/>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307" w:hRule="atLeast"/>
          <w:jc w:val="center"/>
        </w:trPr>
        <w:tc>
          <w:tcPr>
            <w:tcW w:w="70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评价因子</w:t>
            </w:r>
          </w:p>
        </w:tc>
        <w:tc>
          <w:tcPr>
            <w:tcW w:w="616"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评价因子</w:t>
            </w:r>
          </w:p>
        </w:tc>
        <w:tc>
          <w:tcPr>
            <w:tcW w:w="3680" w:type="pct"/>
            <w:gridSpan w:val="12"/>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等效连续A声级 </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 xml:space="preserve">       最大A声级 □       计权等效连续感觉噪声级 □</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307" w:hRule="atLeast"/>
          <w:jc w:val="center"/>
        </w:trPr>
        <w:tc>
          <w:tcPr>
            <w:tcW w:w="70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评价标准</w:t>
            </w:r>
          </w:p>
        </w:tc>
        <w:tc>
          <w:tcPr>
            <w:tcW w:w="616"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评价标准</w:t>
            </w:r>
          </w:p>
        </w:tc>
        <w:tc>
          <w:tcPr>
            <w:tcW w:w="3680" w:type="pct"/>
            <w:gridSpan w:val="12"/>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国家标准 </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 xml:space="preserve">      </w:t>
            </w:r>
            <w:r>
              <w:rPr>
                <w:rFonts w:hint="eastAsia" w:ascii="Times New Roman" w:eastAsiaTheme="minorEastAsia"/>
                <w:color w:val="000000" w:themeColor="text1"/>
                <w:sz w:val="21"/>
                <w:szCs w:val="21"/>
                <w14:textFill>
                  <w14:solidFill>
                    <w14:schemeClr w14:val="tx1"/>
                  </w14:solidFill>
                </w14:textFill>
              </w:rPr>
              <w:t xml:space="preserve">     </w:t>
            </w:r>
            <w:r>
              <w:rPr>
                <w:rFonts w:ascii="Times New Roman" w:eastAsiaTheme="minorEastAsia"/>
                <w:color w:val="000000" w:themeColor="text1"/>
                <w:sz w:val="21"/>
                <w:szCs w:val="21"/>
                <w14:textFill>
                  <w14:solidFill>
                    <w14:schemeClr w14:val="tx1"/>
                  </w14:solidFill>
                </w14:textFill>
              </w:rPr>
              <w:t xml:space="preserve">     地方标准 □                  国外标准 □</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307" w:hRule="atLeast"/>
          <w:jc w:val="center"/>
        </w:trPr>
        <w:tc>
          <w:tcPr>
            <w:tcW w:w="70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现状评价</w:t>
            </w:r>
          </w:p>
        </w:tc>
        <w:tc>
          <w:tcPr>
            <w:tcW w:w="616"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环境功能区</w:t>
            </w:r>
          </w:p>
        </w:tc>
        <w:tc>
          <w:tcPr>
            <w:tcW w:w="603"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0类区 </w:t>
            </w:r>
            <w:r>
              <w:rPr>
                <w:rFonts w:ascii="Times New Roman" w:eastAsiaTheme="minorEastAsia"/>
                <w:color w:val="000000" w:themeColor="text1"/>
                <w:sz w:val="21"/>
                <w:szCs w:val="21"/>
                <w14:textFill>
                  <w14:solidFill>
                    <w14:schemeClr w14:val="tx1"/>
                  </w14:solidFill>
                </w14:textFill>
              </w:rPr>
              <w:sym w:font="Wingdings 2" w:char="00A3"/>
            </w:r>
          </w:p>
        </w:tc>
        <w:tc>
          <w:tcPr>
            <w:tcW w:w="709" w:type="pct"/>
            <w:gridSpan w:val="3"/>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1类区 </w:t>
            </w:r>
            <w:r>
              <w:rPr>
                <w:rFonts w:ascii="Times New Roman" w:eastAsiaTheme="minorEastAsia"/>
                <w:color w:val="000000" w:themeColor="text1"/>
                <w:sz w:val="21"/>
                <w:szCs w:val="21"/>
                <w14:textFill>
                  <w14:solidFill>
                    <w14:schemeClr w14:val="tx1"/>
                  </w14:solidFill>
                </w14:textFill>
              </w:rPr>
              <w:sym w:font="Wingdings 2" w:char="0052"/>
            </w:r>
          </w:p>
        </w:tc>
        <w:tc>
          <w:tcPr>
            <w:tcW w:w="587" w:type="pct"/>
            <w:gridSpan w:val="2"/>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2类区 </w:t>
            </w:r>
            <w:r>
              <w:rPr>
                <w:rFonts w:ascii="Times New Roman" w:eastAsiaTheme="minorEastAsia"/>
                <w:color w:val="000000" w:themeColor="text1"/>
                <w:sz w:val="21"/>
                <w:szCs w:val="21"/>
                <w14:textFill>
                  <w14:solidFill>
                    <w14:schemeClr w14:val="tx1"/>
                  </w14:solidFill>
                </w14:textFill>
              </w:rPr>
              <w:sym w:font="Wingdings 2" w:char="00A3"/>
            </w:r>
          </w:p>
        </w:tc>
        <w:tc>
          <w:tcPr>
            <w:tcW w:w="580" w:type="pct"/>
            <w:gridSpan w:val="2"/>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3类区 </w:t>
            </w:r>
            <w:r>
              <w:rPr>
                <w:rFonts w:ascii="Times New Roman" w:eastAsiaTheme="minorEastAsia"/>
                <w:color w:val="000000" w:themeColor="text1"/>
                <w:sz w:val="21"/>
                <w:szCs w:val="21"/>
                <w14:textFill>
                  <w14:solidFill>
                    <w14:schemeClr w14:val="tx1"/>
                  </w14:solidFill>
                </w14:textFill>
              </w:rPr>
              <w:sym w:font="Wingdings 2" w:char="00A3"/>
            </w:r>
          </w:p>
        </w:tc>
        <w:tc>
          <w:tcPr>
            <w:tcW w:w="581" w:type="pct"/>
            <w:gridSpan w:val="3"/>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4a类区</w:t>
            </w:r>
            <w:r>
              <w:rPr>
                <w:rFonts w:ascii="Times New Roman" w:eastAsiaTheme="minorEastAsia"/>
                <w:color w:val="000000" w:themeColor="text1"/>
                <w:sz w:val="21"/>
                <w:szCs w:val="21"/>
                <w14:textFill>
                  <w14:solidFill>
                    <w14:schemeClr w14:val="tx1"/>
                  </w14:solidFill>
                </w14:textFill>
              </w:rPr>
              <w:sym w:font="Wingdings 2" w:char="00A3"/>
            </w:r>
          </w:p>
        </w:tc>
        <w:tc>
          <w:tcPr>
            <w:tcW w:w="617"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4b类区 </w:t>
            </w:r>
            <w:r>
              <w:rPr>
                <w:rFonts w:ascii="Times New Roman" w:eastAsiaTheme="minorEastAsia"/>
                <w:color w:val="000000" w:themeColor="text1"/>
                <w:sz w:val="21"/>
                <w:szCs w:val="21"/>
                <w14:textFill>
                  <w14:solidFill>
                    <w14:schemeClr w14:val="tx1"/>
                  </w14:solidFill>
                </w14:textFill>
              </w:rPr>
              <w:sym w:font="Wingdings 2" w:char="00A3"/>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309" w:hRule="atLeast"/>
          <w:jc w:val="center"/>
        </w:trPr>
        <w:tc>
          <w:tcPr>
            <w:tcW w:w="702" w:type="pct"/>
            <w:vMerge w:val="continue"/>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16" w:type="pct"/>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评价年度</w:t>
            </w:r>
          </w:p>
        </w:tc>
        <w:tc>
          <w:tcPr>
            <w:tcW w:w="960" w:type="pct"/>
            <w:gridSpan w:val="2"/>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初期 □</w:t>
            </w:r>
          </w:p>
        </w:tc>
        <w:tc>
          <w:tcPr>
            <w:tcW w:w="943" w:type="pct"/>
            <w:gridSpan w:val="5"/>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近期 □</w:t>
            </w:r>
          </w:p>
        </w:tc>
        <w:tc>
          <w:tcPr>
            <w:tcW w:w="875" w:type="pct"/>
            <w:gridSpan w:val="3"/>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中期 □</w:t>
            </w:r>
          </w:p>
        </w:tc>
        <w:tc>
          <w:tcPr>
            <w:tcW w:w="901" w:type="pct"/>
            <w:gridSpan w:val="2"/>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远期 □</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584" w:hRule="atLeast"/>
          <w:jc w:val="center"/>
        </w:trPr>
        <w:tc>
          <w:tcPr>
            <w:tcW w:w="702" w:type="pct"/>
            <w:vMerge w:val="continue"/>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16" w:type="pct"/>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现状调查方法</w:t>
            </w:r>
          </w:p>
        </w:tc>
        <w:tc>
          <w:tcPr>
            <w:tcW w:w="3680" w:type="pct"/>
            <w:gridSpan w:val="12"/>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现场实测法 </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 xml:space="preserve">       现场实测及模型计算法 □       收集资料 □</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307" w:hRule="atLeast"/>
          <w:jc w:val="center"/>
        </w:trPr>
        <w:tc>
          <w:tcPr>
            <w:tcW w:w="702" w:type="pct"/>
            <w:vMerge w:val="continue"/>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16"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现状评价</w:t>
            </w:r>
          </w:p>
        </w:tc>
        <w:tc>
          <w:tcPr>
            <w:tcW w:w="1258" w:type="pct"/>
            <w:gridSpan w:val="3"/>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达标百分比</w:t>
            </w:r>
          </w:p>
        </w:tc>
        <w:tc>
          <w:tcPr>
            <w:tcW w:w="2422" w:type="pct"/>
            <w:gridSpan w:val="9"/>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100%</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584" w:hRule="atLeast"/>
          <w:jc w:val="center"/>
        </w:trPr>
        <w:tc>
          <w:tcPr>
            <w:tcW w:w="702"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噪声源调查</w:t>
            </w:r>
          </w:p>
        </w:tc>
        <w:tc>
          <w:tcPr>
            <w:tcW w:w="616" w:type="pc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噪声源调查方法</w:t>
            </w:r>
          </w:p>
        </w:tc>
        <w:tc>
          <w:tcPr>
            <w:tcW w:w="3680" w:type="pct"/>
            <w:gridSpan w:val="12"/>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现场实测 </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 xml:space="preserve">                 已有资料 □                研究成果 □</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307" w:hRule="atLeast"/>
          <w:jc w:val="center"/>
        </w:trPr>
        <w:tc>
          <w:tcPr>
            <w:tcW w:w="70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声环境影响预测与评价</w:t>
            </w:r>
          </w:p>
        </w:tc>
        <w:tc>
          <w:tcPr>
            <w:tcW w:w="616"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预测模型</w:t>
            </w:r>
          </w:p>
        </w:tc>
        <w:tc>
          <w:tcPr>
            <w:tcW w:w="3680" w:type="pct"/>
            <w:gridSpan w:val="12"/>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导则推荐模型 </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 xml:space="preserve">                             其他 □               </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823" w:hRule="atLeast"/>
          <w:jc w:val="center"/>
        </w:trPr>
        <w:tc>
          <w:tcPr>
            <w:tcW w:w="7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16"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预测范围</w:t>
            </w:r>
          </w:p>
        </w:tc>
        <w:tc>
          <w:tcPr>
            <w:tcW w:w="3680" w:type="pct"/>
            <w:gridSpan w:val="12"/>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200m </w:t>
            </w:r>
            <w:r>
              <w:rPr>
                <w:rFonts w:ascii="Times New Roman" w:eastAsiaTheme="minorEastAsia"/>
                <w:color w:val="000000" w:themeColor="text1"/>
                <w:sz w:val="21"/>
                <w:szCs w:val="21"/>
                <w14:textFill>
                  <w14:solidFill>
                    <w14:schemeClr w14:val="tx1"/>
                  </w14:solidFill>
                </w14:textFill>
              </w:rPr>
              <w:sym w:font="Wingdings 2" w:char="00A3"/>
            </w:r>
            <w:r>
              <w:rPr>
                <w:rFonts w:ascii="Times New Roman" w:eastAsiaTheme="minorEastAsia"/>
                <w:color w:val="000000" w:themeColor="text1"/>
                <w:sz w:val="21"/>
                <w:szCs w:val="21"/>
                <w14:textFill>
                  <w14:solidFill>
                    <w14:schemeClr w14:val="tx1"/>
                  </w14:solidFill>
                </w14:textFill>
              </w:rPr>
              <w:t xml:space="preserve">                大于200m □              小于200m </w:t>
            </w:r>
            <w:r>
              <w:rPr>
                <w:rFonts w:ascii="Times New Roman" w:eastAsiaTheme="minorEastAsia"/>
                <w:color w:val="000000" w:themeColor="text1"/>
                <w:sz w:val="21"/>
                <w:szCs w:val="21"/>
                <w14:textFill>
                  <w14:solidFill>
                    <w14:schemeClr w14:val="tx1"/>
                  </w14:solidFill>
                </w14:textFill>
              </w:rPr>
              <w:sym w:font="Wingdings 2" w:char="0052"/>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307" w:hRule="atLeast"/>
          <w:jc w:val="center"/>
        </w:trPr>
        <w:tc>
          <w:tcPr>
            <w:tcW w:w="7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16"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预测因子</w:t>
            </w:r>
          </w:p>
        </w:tc>
        <w:tc>
          <w:tcPr>
            <w:tcW w:w="3680" w:type="pct"/>
            <w:gridSpan w:val="12"/>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等效连续A声级 </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 xml:space="preserve">        最大A声级 □      计权等效连续感觉噪声级 □</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584" w:hRule="atLeast"/>
          <w:jc w:val="center"/>
        </w:trPr>
        <w:tc>
          <w:tcPr>
            <w:tcW w:w="7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16"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厂界噪声贡献值</w:t>
            </w:r>
          </w:p>
        </w:tc>
        <w:tc>
          <w:tcPr>
            <w:tcW w:w="3680" w:type="pct"/>
            <w:gridSpan w:val="12"/>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 xml:space="preserve">                                       不达标□</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861" w:hRule="atLeast"/>
          <w:jc w:val="center"/>
        </w:trPr>
        <w:tc>
          <w:tcPr>
            <w:tcW w:w="7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16"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声环境保护目标处噪声值</w:t>
            </w:r>
          </w:p>
        </w:tc>
        <w:tc>
          <w:tcPr>
            <w:tcW w:w="3680" w:type="pct"/>
            <w:gridSpan w:val="12"/>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w:t>
            </w:r>
            <w:r>
              <w:rPr>
                <w:rFonts w:ascii="Times New Roman" w:eastAsiaTheme="minorEastAsia"/>
                <w:color w:val="000000" w:themeColor="text1"/>
                <w:sz w:val="21"/>
                <w:szCs w:val="21"/>
                <w14:textFill>
                  <w14:solidFill>
                    <w14:schemeClr w14:val="tx1"/>
                  </w14:solidFill>
                </w14:textFill>
              </w:rPr>
              <w:sym w:font="Wingdings 2" w:char="00A3"/>
            </w:r>
            <w:r>
              <w:rPr>
                <w:rFonts w:ascii="Times New Roman" w:eastAsiaTheme="minorEastAsia"/>
                <w:color w:val="000000" w:themeColor="text1"/>
                <w:sz w:val="21"/>
                <w:szCs w:val="21"/>
                <w14:textFill>
                  <w14:solidFill>
                    <w14:schemeClr w14:val="tx1"/>
                  </w14:solidFill>
                </w14:textFill>
              </w:rPr>
              <w:t xml:space="preserve">                                       不达标□</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307" w:hRule="atLeast"/>
          <w:jc w:val="center"/>
        </w:trPr>
        <w:tc>
          <w:tcPr>
            <w:tcW w:w="702" w:type="pct"/>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环境监测计划</w:t>
            </w:r>
          </w:p>
        </w:tc>
        <w:tc>
          <w:tcPr>
            <w:tcW w:w="616"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排放监测</w:t>
            </w:r>
          </w:p>
        </w:tc>
        <w:tc>
          <w:tcPr>
            <w:tcW w:w="3680" w:type="pct"/>
            <w:gridSpan w:val="12"/>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厂界监测</w:t>
            </w:r>
            <w:r>
              <w:rPr>
                <w:rFonts w:ascii="Times New Roman" w:eastAsiaTheme="minorEastAsia"/>
                <w:color w:val="000000" w:themeColor="text1"/>
                <w:sz w:val="21"/>
                <w:szCs w:val="21"/>
                <w14:textFill>
                  <w14:solidFill>
                    <w14:schemeClr w14:val="tx1"/>
                  </w14:solidFill>
                </w14:textFill>
              </w:rPr>
              <w:sym w:font="Wingdings 2" w:char="0052"/>
            </w:r>
            <w:r>
              <w:rPr>
                <w:rFonts w:ascii="Times New Roman" w:eastAsiaTheme="minorEastAsia"/>
                <w:color w:val="000000" w:themeColor="text1"/>
                <w:sz w:val="21"/>
                <w:szCs w:val="21"/>
                <w14:textFill>
                  <w14:solidFill>
                    <w14:schemeClr w14:val="tx1"/>
                  </w14:solidFill>
                </w14:textFill>
              </w:rPr>
              <w:t xml:space="preserve">      固定位置监测□       自动监测□       手动监测□        无监测□</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861" w:hRule="atLeast"/>
          <w:jc w:val="center"/>
        </w:trPr>
        <w:tc>
          <w:tcPr>
            <w:tcW w:w="702" w:type="pct"/>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616" w:type="pct"/>
            <w:tcBorders>
              <w:tl2br w:val="nil"/>
              <w:tr2bl w:val="nil"/>
            </w:tcBorders>
            <w:shd w:val="clear" w:color="auto" w:fill="auto"/>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声环境保护目标处噪声监测</w:t>
            </w:r>
          </w:p>
        </w:tc>
        <w:tc>
          <w:tcPr>
            <w:tcW w:w="1321" w:type="pct"/>
            <w:gridSpan w:val="5"/>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监测因子：（等效连续A声级）</w:t>
            </w:r>
          </w:p>
        </w:tc>
        <w:tc>
          <w:tcPr>
            <w:tcW w:w="1173" w:type="pct"/>
            <w:gridSpan w:val="4"/>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监测点位数（ </w:t>
            </w:r>
            <w:r>
              <w:rPr>
                <w:rFonts w:hint="eastAsia" w:ascii="Times New Roman" w:eastAsiaTheme="minorEastAsia"/>
                <w:color w:val="000000" w:themeColor="text1"/>
                <w:sz w:val="21"/>
                <w:szCs w:val="21"/>
                <w14:textFill>
                  <w14:solidFill>
                    <w14:schemeClr w14:val="tx1"/>
                  </w14:solidFill>
                </w14:textFill>
              </w:rPr>
              <w:t>4</w:t>
            </w:r>
            <w:r>
              <w:rPr>
                <w:rFonts w:ascii="Times New Roman" w:eastAsiaTheme="minorEastAsia"/>
                <w:color w:val="000000" w:themeColor="text1"/>
                <w:sz w:val="21"/>
                <w:szCs w:val="21"/>
                <w14:textFill>
                  <w14:solidFill>
                    <w14:schemeClr w14:val="tx1"/>
                  </w14:solidFill>
                </w14:textFill>
              </w:rPr>
              <w:t xml:space="preserve"> ）</w:t>
            </w:r>
          </w:p>
        </w:tc>
        <w:tc>
          <w:tcPr>
            <w:tcW w:w="1185" w:type="pct"/>
            <w:gridSpan w:val="3"/>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无监测□</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307" w:hRule="atLeast"/>
          <w:jc w:val="center"/>
        </w:trPr>
        <w:tc>
          <w:tcPr>
            <w:tcW w:w="702" w:type="pct"/>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评价结论</w:t>
            </w:r>
          </w:p>
        </w:tc>
        <w:tc>
          <w:tcPr>
            <w:tcW w:w="616" w:type="pct"/>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环境影响</w:t>
            </w:r>
          </w:p>
        </w:tc>
        <w:tc>
          <w:tcPr>
            <w:tcW w:w="3680" w:type="pct"/>
            <w:gridSpan w:val="12"/>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 xml:space="preserve">可行 </w:t>
            </w:r>
            <w:r>
              <w:rPr>
                <w:rFonts w:ascii="Segoe UI Symbol" w:hAnsi="Segoe UI Symbol" w:cs="Segoe UI Symbol"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 xml:space="preserve">      不可行 □</w:t>
            </w:r>
          </w:p>
        </w:tc>
      </w:tr>
      <w:tr>
        <w:tblPrEx>
          <w:tblBorders>
            <w:top w:val="single" w:color="auto" w:sz="12" w:space="0"/>
            <w:left w:val="none" w:color="auto" w:sz="0" w:space="0"/>
            <w:bottom w:val="single" w:color="auto" w:sz="12" w:space="0"/>
            <w:right w:val="none" w:color="auto" w:sz="0" w:space="0"/>
            <w:insideH w:val="none" w:color="auto" w:sz="0" w:space="0"/>
            <w:insideV w:val="single" w:color="auto" w:sz="6" w:space="0"/>
          </w:tblBorders>
          <w:tblCellMar>
            <w:top w:w="0" w:type="dxa"/>
            <w:left w:w="108" w:type="dxa"/>
            <w:bottom w:w="0" w:type="dxa"/>
            <w:right w:w="108" w:type="dxa"/>
          </w:tblCellMar>
        </w:tblPrEx>
        <w:trPr>
          <w:trHeight w:val="569" w:hRule="atLeast"/>
          <w:jc w:val="center"/>
        </w:trPr>
        <w:tc>
          <w:tcPr>
            <w:tcW w:w="5000" w:type="pct"/>
            <w:gridSpan w:val="14"/>
            <w:tcBorders>
              <w:tl2br w:val="nil"/>
              <w:tr2bl w:val="nil"/>
            </w:tcBorders>
            <w:shd w:val="clear" w:color="auto" w:fill="auto"/>
            <w:noWrap/>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注：“□”为勾选项，可√；“（   ）”为内容填写项。</w:t>
            </w:r>
          </w:p>
        </w:tc>
      </w:tr>
    </w:tbl>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附表5生态影响评价自查表</w:t>
      </w:r>
    </w:p>
    <w:tbl>
      <w:tblPr>
        <w:tblStyle w:val="71"/>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1231"/>
        <w:gridCol w:w="65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36" w:type="dxa"/>
            <w:gridSpan w:val="2"/>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工作内容</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自查项目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生态影响识别</w:t>
            </w:r>
          </w:p>
        </w:tc>
        <w:tc>
          <w:tcPr>
            <w:tcW w:w="1231"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生态保护目标</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重要物种□；国家公园□；自然保护区；□自然公园□；世界自然遗产□；生态保护红线□；重要生境□其他具有重要生态功能、对保护生物多样性具有重要意义的区域；□其他</w:t>
            </w:r>
            <w:r>
              <w:rPr>
                <w:rFonts w:hint="eastAsia" w:ascii="Times New Roman" w:eastAsiaTheme="minorEastAsia"/>
                <w:color w:val="000000" w:themeColor="text1"/>
                <w:sz w:val="21"/>
                <w:szCs w:val="21"/>
                <w14:textFill>
                  <w14:solidFill>
                    <w14:schemeClr w14:val="tx1"/>
                  </w14:solidFill>
                </w14:textFill>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31"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影响方式</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工程占用□；施工活动干扰□；改变环境条件□；其他□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31"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评价因子</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物种□（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生境□（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生物群落（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生态系统□（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生物多样性□（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生态敏感区□（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自然景观□（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自然遗迹□（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36" w:type="dxa"/>
            <w:gridSpan w:val="2"/>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评价等级</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一级□    二级□    三级</w:t>
            </w:r>
            <w:r>
              <w:rPr>
                <w:rFonts w:hint="eastAsia" w:ascii="Times New Roman" w:eastAsiaTheme="minorEastAsia"/>
                <w:color w:val="000000" w:themeColor="text1"/>
                <w:sz w:val="21"/>
                <w:szCs w:val="21"/>
                <w14:textFill>
                  <w14:solidFill>
                    <w14:schemeClr w14:val="tx1"/>
                  </w14:solidFill>
                </w14:textFill>
              </w:rPr>
              <w:sym w:font="Wingdings 2" w:char="0052"/>
            </w:r>
            <w:r>
              <w:rPr>
                <w:rFonts w:hint="eastAsia" w:ascii="Times New Roman" w:eastAsiaTheme="minorEastAsia"/>
                <w:color w:val="000000" w:themeColor="text1"/>
                <w:sz w:val="21"/>
                <w:szCs w:val="21"/>
                <w14:textFill>
                  <w14:solidFill>
                    <w14:schemeClr w14:val="tx1"/>
                  </w14:solidFill>
                </w14:textFill>
              </w:rPr>
              <w:t xml:space="preserve">    生态影响简单分析</w:t>
            </w:r>
            <w:r>
              <w:rPr>
                <w:rFonts w:hint="eastAsia" w:ascii="Times New Roman" w:eastAsiaTheme="minorEastAsia"/>
                <w:color w:val="000000" w:themeColor="text1"/>
                <w:sz w:val="21"/>
                <w:szCs w:val="21"/>
                <w14:textFill>
                  <w14:solidFill>
                    <w14:schemeClr w14:val="tx1"/>
                  </w14:solidFill>
                </w14:textFill>
              </w:rPr>
              <w:sym w:font="Wingdings 2" w:char="00A3"/>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36" w:type="dxa"/>
            <w:gridSpan w:val="2"/>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评价范围</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路域面积：（ .0.02 ）km2；水域面积：（       ）km2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生态现状调查与评价</w:t>
            </w:r>
          </w:p>
        </w:tc>
        <w:tc>
          <w:tcPr>
            <w:tcW w:w="1231"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调查方法</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资料收集□；遥感调查□；调查样方、样线□；调查点位、断面□；专家和公众咨询法□；其他□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31"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调查时间</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春季□；夏季□；秋季□；冬季□ </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丰水期□；枯水期□；平水期□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31"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所在区域的生态问题</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水土流失□；沙漠化□；石漠化□；盐渍化□；生物入侵□；污染危害□；其他□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31"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评价内容</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植被/植物群落□；土地利用□；生态系统□；生物多样性□；重要物种□；生态敏感区□；其他□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生态影响预测与评价</w:t>
            </w:r>
          </w:p>
        </w:tc>
        <w:tc>
          <w:tcPr>
            <w:tcW w:w="1231"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评价方法</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定性</w:t>
            </w:r>
            <w:r>
              <w:rPr>
                <w:rFonts w:hint="eastAsia" w:ascii="Times New Roman" w:eastAsiaTheme="minorEastAsia"/>
                <w:color w:val="000000" w:themeColor="text1"/>
                <w:sz w:val="21"/>
                <w:szCs w:val="21"/>
                <w14:textFill>
                  <w14:solidFill>
                    <w14:schemeClr w14:val="tx1"/>
                  </w14:solidFill>
                </w14:textFill>
              </w:rPr>
              <w:sym w:font="Wingdings 2" w:char="0052"/>
            </w:r>
            <w:r>
              <w:rPr>
                <w:rFonts w:hint="eastAsia" w:ascii="Times New Roman" w:eastAsiaTheme="minorEastAsia"/>
                <w:color w:val="000000" w:themeColor="text1"/>
                <w:sz w:val="21"/>
                <w:szCs w:val="21"/>
                <w14:textFill>
                  <w14:solidFill>
                    <w14:schemeClr w14:val="tx1"/>
                  </w14:solidFill>
                </w14:textFill>
              </w:rPr>
              <w:t>；定性和定量□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31"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评价内容</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 xml:space="preserve">植被/植物群落□；土地利用□；生态系统□；生物多样性□；重要物种□；生态敏感区□；生物入侵风险植被/植物群落□；土地利用□；生态系统□；生物多样性□；重要物种□；生态敏感区□；其他□；其他□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生态保护对策措施</w:t>
            </w:r>
          </w:p>
        </w:tc>
        <w:tc>
          <w:tcPr>
            <w:tcW w:w="1231"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对策措施</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避让□；减缓□；生态修复□；生态补偿□；科研□；其他□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31"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生态监测计划</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全生命周期□；长期跟踪□；常规□；其他□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231"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环境管理</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环境监理□；环境影响后评价□；其他</w:t>
            </w:r>
            <w:r>
              <w:rPr>
                <w:rFonts w:hint="eastAsia" w:ascii="Times New Roman" w:eastAsiaTheme="minorEastAsia"/>
                <w:color w:val="000000" w:themeColor="text1"/>
                <w:sz w:val="21"/>
                <w:szCs w:val="21"/>
                <w14:textFill>
                  <w14:solidFill>
                    <w14:schemeClr w14:val="tx1"/>
                  </w14:solidFill>
                </w14:textFill>
              </w:rPr>
              <w:sym w:font="Wingdings 2" w:char="0052"/>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评价结论</w:t>
            </w:r>
          </w:p>
        </w:tc>
        <w:tc>
          <w:tcPr>
            <w:tcW w:w="1231"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生态影响</w:t>
            </w:r>
          </w:p>
        </w:tc>
        <w:tc>
          <w:tcPr>
            <w:tcW w:w="6586" w:type="dxa"/>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可行</w:t>
            </w:r>
            <w:r>
              <w:rPr>
                <w:rFonts w:hint="eastAsia" w:ascii="Times New Roman" w:eastAsiaTheme="minorEastAsia"/>
                <w:color w:val="000000" w:themeColor="text1"/>
                <w:sz w:val="21"/>
                <w:szCs w:val="21"/>
                <w14:textFill>
                  <w14:solidFill>
                    <w14:schemeClr w14:val="tx1"/>
                  </w14:solidFill>
                </w14:textFill>
              </w:rPr>
              <w:sym w:font="Wingdings 2" w:char="0052"/>
            </w:r>
            <w:r>
              <w:rPr>
                <w:rFonts w:hint="eastAsia" w:ascii="Times New Roman" w:eastAsiaTheme="minorEastAsia"/>
                <w:color w:val="000000" w:themeColor="text1"/>
                <w:sz w:val="21"/>
                <w:szCs w:val="21"/>
                <w14:textFill>
                  <w14:solidFill>
                    <w14:schemeClr w14:val="tx1"/>
                  </w14:solidFill>
                </w14:textFill>
              </w:rPr>
              <w:t>；不可行□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3"/>
            <w:tcBorders>
              <w:tl2br w:val="nil"/>
              <w:tr2bl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注：“□”为勾选项，可√；“（）”为内容填写项。</w:t>
            </w:r>
          </w:p>
        </w:tc>
      </w:tr>
    </w:tbl>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附表6</w:t>
      </w:r>
      <w:r>
        <w:rPr>
          <w:rFonts w:hint="eastAsia" w:ascii="Times New Roman" w:hAnsiTheme="minorEastAsia" w:eastAsiaTheme="minorEastAsia"/>
          <w:b/>
          <w:bCs/>
          <w:color w:val="000000" w:themeColor="text1"/>
          <w:szCs w:val="24"/>
          <w14:textFill>
            <w14:solidFill>
              <w14:schemeClr w14:val="tx1"/>
            </w14:solidFill>
          </w14:textFill>
        </w:rPr>
        <w:tab/>
      </w:r>
      <w:r>
        <w:rPr>
          <w:rFonts w:hint="eastAsia" w:ascii="Times New Roman" w:hAnsiTheme="minorEastAsia" w:eastAsiaTheme="minorEastAsia"/>
          <w:b/>
          <w:bCs/>
          <w:color w:val="000000" w:themeColor="text1"/>
          <w:szCs w:val="24"/>
          <w14:textFill>
            <w14:solidFill>
              <w14:schemeClr w14:val="tx1"/>
            </w14:solidFill>
          </w14:textFill>
        </w:rPr>
        <w:t>土壤环境影响评价自查表</w:t>
      </w:r>
    </w:p>
    <w:tbl>
      <w:tblPr>
        <w:tblStyle w:val="70"/>
        <w:tblW w:w="9288" w:type="dxa"/>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428"/>
        <w:gridCol w:w="1677"/>
        <w:gridCol w:w="1417"/>
        <w:gridCol w:w="1534"/>
        <w:gridCol w:w="1625"/>
        <w:gridCol w:w="457"/>
        <w:gridCol w:w="197"/>
        <w:gridCol w:w="233"/>
        <w:gridCol w:w="568"/>
        <w:gridCol w:w="1152"/>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105" w:type="dxa"/>
            <w:gridSpan w:val="2"/>
            <w:tcBorders>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工作内容</w:t>
            </w:r>
          </w:p>
        </w:tc>
        <w:tc>
          <w:tcPr>
            <w:tcW w:w="6031" w:type="dxa"/>
            <w:gridSpan w:val="7"/>
            <w:tcBorders>
              <w:left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完成情况</w:t>
            </w:r>
          </w:p>
        </w:tc>
        <w:tc>
          <w:tcPr>
            <w:tcW w:w="1152" w:type="dxa"/>
            <w:tcBorders>
              <w:lef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备注</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428" w:type="dxa"/>
            <w:vMerge w:val="restart"/>
            <w:tcBorders>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影响识别</w:t>
            </w:r>
          </w:p>
        </w:tc>
        <w:tc>
          <w:tcPr>
            <w:tcW w:w="1677" w:type="dxa"/>
            <w:tcBorders>
              <w:left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影响类型</w:t>
            </w:r>
          </w:p>
        </w:tc>
        <w:tc>
          <w:tcPr>
            <w:tcW w:w="6031" w:type="dxa"/>
            <w:gridSpan w:val="7"/>
            <w:tcBorders>
              <w:left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污染影响型√；生态影响型□；两种兼有□</w:t>
            </w:r>
          </w:p>
        </w:tc>
        <w:tc>
          <w:tcPr>
            <w:tcW w:w="1152" w:type="dxa"/>
            <w:tcBorders>
              <w:lef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4"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left w:val="single" w:color="000000" w:sz="6" w:space="0"/>
              <w:bottom w:val="single" w:color="000000" w:sz="4"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土地利用类型</w:t>
            </w:r>
          </w:p>
        </w:tc>
        <w:tc>
          <w:tcPr>
            <w:tcW w:w="6031" w:type="dxa"/>
            <w:gridSpan w:val="7"/>
            <w:tcBorders>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建设用地√；农用地□；未利用地□</w:t>
            </w:r>
          </w:p>
        </w:tc>
        <w:tc>
          <w:tcPr>
            <w:tcW w:w="1152" w:type="dxa"/>
            <w:tcBorders>
              <w:left w:val="single" w:color="000000" w:sz="6" w:space="0"/>
              <w:bottom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土地利用类</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型图</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4"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占地规模</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7.488）hm2</w:t>
            </w:r>
          </w:p>
        </w:tc>
        <w:tc>
          <w:tcPr>
            <w:tcW w:w="1152" w:type="dxa"/>
            <w:tcBorders>
              <w:top w:val="single" w:color="000000" w:sz="4"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敏感目标信息</w:t>
            </w:r>
          </w:p>
        </w:tc>
        <w:tc>
          <w:tcPr>
            <w:tcW w:w="5033" w:type="dxa"/>
            <w:gridSpan w:val="4"/>
            <w:tcBorders>
              <w:top w:val="single" w:color="000000" w:sz="6" w:space="0"/>
              <w:left w:val="single" w:color="000000" w:sz="6" w:space="0"/>
              <w:bottom w:val="single" w:color="000000" w:sz="6"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敏感目标（</w:t>
            </w:r>
            <w:r>
              <w:rPr>
                <w:rFonts w:ascii="Times New Roman" w:eastAsiaTheme="minorEastAsia"/>
                <w:color w:val="000000" w:themeColor="text1"/>
                <w:sz w:val="21"/>
                <w:szCs w:val="21"/>
                <w14:textFill>
                  <w14:solidFill>
                    <w14:schemeClr w14:val="tx1"/>
                  </w14:solidFill>
                </w14:textFill>
              </w:rPr>
              <w:tab/>
            </w:r>
            <w:r>
              <w:rPr>
                <w:rFonts w:ascii="Times New Roman" w:eastAsiaTheme="minorEastAsia"/>
                <w:color w:val="000000" w:themeColor="text1"/>
                <w:sz w:val="21"/>
                <w:szCs w:val="21"/>
                <w14:textFill>
                  <w14:solidFill>
                    <w14:schemeClr w14:val="tx1"/>
                  </w14:solidFill>
                </w14:textFill>
              </w:rPr>
              <w:t>）、方位（</w:t>
            </w:r>
            <w:r>
              <w:rPr>
                <w:rFonts w:ascii="Times New Roman" w:eastAsiaTheme="minorEastAsia"/>
                <w:color w:val="000000" w:themeColor="text1"/>
                <w:sz w:val="21"/>
                <w:szCs w:val="21"/>
                <w14:textFill>
                  <w14:solidFill>
                    <w14:schemeClr w14:val="tx1"/>
                  </w14:solidFill>
                </w14:textFill>
              </w:rPr>
              <w:tab/>
            </w:r>
            <w:r>
              <w:rPr>
                <w:rFonts w:ascii="Times New Roman" w:eastAsiaTheme="minorEastAsia"/>
                <w:color w:val="000000" w:themeColor="text1"/>
                <w:sz w:val="21"/>
                <w:szCs w:val="21"/>
                <w14:textFill>
                  <w14:solidFill>
                    <w14:schemeClr w14:val="tx1"/>
                  </w14:solidFill>
                </w14:textFill>
              </w:rPr>
              <w:t>）、距离（</w:t>
            </w:r>
          </w:p>
        </w:tc>
        <w:tc>
          <w:tcPr>
            <w:tcW w:w="430" w:type="dxa"/>
            <w:gridSpan w:val="2"/>
            <w:tcBorders>
              <w:top w:val="single" w:color="000000" w:sz="6" w:space="0"/>
              <w:left w:val="nil"/>
              <w:bottom w:val="single" w:color="000000" w:sz="6"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568" w:type="dxa"/>
            <w:tcBorders>
              <w:top w:val="single" w:color="000000" w:sz="6" w:space="0"/>
              <w:left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影响途径</w:t>
            </w:r>
          </w:p>
        </w:tc>
        <w:tc>
          <w:tcPr>
            <w:tcW w:w="5033" w:type="dxa"/>
            <w:gridSpan w:val="4"/>
            <w:tcBorders>
              <w:top w:val="single" w:color="000000" w:sz="6" w:space="0"/>
              <w:left w:val="single" w:color="000000" w:sz="6" w:space="0"/>
              <w:bottom w:val="single" w:color="000000" w:sz="6"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大气沉降√；地面漫流□；垂直入渗□；地下水位□；其他（</w:t>
            </w:r>
          </w:p>
        </w:tc>
        <w:tc>
          <w:tcPr>
            <w:tcW w:w="430" w:type="dxa"/>
            <w:gridSpan w:val="2"/>
            <w:tcBorders>
              <w:top w:val="single" w:color="000000" w:sz="6" w:space="0"/>
              <w:left w:val="nil"/>
              <w:bottom w:val="single" w:color="000000" w:sz="6"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568" w:type="dxa"/>
            <w:tcBorders>
              <w:top w:val="single" w:color="000000" w:sz="6" w:space="0"/>
              <w:left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全部污染物</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w:t>
            </w: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特征因子</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w:t>
            </w: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3"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所属土壤环境影响</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评价项目类别</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Ⅰ类□；Ⅱ类□；Ⅲ类√；Ⅳ类□</w:t>
            </w: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敏感程度</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敏感√；较敏感□；不敏感□</w:t>
            </w: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2105" w:type="dxa"/>
            <w:gridSpan w:val="2"/>
            <w:tcBorders>
              <w:top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评价工作等级</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一级□；二级□；三级√</w:t>
            </w: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428" w:type="dxa"/>
            <w:vMerge w:val="restart"/>
            <w:tcBorders>
              <w:top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现状调查内容</w:t>
            </w: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资料收集</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a）□；b）□；c）□；d）□</w:t>
            </w: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理化特性</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同附录 C</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9"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vMerge w:val="restart"/>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现状监测点位</w:t>
            </w:r>
          </w:p>
        </w:tc>
        <w:tc>
          <w:tcPr>
            <w:tcW w:w="1417" w:type="dxa"/>
            <w:tcBorders>
              <w:top w:val="single" w:color="000000" w:sz="6" w:space="0"/>
              <w:left w:val="single" w:color="000000" w:sz="6"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534" w:type="dxa"/>
            <w:tcBorders>
              <w:top w:val="single" w:color="000000" w:sz="6"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占地范围内</w:t>
            </w:r>
          </w:p>
        </w:tc>
        <w:tc>
          <w:tcPr>
            <w:tcW w:w="2279" w:type="dxa"/>
            <w:gridSpan w:val="3"/>
            <w:tcBorders>
              <w:top w:val="single" w:color="000000" w:sz="6"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占地范围外</w:t>
            </w:r>
          </w:p>
        </w:tc>
        <w:tc>
          <w:tcPr>
            <w:tcW w:w="801" w:type="dxa"/>
            <w:gridSpan w:val="2"/>
            <w:tcBorders>
              <w:top w:val="single" w:color="000000" w:sz="6" w:space="0"/>
              <w:left w:val="single" w:color="000000" w:sz="4" w:space="0"/>
              <w:bottom w:val="single" w:color="000000" w:sz="4"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深度</w:t>
            </w:r>
          </w:p>
        </w:tc>
        <w:tc>
          <w:tcPr>
            <w:tcW w:w="1152" w:type="dxa"/>
            <w:vMerge w:val="restart"/>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点位布置图</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vMerge w:val="continue"/>
            <w:tcBorders>
              <w:top w:val="nil"/>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17" w:type="dxa"/>
            <w:tcBorders>
              <w:top w:val="single" w:color="000000" w:sz="4" w:space="0"/>
              <w:left w:val="single" w:color="000000" w:sz="6"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表层样点数</w:t>
            </w:r>
          </w:p>
        </w:tc>
        <w:tc>
          <w:tcPr>
            <w:tcW w:w="1534" w:type="dxa"/>
            <w:tcBorders>
              <w:top w:val="single" w:color="000000" w:sz="4"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3</w:t>
            </w:r>
          </w:p>
        </w:tc>
        <w:tc>
          <w:tcPr>
            <w:tcW w:w="2279" w:type="dxa"/>
            <w:gridSpan w:val="3"/>
            <w:tcBorders>
              <w:top w:val="single" w:color="000000" w:sz="4"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1" w:type="dxa"/>
            <w:gridSpan w:val="2"/>
            <w:tcBorders>
              <w:top w:val="single" w:color="000000" w:sz="4" w:space="0"/>
              <w:left w:val="single" w:color="000000" w:sz="4" w:space="0"/>
              <w:bottom w:val="single" w:color="000000" w:sz="4"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0-0.2</w:t>
            </w:r>
          </w:p>
        </w:tc>
        <w:tc>
          <w:tcPr>
            <w:tcW w:w="1152" w:type="dxa"/>
            <w:vMerge w:val="continue"/>
            <w:tcBorders>
              <w:top w:val="nil"/>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4"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vMerge w:val="continue"/>
            <w:tcBorders>
              <w:top w:val="nil"/>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417" w:type="dxa"/>
            <w:tcBorders>
              <w:top w:val="single" w:color="000000" w:sz="4" w:space="0"/>
              <w:left w:val="single" w:color="000000" w:sz="6" w:space="0"/>
              <w:bottom w:val="single" w:color="000000" w:sz="6"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柱状样点数</w:t>
            </w:r>
          </w:p>
        </w:tc>
        <w:tc>
          <w:tcPr>
            <w:tcW w:w="1534" w:type="dxa"/>
            <w:tcBorders>
              <w:top w:val="single" w:color="000000" w:sz="4" w:space="0"/>
              <w:left w:val="single" w:color="000000" w:sz="4" w:space="0"/>
              <w:bottom w:val="single" w:color="000000" w:sz="6"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279" w:type="dxa"/>
            <w:gridSpan w:val="3"/>
            <w:tcBorders>
              <w:top w:val="single" w:color="000000" w:sz="4" w:space="0"/>
              <w:left w:val="single" w:color="000000" w:sz="4" w:space="0"/>
              <w:bottom w:val="single" w:color="000000" w:sz="6"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801" w:type="dxa"/>
            <w:gridSpan w:val="2"/>
            <w:tcBorders>
              <w:top w:val="single" w:color="000000" w:sz="4" w:space="0"/>
              <w:left w:val="single" w:color="000000" w:sz="4"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152" w:type="dxa"/>
            <w:vMerge w:val="continue"/>
            <w:tcBorders>
              <w:top w:val="nil"/>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现状监测因子</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砷、镉、铬（六价）、铜、铅、汞、镍、四氯化碳、氯仿、氯甲烷、</w:t>
            </w:r>
            <w:r>
              <w:rPr>
                <w:rFonts w:ascii="Times New Roman" w:eastAsiaTheme="minorEastAsia"/>
                <w:color w:val="000000" w:themeColor="text1"/>
                <w:sz w:val="21"/>
                <w:szCs w:val="21"/>
                <w14:textFill>
                  <w14:solidFill>
                    <w14:schemeClr w14:val="tx1"/>
                  </w14:solidFill>
                </w14:textFill>
              </w:rPr>
              <w:t>1,1-</w:t>
            </w:r>
            <w:r>
              <w:rPr>
                <w:rFonts w:hint="eastAsia" w:ascii="Times New Roman" w:eastAsiaTheme="minorEastAsia"/>
                <w:color w:val="000000" w:themeColor="text1"/>
                <w:sz w:val="21"/>
                <w:szCs w:val="21"/>
                <w14:textFill>
                  <w14:solidFill>
                    <w14:schemeClr w14:val="tx1"/>
                  </w14:solidFill>
                </w14:textFill>
              </w:rPr>
              <w:t>二氯乙烷、</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二氯乙烷、</w:t>
            </w:r>
            <w:r>
              <w:rPr>
                <w:rFonts w:ascii="Times New Roman" w:eastAsiaTheme="minorEastAsia"/>
                <w:color w:val="000000" w:themeColor="text1"/>
                <w:sz w:val="21"/>
                <w:szCs w:val="21"/>
                <w14:textFill>
                  <w14:solidFill>
                    <w14:schemeClr w14:val="tx1"/>
                  </w14:solidFill>
                </w14:textFill>
              </w:rPr>
              <w:t>1,1-</w:t>
            </w:r>
            <w:r>
              <w:rPr>
                <w:rFonts w:hint="eastAsia" w:ascii="Times New Roman" w:eastAsiaTheme="minorEastAsia"/>
                <w:color w:val="000000" w:themeColor="text1"/>
                <w:sz w:val="21"/>
                <w:szCs w:val="21"/>
                <w14:textFill>
                  <w14:solidFill>
                    <w14:schemeClr w14:val="tx1"/>
                  </w14:solidFill>
                </w14:textFill>
              </w:rPr>
              <w:t>二氯乙烯、顺</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二氯乙烯、反</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二氯乙烯、二氯甲烷、</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二氯丙烷、</w:t>
            </w:r>
            <w:r>
              <w:rPr>
                <w:rFonts w:ascii="Times New Roman" w:eastAsiaTheme="minorEastAsia"/>
                <w:color w:val="000000" w:themeColor="text1"/>
                <w:sz w:val="21"/>
                <w:szCs w:val="21"/>
                <w14:textFill>
                  <w14:solidFill>
                    <w14:schemeClr w14:val="tx1"/>
                  </w14:solidFill>
                </w14:textFill>
              </w:rPr>
              <w:t>1,1,1,2-</w:t>
            </w:r>
            <w:r>
              <w:rPr>
                <w:rFonts w:hint="eastAsia" w:ascii="Times New Roman" w:eastAsiaTheme="minorEastAsia"/>
                <w:color w:val="000000" w:themeColor="text1"/>
                <w:sz w:val="21"/>
                <w:szCs w:val="21"/>
                <w14:textFill>
                  <w14:solidFill>
                    <w14:schemeClr w14:val="tx1"/>
                  </w14:solidFill>
                </w14:textFill>
              </w:rPr>
              <w:t>四氯乙烷、</w:t>
            </w:r>
            <w:r>
              <w:rPr>
                <w:rFonts w:ascii="Times New Roman" w:eastAsiaTheme="minorEastAsia"/>
                <w:color w:val="000000" w:themeColor="text1"/>
                <w:sz w:val="21"/>
                <w:szCs w:val="21"/>
                <w14:textFill>
                  <w14:solidFill>
                    <w14:schemeClr w14:val="tx1"/>
                  </w14:solidFill>
                </w14:textFill>
              </w:rPr>
              <w:t>1,1,2,2-</w:t>
            </w:r>
            <w:r>
              <w:rPr>
                <w:rFonts w:hint="eastAsia" w:ascii="Times New Roman" w:eastAsiaTheme="minorEastAsia"/>
                <w:color w:val="000000" w:themeColor="text1"/>
                <w:sz w:val="21"/>
                <w:szCs w:val="21"/>
                <w14:textFill>
                  <w14:solidFill>
                    <w14:schemeClr w14:val="tx1"/>
                  </w14:solidFill>
                </w14:textFill>
              </w:rPr>
              <w:t>四氯乙烷、四氯乙烯、</w:t>
            </w:r>
            <w:r>
              <w:rPr>
                <w:rFonts w:ascii="Times New Roman" w:eastAsiaTheme="minorEastAsia"/>
                <w:color w:val="000000" w:themeColor="text1"/>
                <w:sz w:val="21"/>
                <w:szCs w:val="21"/>
                <w14:textFill>
                  <w14:solidFill>
                    <w14:schemeClr w14:val="tx1"/>
                  </w14:solidFill>
                </w14:textFill>
              </w:rPr>
              <w:t>1,1,1-</w:t>
            </w:r>
            <w:r>
              <w:rPr>
                <w:rFonts w:hint="eastAsia" w:ascii="Times New Roman" w:eastAsiaTheme="minorEastAsia"/>
                <w:color w:val="000000" w:themeColor="text1"/>
                <w:sz w:val="21"/>
                <w:szCs w:val="21"/>
                <w14:textFill>
                  <w14:solidFill>
                    <w14:schemeClr w14:val="tx1"/>
                  </w14:solidFill>
                </w14:textFill>
              </w:rPr>
              <w:t>三氯乙烷、</w:t>
            </w:r>
            <w:r>
              <w:rPr>
                <w:rFonts w:ascii="Times New Roman" w:eastAsiaTheme="minorEastAsia"/>
                <w:color w:val="000000" w:themeColor="text1"/>
                <w:sz w:val="21"/>
                <w:szCs w:val="21"/>
                <w14:textFill>
                  <w14:solidFill>
                    <w14:schemeClr w14:val="tx1"/>
                  </w14:solidFill>
                </w14:textFill>
              </w:rPr>
              <w:t>1,1,2-</w:t>
            </w:r>
            <w:r>
              <w:rPr>
                <w:rFonts w:hint="eastAsia" w:ascii="Times New Roman" w:eastAsiaTheme="minorEastAsia"/>
                <w:color w:val="000000" w:themeColor="text1"/>
                <w:sz w:val="21"/>
                <w:szCs w:val="21"/>
                <w14:textFill>
                  <w14:solidFill>
                    <w14:schemeClr w14:val="tx1"/>
                  </w14:solidFill>
                </w14:textFill>
              </w:rPr>
              <w:t>三氯乙烷、三氯乙烯、</w:t>
            </w:r>
            <w:r>
              <w:rPr>
                <w:rFonts w:ascii="Times New Roman" w:eastAsiaTheme="minorEastAsia"/>
                <w:color w:val="000000" w:themeColor="text1"/>
                <w:sz w:val="21"/>
                <w:szCs w:val="21"/>
                <w14:textFill>
                  <w14:solidFill>
                    <w14:schemeClr w14:val="tx1"/>
                  </w14:solidFill>
                </w14:textFill>
              </w:rPr>
              <w:t>1,2,3-</w:t>
            </w:r>
            <w:r>
              <w:rPr>
                <w:rFonts w:hint="eastAsia" w:ascii="Times New Roman" w:eastAsiaTheme="minorEastAsia"/>
                <w:color w:val="000000" w:themeColor="text1"/>
                <w:sz w:val="21"/>
                <w:szCs w:val="21"/>
                <w14:textFill>
                  <w14:solidFill>
                    <w14:schemeClr w14:val="tx1"/>
                  </w14:solidFill>
                </w14:textFill>
              </w:rPr>
              <w:t>三氯丙烷、氯乙烯、苯、氯苯、</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二氯苯、</w:t>
            </w:r>
            <w:r>
              <w:rPr>
                <w:rFonts w:ascii="Times New Roman" w:eastAsiaTheme="minorEastAsia"/>
                <w:color w:val="000000" w:themeColor="text1"/>
                <w:sz w:val="21"/>
                <w:szCs w:val="21"/>
                <w14:textFill>
                  <w14:solidFill>
                    <w14:schemeClr w14:val="tx1"/>
                  </w14:solidFill>
                </w14:textFill>
              </w:rPr>
              <w:t>1,4-</w:t>
            </w:r>
            <w:r>
              <w:rPr>
                <w:rFonts w:hint="eastAsia" w:ascii="Times New Roman" w:eastAsiaTheme="minorEastAsia"/>
                <w:color w:val="000000" w:themeColor="text1"/>
                <w:sz w:val="21"/>
                <w:szCs w:val="21"/>
                <w14:textFill>
                  <w14:solidFill>
                    <w14:schemeClr w14:val="tx1"/>
                  </w14:solidFill>
                </w14:textFill>
              </w:rPr>
              <w:t>二氯苯、乙苯、苯乙烯、甲苯、间二甲苯</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对二甲苯、邻二甲苯、硝基苯、苯胺、</w:t>
            </w:r>
            <w:r>
              <w:rPr>
                <w:rFonts w:ascii="Times New Roman" w:eastAsiaTheme="minorEastAsia"/>
                <w:color w:val="000000" w:themeColor="text1"/>
                <w:sz w:val="21"/>
                <w:szCs w:val="21"/>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氯酚、苯并</w:t>
            </w:r>
            <w:r>
              <w:rPr>
                <w:rFonts w:ascii="Times New Roman" w:eastAsiaTheme="minorEastAsia"/>
                <w:color w:val="000000" w:themeColor="text1"/>
                <w:sz w:val="21"/>
                <w:szCs w:val="21"/>
                <w14:textFill>
                  <w14:solidFill>
                    <w14:schemeClr w14:val="tx1"/>
                  </w14:solidFill>
                </w14:textFill>
              </w:rPr>
              <w:t>[a]</w:t>
            </w:r>
            <w:r>
              <w:rPr>
                <w:rFonts w:hint="eastAsia" w:ascii="Times New Roman" w:eastAsiaTheme="minorEastAsia"/>
                <w:color w:val="000000" w:themeColor="text1"/>
                <w:sz w:val="21"/>
                <w:szCs w:val="21"/>
                <w14:textFill>
                  <w14:solidFill>
                    <w14:schemeClr w14:val="tx1"/>
                  </w14:solidFill>
                </w14:textFill>
              </w:rPr>
              <w:t>蒽、苯并</w:t>
            </w:r>
            <w:r>
              <w:rPr>
                <w:rFonts w:ascii="Times New Roman" w:eastAsiaTheme="minorEastAsia"/>
                <w:color w:val="000000" w:themeColor="text1"/>
                <w:sz w:val="21"/>
                <w:szCs w:val="21"/>
                <w14:textFill>
                  <w14:solidFill>
                    <w14:schemeClr w14:val="tx1"/>
                  </w14:solidFill>
                </w14:textFill>
              </w:rPr>
              <w:t>[a]</w:t>
            </w:r>
            <w:r>
              <w:rPr>
                <w:rFonts w:hint="eastAsia" w:ascii="Times New Roman" w:eastAsiaTheme="minorEastAsia"/>
                <w:color w:val="000000" w:themeColor="text1"/>
                <w:sz w:val="21"/>
                <w:szCs w:val="21"/>
                <w14:textFill>
                  <w14:solidFill>
                    <w14:schemeClr w14:val="tx1"/>
                  </w14:solidFill>
                </w14:textFill>
              </w:rPr>
              <w:t>芘、苯并</w:t>
            </w:r>
            <w:r>
              <w:rPr>
                <w:rFonts w:ascii="Times New Roman" w:eastAsiaTheme="minorEastAsia"/>
                <w:color w:val="000000" w:themeColor="text1"/>
                <w:sz w:val="21"/>
                <w:szCs w:val="21"/>
                <w14:textFill>
                  <w14:solidFill>
                    <w14:schemeClr w14:val="tx1"/>
                  </w14:solidFill>
                </w14:textFill>
              </w:rPr>
              <w:t>[b]</w:t>
            </w:r>
            <w:r>
              <w:rPr>
                <w:rFonts w:hint="eastAsia" w:ascii="Times New Roman" w:eastAsiaTheme="minorEastAsia"/>
                <w:color w:val="000000" w:themeColor="text1"/>
                <w:sz w:val="21"/>
                <w:szCs w:val="21"/>
                <w14:textFill>
                  <w14:solidFill>
                    <w14:schemeClr w14:val="tx1"/>
                  </w14:solidFill>
                </w14:textFill>
              </w:rPr>
              <w:t>荧蒽、苯并</w:t>
            </w:r>
            <w:r>
              <w:rPr>
                <w:rFonts w:ascii="Times New Roman" w:eastAsiaTheme="minorEastAsia"/>
                <w:color w:val="000000" w:themeColor="text1"/>
                <w:sz w:val="21"/>
                <w:szCs w:val="21"/>
                <w14:textFill>
                  <w14:solidFill>
                    <w14:schemeClr w14:val="tx1"/>
                  </w14:solidFill>
                </w14:textFill>
              </w:rPr>
              <w:t>[k]</w:t>
            </w:r>
            <w:r>
              <w:rPr>
                <w:rFonts w:hint="eastAsia" w:ascii="Times New Roman" w:eastAsiaTheme="minorEastAsia"/>
                <w:color w:val="000000" w:themeColor="text1"/>
                <w:sz w:val="21"/>
                <w:szCs w:val="21"/>
                <w14:textFill>
                  <w14:solidFill>
                    <w14:schemeClr w14:val="tx1"/>
                  </w14:solidFill>
                </w14:textFill>
              </w:rPr>
              <w:t>荧蒽、䓛、二苯并</w:t>
            </w:r>
            <w:r>
              <w:rPr>
                <w:rFonts w:ascii="Times New Roman" w:eastAsiaTheme="minorEastAsia"/>
                <w:color w:val="000000" w:themeColor="text1"/>
                <w:sz w:val="21"/>
                <w:szCs w:val="21"/>
                <w14:textFill>
                  <w14:solidFill>
                    <w14:schemeClr w14:val="tx1"/>
                  </w14:solidFill>
                </w14:textFill>
              </w:rPr>
              <w:t>[a</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h]</w:t>
            </w:r>
            <w:r>
              <w:rPr>
                <w:rFonts w:hint="eastAsia" w:ascii="Times New Roman" w:eastAsiaTheme="minorEastAsia"/>
                <w:color w:val="000000" w:themeColor="text1"/>
                <w:sz w:val="21"/>
                <w:szCs w:val="21"/>
                <w14:textFill>
                  <w14:solidFill>
                    <w14:schemeClr w14:val="tx1"/>
                  </w14:solidFill>
                </w14:textFill>
              </w:rPr>
              <w:t>蒽、茚并</w:t>
            </w:r>
            <w:r>
              <w:rPr>
                <w:rFonts w:ascii="Times New Roman" w:eastAsiaTheme="minorEastAsia"/>
                <w:color w:val="000000" w:themeColor="text1"/>
                <w:sz w:val="21"/>
                <w:szCs w:val="21"/>
                <w14:textFill>
                  <w14:solidFill>
                    <w14:schemeClr w14:val="tx1"/>
                  </w14:solidFill>
                </w14:textFill>
              </w:rPr>
              <w:t>[1,2,3-cd]</w:t>
            </w:r>
            <w:r>
              <w:rPr>
                <w:rFonts w:hint="eastAsia" w:ascii="Times New Roman" w:eastAsiaTheme="minorEastAsia"/>
                <w:color w:val="000000" w:themeColor="text1"/>
                <w:sz w:val="21"/>
                <w:szCs w:val="21"/>
                <w14:textFill>
                  <w14:solidFill>
                    <w14:schemeClr w14:val="tx1"/>
                  </w14:solidFill>
                </w14:textFill>
              </w:rPr>
              <w:t>芘、萘</w:t>
            </w: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428" w:type="dxa"/>
            <w:vMerge w:val="restart"/>
            <w:tcBorders>
              <w:top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现状评</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价</w:t>
            </w: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评价因子</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砷、镉、铬（六价）、铜、铅、汞、镍、四氯化碳、氯仿、氯甲烷、</w:t>
            </w:r>
            <w:r>
              <w:rPr>
                <w:rFonts w:ascii="Times New Roman" w:eastAsiaTheme="minorEastAsia"/>
                <w:color w:val="000000" w:themeColor="text1"/>
                <w:sz w:val="21"/>
                <w:szCs w:val="21"/>
                <w14:textFill>
                  <w14:solidFill>
                    <w14:schemeClr w14:val="tx1"/>
                  </w14:solidFill>
                </w14:textFill>
              </w:rPr>
              <w:t>1,1-</w:t>
            </w:r>
            <w:r>
              <w:rPr>
                <w:rFonts w:hint="eastAsia" w:ascii="Times New Roman" w:eastAsiaTheme="minorEastAsia"/>
                <w:color w:val="000000" w:themeColor="text1"/>
                <w:sz w:val="21"/>
                <w:szCs w:val="21"/>
                <w14:textFill>
                  <w14:solidFill>
                    <w14:schemeClr w14:val="tx1"/>
                  </w14:solidFill>
                </w14:textFill>
              </w:rPr>
              <w:t>二氯乙烷、</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二氯乙烷、</w:t>
            </w:r>
            <w:r>
              <w:rPr>
                <w:rFonts w:ascii="Times New Roman" w:eastAsiaTheme="minorEastAsia"/>
                <w:color w:val="000000" w:themeColor="text1"/>
                <w:sz w:val="21"/>
                <w:szCs w:val="21"/>
                <w14:textFill>
                  <w14:solidFill>
                    <w14:schemeClr w14:val="tx1"/>
                  </w14:solidFill>
                </w14:textFill>
              </w:rPr>
              <w:t>1,1-</w:t>
            </w:r>
            <w:r>
              <w:rPr>
                <w:rFonts w:hint="eastAsia" w:ascii="Times New Roman" w:eastAsiaTheme="minorEastAsia"/>
                <w:color w:val="000000" w:themeColor="text1"/>
                <w:sz w:val="21"/>
                <w:szCs w:val="21"/>
                <w14:textFill>
                  <w14:solidFill>
                    <w14:schemeClr w14:val="tx1"/>
                  </w14:solidFill>
                </w14:textFill>
              </w:rPr>
              <w:t>二氯乙烯、顺</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二氯乙烯、反</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二氯乙烯、二氯甲烷、</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二氯丙烷、</w:t>
            </w:r>
            <w:r>
              <w:rPr>
                <w:rFonts w:ascii="Times New Roman" w:eastAsiaTheme="minorEastAsia"/>
                <w:color w:val="000000" w:themeColor="text1"/>
                <w:sz w:val="21"/>
                <w:szCs w:val="21"/>
                <w14:textFill>
                  <w14:solidFill>
                    <w14:schemeClr w14:val="tx1"/>
                  </w14:solidFill>
                </w14:textFill>
              </w:rPr>
              <w:t>1,1,1,2-</w:t>
            </w:r>
            <w:r>
              <w:rPr>
                <w:rFonts w:hint="eastAsia" w:ascii="Times New Roman" w:eastAsiaTheme="minorEastAsia"/>
                <w:color w:val="000000" w:themeColor="text1"/>
                <w:sz w:val="21"/>
                <w:szCs w:val="21"/>
                <w14:textFill>
                  <w14:solidFill>
                    <w14:schemeClr w14:val="tx1"/>
                  </w14:solidFill>
                </w14:textFill>
              </w:rPr>
              <w:t>四氯乙烷、</w:t>
            </w:r>
            <w:r>
              <w:rPr>
                <w:rFonts w:ascii="Times New Roman" w:eastAsiaTheme="minorEastAsia"/>
                <w:color w:val="000000" w:themeColor="text1"/>
                <w:sz w:val="21"/>
                <w:szCs w:val="21"/>
                <w14:textFill>
                  <w14:solidFill>
                    <w14:schemeClr w14:val="tx1"/>
                  </w14:solidFill>
                </w14:textFill>
              </w:rPr>
              <w:t>1,1,2,2-</w:t>
            </w:r>
            <w:r>
              <w:rPr>
                <w:rFonts w:hint="eastAsia" w:ascii="Times New Roman" w:eastAsiaTheme="minorEastAsia"/>
                <w:color w:val="000000" w:themeColor="text1"/>
                <w:sz w:val="21"/>
                <w:szCs w:val="21"/>
                <w14:textFill>
                  <w14:solidFill>
                    <w14:schemeClr w14:val="tx1"/>
                  </w14:solidFill>
                </w14:textFill>
              </w:rPr>
              <w:t>四氯乙烷、四氯乙烯、</w:t>
            </w:r>
            <w:r>
              <w:rPr>
                <w:rFonts w:ascii="Times New Roman" w:eastAsiaTheme="minorEastAsia"/>
                <w:color w:val="000000" w:themeColor="text1"/>
                <w:sz w:val="21"/>
                <w:szCs w:val="21"/>
                <w14:textFill>
                  <w14:solidFill>
                    <w14:schemeClr w14:val="tx1"/>
                  </w14:solidFill>
                </w14:textFill>
              </w:rPr>
              <w:t>1,1,1-</w:t>
            </w:r>
            <w:r>
              <w:rPr>
                <w:rFonts w:hint="eastAsia" w:ascii="Times New Roman" w:eastAsiaTheme="minorEastAsia"/>
                <w:color w:val="000000" w:themeColor="text1"/>
                <w:sz w:val="21"/>
                <w:szCs w:val="21"/>
                <w14:textFill>
                  <w14:solidFill>
                    <w14:schemeClr w14:val="tx1"/>
                  </w14:solidFill>
                </w14:textFill>
              </w:rPr>
              <w:t>三氯乙烷、</w:t>
            </w:r>
            <w:r>
              <w:rPr>
                <w:rFonts w:ascii="Times New Roman" w:eastAsiaTheme="minorEastAsia"/>
                <w:color w:val="000000" w:themeColor="text1"/>
                <w:sz w:val="21"/>
                <w:szCs w:val="21"/>
                <w14:textFill>
                  <w14:solidFill>
                    <w14:schemeClr w14:val="tx1"/>
                  </w14:solidFill>
                </w14:textFill>
              </w:rPr>
              <w:t>1,1,2-</w:t>
            </w:r>
            <w:r>
              <w:rPr>
                <w:rFonts w:hint="eastAsia" w:ascii="Times New Roman" w:eastAsiaTheme="minorEastAsia"/>
                <w:color w:val="000000" w:themeColor="text1"/>
                <w:sz w:val="21"/>
                <w:szCs w:val="21"/>
                <w14:textFill>
                  <w14:solidFill>
                    <w14:schemeClr w14:val="tx1"/>
                  </w14:solidFill>
                </w14:textFill>
              </w:rPr>
              <w:t>三氯乙烷、三氯乙烯、</w:t>
            </w:r>
            <w:r>
              <w:rPr>
                <w:rFonts w:ascii="Times New Roman" w:eastAsiaTheme="minorEastAsia"/>
                <w:color w:val="000000" w:themeColor="text1"/>
                <w:sz w:val="21"/>
                <w:szCs w:val="21"/>
                <w14:textFill>
                  <w14:solidFill>
                    <w14:schemeClr w14:val="tx1"/>
                  </w14:solidFill>
                </w14:textFill>
              </w:rPr>
              <w:t>1,2,3-</w:t>
            </w:r>
            <w:r>
              <w:rPr>
                <w:rFonts w:hint="eastAsia" w:ascii="Times New Roman" w:eastAsiaTheme="minorEastAsia"/>
                <w:color w:val="000000" w:themeColor="text1"/>
                <w:sz w:val="21"/>
                <w:szCs w:val="21"/>
                <w14:textFill>
                  <w14:solidFill>
                    <w14:schemeClr w14:val="tx1"/>
                  </w14:solidFill>
                </w14:textFill>
              </w:rPr>
              <w:t>三氯丙烷、氯乙烯、苯、氯苯、</w:t>
            </w:r>
            <w:r>
              <w:rPr>
                <w:rFonts w:ascii="Times New Roman" w:eastAsiaTheme="minorEastAsia"/>
                <w:color w:val="000000" w:themeColor="text1"/>
                <w:sz w:val="21"/>
                <w:szCs w:val="21"/>
                <w14:textFill>
                  <w14:solidFill>
                    <w14:schemeClr w14:val="tx1"/>
                  </w14:solidFill>
                </w14:textFill>
              </w:rPr>
              <w:t>1,2-</w:t>
            </w:r>
            <w:r>
              <w:rPr>
                <w:rFonts w:hint="eastAsia" w:ascii="Times New Roman" w:eastAsiaTheme="minorEastAsia"/>
                <w:color w:val="000000" w:themeColor="text1"/>
                <w:sz w:val="21"/>
                <w:szCs w:val="21"/>
                <w14:textFill>
                  <w14:solidFill>
                    <w14:schemeClr w14:val="tx1"/>
                  </w14:solidFill>
                </w14:textFill>
              </w:rPr>
              <w:t>二氯苯、</w:t>
            </w:r>
            <w:r>
              <w:rPr>
                <w:rFonts w:ascii="Times New Roman" w:eastAsiaTheme="minorEastAsia"/>
                <w:color w:val="000000" w:themeColor="text1"/>
                <w:sz w:val="21"/>
                <w:szCs w:val="21"/>
                <w14:textFill>
                  <w14:solidFill>
                    <w14:schemeClr w14:val="tx1"/>
                  </w14:solidFill>
                </w14:textFill>
              </w:rPr>
              <w:t>1,4-</w:t>
            </w:r>
            <w:r>
              <w:rPr>
                <w:rFonts w:hint="eastAsia" w:ascii="Times New Roman" w:eastAsiaTheme="minorEastAsia"/>
                <w:color w:val="000000" w:themeColor="text1"/>
                <w:sz w:val="21"/>
                <w:szCs w:val="21"/>
                <w14:textFill>
                  <w14:solidFill>
                    <w14:schemeClr w14:val="tx1"/>
                  </w14:solidFill>
                </w14:textFill>
              </w:rPr>
              <w:t>二氯苯、乙苯、苯乙烯、甲苯、间二甲苯</w:t>
            </w:r>
            <w:r>
              <w:rPr>
                <w:rFonts w:ascii="Times New Roman" w:eastAsiaTheme="minorEastAsia"/>
                <w:color w:val="000000" w:themeColor="text1"/>
                <w:sz w:val="21"/>
                <w:szCs w:val="21"/>
                <w14:textFill>
                  <w14:solidFill>
                    <w14:schemeClr w14:val="tx1"/>
                  </w14:solidFill>
                </w14:textFill>
              </w:rPr>
              <w:t>+</w:t>
            </w:r>
            <w:r>
              <w:rPr>
                <w:rFonts w:hint="eastAsia" w:ascii="Times New Roman" w:eastAsiaTheme="minorEastAsia"/>
                <w:color w:val="000000" w:themeColor="text1"/>
                <w:sz w:val="21"/>
                <w:szCs w:val="21"/>
                <w14:textFill>
                  <w14:solidFill>
                    <w14:schemeClr w14:val="tx1"/>
                  </w14:solidFill>
                </w14:textFill>
              </w:rPr>
              <w:t>对二甲苯、邻二甲苯、硝基苯、苯胺、</w:t>
            </w:r>
            <w:r>
              <w:rPr>
                <w:rFonts w:ascii="Times New Roman" w:eastAsiaTheme="minorEastAsia"/>
                <w:color w:val="000000" w:themeColor="text1"/>
                <w:sz w:val="21"/>
                <w:szCs w:val="21"/>
                <w14:textFill>
                  <w14:solidFill>
                    <w14:schemeClr w14:val="tx1"/>
                  </w14:solidFill>
                </w14:textFill>
              </w:rPr>
              <w:t>2-</w:t>
            </w:r>
            <w:r>
              <w:rPr>
                <w:rFonts w:hint="eastAsia" w:ascii="Times New Roman" w:eastAsiaTheme="minorEastAsia"/>
                <w:color w:val="000000" w:themeColor="text1"/>
                <w:sz w:val="21"/>
                <w:szCs w:val="21"/>
                <w14:textFill>
                  <w14:solidFill>
                    <w14:schemeClr w14:val="tx1"/>
                  </w14:solidFill>
                </w14:textFill>
              </w:rPr>
              <w:t>氯酚、苯并</w:t>
            </w:r>
            <w:r>
              <w:rPr>
                <w:rFonts w:ascii="Times New Roman" w:eastAsiaTheme="minorEastAsia"/>
                <w:color w:val="000000" w:themeColor="text1"/>
                <w:sz w:val="21"/>
                <w:szCs w:val="21"/>
                <w14:textFill>
                  <w14:solidFill>
                    <w14:schemeClr w14:val="tx1"/>
                  </w14:solidFill>
                </w14:textFill>
              </w:rPr>
              <w:t>[a]</w:t>
            </w:r>
            <w:r>
              <w:rPr>
                <w:rFonts w:hint="eastAsia" w:ascii="Times New Roman" w:eastAsiaTheme="minorEastAsia"/>
                <w:color w:val="000000" w:themeColor="text1"/>
                <w:sz w:val="21"/>
                <w:szCs w:val="21"/>
                <w14:textFill>
                  <w14:solidFill>
                    <w14:schemeClr w14:val="tx1"/>
                  </w14:solidFill>
                </w14:textFill>
              </w:rPr>
              <w:t>蒽、苯并</w:t>
            </w:r>
            <w:r>
              <w:rPr>
                <w:rFonts w:ascii="Times New Roman" w:eastAsiaTheme="minorEastAsia"/>
                <w:color w:val="000000" w:themeColor="text1"/>
                <w:sz w:val="21"/>
                <w:szCs w:val="21"/>
                <w14:textFill>
                  <w14:solidFill>
                    <w14:schemeClr w14:val="tx1"/>
                  </w14:solidFill>
                </w14:textFill>
              </w:rPr>
              <w:t>[a]</w:t>
            </w:r>
            <w:r>
              <w:rPr>
                <w:rFonts w:hint="eastAsia" w:ascii="Times New Roman" w:eastAsiaTheme="minorEastAsia"/>
                <w:color w:val="000000" w:themeColor="text1"/>
                <w:sz w:val="21"/>
                <w:szCs w:val="21"/>
                <w14:textFill>
                  <w14:solidFill>
                    <w14:schemeClr w14:val="tx1"/>
                  </w14:solidFill>
                </w14:textFill>
              </w:rPr>
              <w:t>芘、苯并</w:t>
            </w:r>
            <w:r>
              <w:rPr>
                <w:rFonts w:ascii="Times New Roman" w:eastAsiaTheme="minorEastAsia"/>
                <w:color w:val="000000" w:themeColor="text1"/>
                <w:sz w:val="21"/>
                <w:szCs w:val="21"/>
                <w14:textFill>
                  <w14:solidFill>
                    <w14:schemeClr w14:val="tx1"/>
                  </w14:solidFill>
                </w14:textFill>
              </w:rPr>
              <w:t>[b]</w:t>
            </w:r>
            <w:r>
              <w:rPr>
                <w:rFonts w:hint="eastAsia" w:ascii="Times New Roman" w:eastAsiaTheme="minorEastAsia"/>
                <w:color w:val="000000" w:themeColor="text1"/>
                <w:sz w:val="21"/>
                <w:szCs w:val="21"/>
                <w14:textFill>
                  <w14:solidFill>
                    <w14:schemeClr w14:val="tx1"/>
                  </w14:solidFill>
                </w14:textFill>
              </w:rPr>
              <w:t>荧蒽、苯并</w:t>
            </w:r>
            <w:r>
              <w:rPr>
                <w:rFonts w:ascii="Times New Roman" w:eastAsiaTheme="minorEastAsia"/>
                <w:color w:val="000000" w:themeColor="text1"/>
                <w:sz w:val="21"/>
                <w:szCs w:val="21"/>
                <w14:textFill>
                  <w14:solidFill>
                    <w14:schemeClr w14:val="tx1"/>
                  </w14:solidFill>
                </w14:textFill>
              </w:rPr>
              <w:t>[k]</w:t>
            </w:r>
            <w:r>
              <w:rPr>
                <w:rFonts w:hint="eastAsia" w:ascii="Times New Roman" w:eastAsiaTheme="minorEastAsia"/>
                <w:color w:val="000000" w:themeColor="text1"/>
                <w:sz w:val="21"/>
                <w:szCs w:val="21"/>
                <w14:textFill>
                  <w14:solidFill>
                    <w14:schemeClr w14:val="tx1"/>
                  </w14:solidFill>
                </w14:textFill>
              </w:rPr>
              <w:t>荧蒽、䓛、二苯并</w:t>
            </w:r>
            <w:r>
              <w:rPr>
                <w:rFonts w:ascii="Times New Roman" w:eastAsiaTheme="minorEastAsia"/>
                <w:color w:val="000000" w:themeColor="text1"/>
                <w:sz w:val="21"/>
                <w:szCs w:val="21"/>
                <w14:textFill>
                  <w14:solidFill>
                    <w14:schemeClr w14:val="tx1"/>
                  </w14:solidFill>
                </w14:textFill>
              </w:rPr>
              <w:t>[a</w:t>
            </w:r>
            <w:r>
              <w:rPr>
                <w:rFonts w:hint="eastAsia" w:ascii="Times New Roman" w:eastAsiaTheme="minorEastAsia"/>
                <w:color w:val="000000" w:themeColor="text1"/>
                <w:sz w:val="21"/>
                <w:szCs w:val="21"/>
                <w14:textFill>
                  <w14:solidFill>
                    <w14:schemeClr w14:val="tx1"/>
                  </w14:solidFill>
                </w14:textFill>
              </w:rPr>
              <w:t>，</w:t>
            </w:r>
            <w:r>
              <w:rPr>
                <w:rFonts w:ascii="Times New Roman" w:eastAsiaTheme="minorEastAsia"/>
                <w:color w:val="000000" w:themeColor="text1"/>
                <w:sz w:val="21"/>
                <w:szCs w:val="21"/>
                <w14:textFill>
                  <w14:solidFill>
                    <w14:schemeClr w14:val="tx1"/>
                  </w14:solidFill>
                </w14:textFill>
              </w:rPr>
              <w:t>h]</w:t>
            </w:r>
            <w:r>
              <w:rPr>
                <w:rFonts w:hint="eastAsia" w:ascii="Times New Roman" w:eastAsiaTheme="minorEastAsia"/>
                <w:color w:val="000000" w:themeColor="text1"/>
                <w:sz w:val="21"/>
                <w:szCs w:val="21"/>
                <w14:textFill>
                  <w14:solidFill>
                    <w14:schemeClr w14:val="tx1"/>
                  </w14:solidFill>
                </w14:textFill>
              </w:rPr>
              <w:t>蒽、茚并</w:t>
            </w:r>
            <w:r>
              <w:rPr>
                <w:rFonts w:ascii="Times New Roman" w:eastAsiaTheme="minorEastAsia"/>
                <w:color w:val="000000" w:themeColor="text1"/>
                <w:sz w:val="21"/>
                <w:szCs w:val="21"/>
                <w14:textFill>
                  <w14:solidFill>
                    <w14:schemeClr w14:val="tx1"/>
                  </w14:solidFill>
                </w14:textFill>
              </w:rPr>
              <w:t>[1,2,3-cd]</w:t>
            </w:r>
            <w:r>
              <w:rPr>
                <w:rFonts w:hint="eastAsia" w:ascii="Times New Roman" w:eastAsiaTheme="minorEastAsia"/>
                <w:color w:val="000000" w:themeColor="text1"/>
                <w:sz w:val="21"/>
                <w:szCs w:val="21"/>
                <w14:textFill>
                  <w14:solidFill>
                    <w14:schemeClr w14:val="tx1"/>
                  </w14:solidFill>
                </w14:textFill>
              </w:rPr>
              <w:t>芘、萘</w:t>
            </w: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评价标准</w:t>
            </w:r>
          </w:p>
        </w:tc>
        <w:tc>
          <w:tcPr>
            <w:tcW w:w="5033" w:type="dxa"/>
            <w:gridSpan w:val="4"/>
            <w:tcBorders>
              <w:top w:val="single" w:color="000000" w:sz="6" w:space="0"/>
              <w:left w:val="single" w:color="000000" w:sz="6" w:space="0"/>
              <w:bottom w:val="single" w:color="000000" w:sz="6"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GB 15618√；GB 36600√；表D.1□；表 D.2□；其他（</w:t>
            </w:r>
          </w:p>
        </w:tc>
        <w:tc>
          <w:tcPr>
            <w:tcW w:w="430" w:type="dxa"/>
            <w:gridSpan w:val="2"/>
            <w:tcBorders>
              <w:top w:val="single" w:color="000000" w:sz="6" w:space="0"/>
              <w:left w:val="nil"/>
              <w:bottom w:val="single" w:color="000000" w:sz="6"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568" w:type="dxa"/>
            <w:tcBorders>
              <w:top w:val="single" w:color="000000" w:sz="6" w:space="0"/>
              <w:left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94"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现状评价结论</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达标</w:t>
            </w: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428" w:type="dxa"/>
            <w:vMerge w:val="restart"/>
            <w:tcBorders>
              <w:top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影响预测</w:t>
            </w: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预测因子</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w:t>
            </w: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预测方法</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附录 E√；附录 F□；其他（</w:t>
            </w:r>
            <w:r>
              <w:rPr>
                <w:rFonts w:ascii="Times New Roman" w:eastAsiaTheme="minorEastAsia"/>
                <w:color w:val="000000" w:themeColor="text1"/>
                <w:sz w:val="21"/>
                <w:szCs w:val="21"/>
                <w14:textFill>
                  <w14:solidFill>
                    <w14:schemeClr w14:val="tx1"/>
                  </w14:solidFill>
                </w14:textFill>
              </w:rPr>
              <w:tab/>
            </w:r>
            <w:r>
              <w:rPr>
                <w:rFonts w:ascii="Times New Roman" w:eastAsiaTheme="minorEastAsia"/>
                <w:color w:val="000000" w:themeColor="text1"/>
                <w:sz w:val="21"/>
                <w:szCs w:val="21"/>
                <w14:textFill>
                  <w14:solidFill>
                    <w14:schemeClr w14:val="tx1"/>
                  </w14:solidFill>
                </w14:textFill>
              </w:rPr>
              <w:t>）</w:t>
            </w: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3"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预测分析内容</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影响范围（</w:t>
            </w:r>
            <w:r>
              <w:rPr>
                <w:rFonts w:ascii="Times New Roman" w:eastAsiaTheme="minorEastAsia"/>
                <w:color w:val="000000" w:themeColor="text1"/>
                <w:sz w:val="21"/>
                <w:szCs w:val="21"/>
                <w14:textFill>
                  <w14:solidFill>
                    <w14:schemeClr w14:val="tx1"/>
                  </w14:solidFill>
                </w14:textFill>
              </w:rPr>
              <w:tab/>
            </w:r>
            <w:r>
              <w:rPr>
                <w:rFonts w:ascii="Times New Roman" w:eastAsiaTheme="minorEastAsia"/>
                <w:color w:val="000000" w:themeColor="text1"/>
                <w:sz w:val="21"/>
                <w:szCs w:val="21"/>
                <w14:textFill>
                  <w14:solidFill>
                    <w14:schemeClr w14:val="tx1"/>
                  </w14:solidFill>
                </w14:textFill>
              </w:rPr>
              <w:t>）</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影响程度（</w:t>
            </w:r>
            <w:r>
              <w:rPr>
                <w:rFonts w:ascii="Times New Roman" w:eastAsiaTheme="minorEastAsia"/>
                <w:color w:val="000000" w:themeColor="text1"/>
                <w:sz w:val="21"/>
                <w:szCs w:val="21"/>
                <w14:textFill>
                  <w14:solidFill>
                    <w14:schemeClr w14:val="tx1"/>
                  </w14:solidFill>
                </w14:textFill>
              </w:rPr>
              <w:tab/>
            </w:r>
            <w:r>
              <w:rPr>
                <w:rFonts w:ascii="Times New Roman" w:eastAsiaTheme="minorEastAsia"/>
                <w:color w:val="000000" w:themeColor="text1"/>
                <w:sz w:val="21"/>
                <w:szCs w:val="21"/>
                <w14:textFill>
                  <w14:solidFill>
                    <w14:schemeClr w14:val="tx1"/>
                  </w14:solidFill>
                </w14:textFill>
              </w:rPr>
              <w:t>）</w:t>
            </w: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4"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预测结论</w:t>
            </w:r>
          </w:p>
        </w:tc>
        <w:tc>
          <w:tcPr>
            <w:tcW w:w="6031" w:type="dxa"/>
            <w:gridSpan w:val="7"/>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达标结论：a）√；b）□；c）□</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不达标结论：a）□；b）□</w:t>
            </w: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428" w:type="dxa"/>
            <w:vMerge w:val="restart"/>
            <w:tcBorders>
              <w:top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防治措</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施</w:t>
            </w:r>
          </w:p>
        </w:tc>
        <w:tc>
          <w:tcPr>
            <w:tcW w:w="1677" w:type="dxa"/>
            <w:tcBorders>
              <w:top w:val="single" w:color="000000" w:sz="6"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防控措施</w:t>
            </w:r>
          </w:p>
        </w:tc>
        <w:tc>
          <w:tcPr>
            <w:tcW w:w="5033" w:type="dxa"/>
            <w:gridSpan w:val="4"/>
            <w:tcBorders>
              <w:top w:val="single" w:color="000000" w:sz="6" w:space="0"/>
              <w:left w:val="single" w:color="000000" w:sz="6" w:space="0"/>
              <w:bottom w:val="single" w:color="000000" w:sz="6"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土壤环境质量现状保障√；源头控制√；过程防控√；其他（</w:t>
            </w:r>
          </w:p>
        </w:tc>
        <w:tc>
          <w:tcPr>
            <w:tcW w:w="430" w:type="dxa"/>
            <w:gridSpan w:val="2"/>
            <w:tcBorders>
              <w:top w:val="single" w:color="000000" w:sz="6" w:space="0"/>
              <w:left w:val="nil"/>
              <w:bottom w:val="single" w:color="000000" w:sz="6" w:space="0"/>
              <w:right w:val="nil"/>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568" w:type="dxa"/>
            <w:tcBorders>
              <w:top w:val="single" w:color="000000" w:sz="6" w:space="0"/>
              <w:left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w:t>
            </w:r>
          </w:p>
        </w:tc>
        <w:tc>
          <w:tcPr>
            <w:tcW w:w="1152" w:type="dxa"/>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2"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vMerge w:val="restart"/>
            <w:tcBorders>
              <w:top w:val="single" w:color="000000" w:sz="6" w:space="0"/>
              <w:left w:val="single" w:color="000000" w:sz="6" w:space="0"/>
              <w:bottom w:val="single" w:color="000000" w:sz="4"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跟踪监测</w:t>
            </w:r>
          </w:p>
        </w:tc>
        <w:tc>
          <w:tcPr>
            <w:tcW w:w="2951" w:type="dxa"/>
            <w:gridSpan w:val="2"/>
            <w:tcBorders>
              <w:top w:val="single" w:color="000000" w:sz="6" w:space="0"/>
              <w:left w:val="single" w:color="000000" w:sz="6" w:space="0"/>
              <w:bottom w:val="single" w:color="000000" w:sz="6"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监测点数</w:t>
            </w:r>
          </w:p>
        </w:tc>
        <w:tc>
          <w:tcPr>
            <w:tcW w:w="1625" w:type="dxa"/>
            <w:tcBorders>
              <w:top w:val="single" w:color="000000" w:sz="6" w:space="0"/>
              <w:left w:val="single" w:color="000000" w:sz="4" w:space="0"/>
              <w:bottom w:val="single" w:color="000000" w:sz="6"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监测指标</w:t>
            </w:r>
          </w:p>
        </w:tc>
        <w:tc>
          <w:tcPr>
            <w:tcW w:w="1455" w:type="dxa"/>
            <w:gridSpan w:val="4"/>
            <w:tcBorders>
              <w:top w:val="single" w:color="000000" w:sz="6" w:space="0"/>
              <w:left w:val="single" w:color="000000" w:sz="4"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监测频次</w:t>
            </w:r>
          </w:p>
        </w:tc>
        <w:tc>
          <w:tcPr>
            <w:tcW w:w="1152" w:type="dxa"/>
            <w:vMerge w:val="restart"/>
            <w:tcBorders>
              <w:top w:val="single" w:color="000000" w:sz="6" w:space="0"/>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09"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vMerge w:val="continue"/>
            <w:tcBorders>
              <w:top w:val="nil"/>
              <w:left w:val="single" w:color="000000" w:sz="6" w:space="0"/>
              <w:bottom w:val="single" w:color="000000" w:sz="4"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2951" w:type="dxa"/>
            <w:gridSpan w:val="2"/>
            <w:tcBorders>
              <w:top w:val="single" w:color="000000" w:sz="6" w:space="0"/>
              <w:left w:val="single" w:color="000000" w:sz="6"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w:t>
            </w:r>
          </w:p>
        </w:tc>
        <w:tc>
          <w:tcPr>
            <w:tcW w:w="1625" w:type="dxa"/>
            <w:tcBorders>
              <w:top w:val="single" w:color="000000" w:sz="6" w:space="0"/>
              <w:left w:val="single" w:color="000000" w:sz="4" w:space="0"/>
              <w:bottom w:val="single" w:color="000000" w:sz="4" w:space="0"/>
              <w:right w:val="single" w:color="000000" w:sz="4"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汞</w:t>
            </w:r>
          </w:p>
        </w:tc>
        <w:tc>
          <w:tcPr>
            <w:tcW w:w="1455" w:type="dxa"/>
            <w:gridSpan w:val="4"/>
            <w:tcBorders>
              <w:top w:val="single" w:color="000000" w:sz="6" w:space="0"/>
              <w:left w:val="single" w:color="000000" w:sz="4" w:space="0"/>
              <w:bottom w:val="single" w:color="000000" w:sz="4"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1次/5年</w:t>
            </w:r>
          </w:p>
        </w:tc>
        <w:tc>
          <w:tcPr>
            <w:tcW w:w="1152" w:type="dxa"/>
            <w:vMerge w:val="continue"/>
            <w:tcBorders>
              <w:top w:val="nil"/>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3" w:hRule="atLeast"/>
          <w:jc w:val="center"/>
        </w:trPr>
        <w:tc>
          <w:tcPr>
            <w:tcW w:w="428" w:type="dxa"/>
            <w:vMerge w:val="continue"/>
            <w:tcBorders>
              <w:top w:val="nil"/>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677" w:type="dxa"/>
            <w:tcBorders>
              <w:top w:val="single" w:color="000000" w:sz="4"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信息公开指标</w:t>
            </w:r>
          </w:p>
        </w:tc>
        <w:tc>
          <w:tcPr>
            <w:tcW w:w="6031" w:type="dxa"/>
            <w:gridSpan w:val="7"/>
            <w:tcBorders>
              <w:top w:val="single" w:color="000000" w:sz="4" w:space="0"/>
              <w:left w:val="single" w:color="000000" w:sz="6" w:space="0"/>
              <w:bottom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c>
          <w:tcPr>
            <w:tcW w:w="1152" w:type="dxa"/>
            <w:vMerge w:val="continue"/>
            <w:tcBorders>
              <w:top w:val="nil"/>
              <w:left w:val="single" w:color="000000" w:sz="6" w:space="0"/>
              <w:bottom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1" w:hRule="atLeast"/>
          <w:jc w:val="center"/>
        </w:trPr>
        <w:tc>
          <w:tcPr>
            <w:tcW w:w="2105" w:type="dxa"/>
            <w:gridSpan w:val="2"/>
            <w:tcBorders>
              <w:top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评价结论</w:t>
            </w:r>
          </w:p>
        </w:tc>
        <w:tc>
          <w:tcPr>
            <w:tcW w:w="6031" w:type="dxa"/>
            <w:gridSpan w:val="7"/>
            <w:tcBorders>
              <w:top w:val="single" w:color="000000" w:sz="6" w:space="0"/>
              <w:left w:val="single" w:color="000000" w:sz="6" w:space="0"/>
              <w:righ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hint="eastAsia" w:ascii="Times New Roman" w:eastAsiaTheme="minorEastAsia"/>
                <w:color w:val="000000" w:themeColor="text1"/>
                <w:sz w:val="21"/>
                <w:szCs w:val="21"/>
                <w14:textFill>
                  <w14:solidFill>
                    <w14:schemeClr w14:val="tx1"/>
                  </w14:solidFill>
                </w14:textFill>
              </w:rPr>
              <w:t>可行</w:t>
            </w:r>
          </w:p>
        </w:tc>
        <w:tc>
          <w:tcPr>
            <w:tcW w:w="1152" w:type="dxa"/>
            <w:tcBorders>
              <w:top w:val="single" w:color="000000" w:sz="6" w:space="0"/>
              <w:left w:val="single" w:color="000000" w:sz="6" w:space="0"/>
            </w:tcBorders>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3" w:hRule="atLeast"/>
          <w:jc w:val="center"/>
        </w:trPr>
        <w:tc>
          <w:tcPr>
            <w:tcW w:w="9288" w:type="dxa"/>
            <w:gridSpan w:val="10"/>
            <w:vAlign w:val="center"/>
          </w:tcPr>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注 1：“□”为勾选项，可√；“（ ）”为内容填写项；“备注”为其他补充内容。</w:t>
            </w:r>
          </w:p>
          <w:p>
            <w:pPr>
              <w:pStyle w:val="102"/>
              <w:autoSpaceDE w:val="0"/>
              <w:autoSpaceDN w:val="0"/>
              <w:spacing w:line="240" w:lineRule="auto"/>
              <w:jc w:val="center"/>
              <w:textAlignment w:val="bottom"/>
              <w:rPr>
                <w:rFonts w:ascii="Times New Roman" w:eastAsiaTheme="minorEastAsia"/>
                <w:color w:val="000000" w:themeColor="text1"/>
                <w:sz w:val="21"/>
                <w:szCs w:val="21"/>
                <w14:textFill>
                  <w14:solidFill>
                    <w14:schemeClr w14:val="tx1"/>
                  </w14:solidFill>
                </w14:textFill>
              </w:rPr>
            </w:pPr>
            <w:r>
              <w:rPr>
                <w:rFonts w:ascii="Times New Roman" w:eastAsiaTheme="minorEastAsia"/>
                <w:color w:val="000000" w:themeColor="text1"/>
                <w:sz w:val="21"/>
                <w:szCs w:val="21"/>
                <w14:textFill>
                  <w14:solidFill>
                    <w14:schemeClr w14:val="tx1"/>
                  </w14:solidFill>
                </w14:textFill>
              </w:rPr>
              <w:t>注 2：需要分别开展土壤环境影响评级工作的，分别填写自查表。</w:t>
            </w:r>
          </w:p>
        </w:tc>
      </w:tr>
    </w:tbl>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附件1 营业执照</w:t>
      </w: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23776" behindDoc="0" locked="0" layoutInCell="1" allowOverlap="1">
            <wp:simplePos x="0" y="0"/>
            <wp:positionH relativeFrom="column">
              <wp:posOffset>171450</wp:posOffset>
            </wp:positionH>
            <wp:positionV relativeFrom="paragraph">
              <wp:posOffset>158750</wp:posOffset>
            </wp:positionV>
            <wp:extent cx="5274310" cy="7264400"/>
            <wp:effectExtent l="0" t="0" r="2540" b="0"/>
            <wp:wrapNone/>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5274310" cy="7264400"/>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附件</w:t>
      </w:r>
      <w:r>
        <w:rPr>
          <w:rFonts w:hint="eastAsia" w:ascii="Times New Roman" w:hAnsiTheme="minorEastAsia" w:eastAsiaTheme="minorEastAsia"/>
          <w:b/>
          <w:bCs/>
          <w:color w:val="000000" w:themeColor="text1"/>
          <w:szCs w:val="24"/>
          <w14:textFill>
            <w14:solidFill>
              <w14:schemeClr w14:val="tx1"/>
            </w14:solidFill>
          </w14:textFill>
        </w:rPr>
        <w:t>2</w:t>
      </w:r>
      <w:r>
        <w:rPr>
          <w:rFonts w:ascii="Times New Roman" w:hAnsiTheme="minorEastAsia" w:eastAsiaTheme="minorEastAsia"/>
          <w:b/>
          <w:bCs/>
          <w:color w:val="000000" w:themeColor="text1"/>
          <w:szCs w:val="24"/>
          <w14:textFill>
            <w14:solidFill>
              <w14:schemeClr w14:val="tx1"/>
            </w14:solidFill>
          </w14:textFill>
        </w:rPr>
        <w:t>排污许可证</w:t>
      </w:r>
      <w:r>
        <w:rPr>
          <w:rFonts w:hint="eastAsia" w:ascii="Times New Roman" w:hAnsiTheme="minorEastAsia" w:eastAsiaTheme="minorEastAsia"/>
          <w:b/>
          <w:bCs/>
          <w:color w:val="000000" w:themeColor="text1"/>
          <w:szCs w:val="24"/>
          <w14:textFill>
            <w14:solidFill>
              <w14:schemeClr w14:val="tx1"/>
            </w14:solidFill>
          </w14:textFill>
        </w:rPr>
        <w:t>及排污许可执行报告</w:t>
      </w: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22752" behindDoc="0" locked="0" layoutInCell="1" allowOverlap="1">
            <wp:simplePos x="0" y="0"/>
            <wp:positionH relativeFrom="column">
              <wp:posOffset>123825</wp:posOffset>
            </wp:positionH>
            <wp:positionV relativeFrom="paragraph">
              <wp:posOffset>215900</wp:posOffset>
            </wp:positionV>
            <wp:extent cx="5274310" cy="7118350"/>
            <wp:effectExtent l="0" t="0" r="2540" b="6350"/>
            <wp:wrapNone/>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5274310" cy="7118350"/>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rFonts w:cs="Times New Roman" w:hAnsiTheme="minorEastAsia"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31968" behindDoc="0" locked="0" layoutInCell="1" allowOverlap="1">
            <wp:simplePos x="0" y="0"/>
            <wp:positionH relativeFrom="column">
              <wp:posOffset>19050</wp:posOffset>
            </wp:positionH>
            <wp:positionV relativeFrom="paragraph">
              <wp:posOffset>38100</wp:posOffset>
            </wp:positionV>
            <wp:extent cx="5274310" cy="3001645"/>
            <wp:effectExtent l="0" t="0" r="2540" b="8890"/>
            <wp:wrapNone/>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5274310" cy="3001595"/>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rFonts w:cs="Times New Roman" w:hAnsiTheme="minorEastAsia"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32992" behindDoc="0" locked="0" layoutInCell="1" allowOverlap="1">
            <wp:simplePos x="0" y="0"/>
            <wp:positionH relativeFrom="column">
              <wp:posOffset>228600</wp:posOffset>
            </wp:positionH>
            <wp:positionV relativeFrom="paragraph">
              <wp:posOffset>311150</wp:posOffset>
            </wp:positionV>
            <wp:extent cx="5274310" cy="4183380"/>
            <wp:effectExtent l="0" t="0" r="2540" b="7620"/>
            <wp:wrapNone/>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5274310" cy="4183380"/>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附件</w:t>
      </w:r>
      <w:r>
        <w:rPr>
          <w:rFonts w:hint="eastAsia" w:ascii="Times New Roman" w:hAnsiTheme="minorEastAsia" w:eastAsiaTheme="minorEastAsia"/>
          <w:b/>
          <w:bCs/>
          <w:color w:val="000000" w:themeColor="text1"/>
          <w:szCs w:val="24"/>
          <w14:textFill>
            <w14:solidFill>
              <w14:schemeClr w14:val="tx1"/>
            </w14:solidFill>
          </w14:textFill>
        </w:rPr>
        <w:t>3</w:t>
      </w:r>
      <w:r>
        <w:rPr>
          <w:rFonts w:ascii="Times New Roman" w:hAnsiTheme="minorEastAsia" w:eastAsiaTheme="minorEastAsia"/>
          <w:b/>
          <w:bCs/>
          <w:color w:val="000000" w:themeColor="text1"/>
          <w:szCs w:val="24"/>
          <w14:textFill>
            <w14:solidFill>
              <w14:schemeClr w14:val="tx1"/>
            </w14:solidFill>
          </w14:textFill>
        </w:rPr>
        <w:t xml:space="preserve"> 煤质分析报告</w:t>
      </w: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97152" behindDoc="0" locked="0" layoutInCell="1" allowOverlap="1">
            <wp:simplePos x="0" y="0"/>
            <wp:positionH relativeFrom="column">
              <wp:posOffset>104775</wp:posOffset>
            </wp:positionH>
            <wp:positionV relativeFrom="paragraph">
              <wp:posOffset>120650</wp:posOffset>
            </wp:positionV>
            <wp:extent cx="5274310" cy="7640955"/>
            <wp:effectExtent l="0" t="0" r="2540" b="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0" y="0"/>
                      <a:ext cx="5274310" cy="7640955"/>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699200" behindDoc="0" locked="0" layoutInCell="1" allowOverlap="1">
            <wp:simplePos x="0" y="0"/>
            <wp:positionH relativeFrom="column">
              <wp:posOffset>47625</wp:posOffset>
            </wp:positionH>
            <wp:positionV relativeFrom="paragraph">
              <wp:posOffset>180975</wp:posOffset>
            </wp:positionV>
            <wp:extent cx="5274310" cy="7312025"/>
            <wp:effectExtent l="0" t="0" r="2540" b="381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18">
                      <a:extLst>
                        <a:ext uri="{28A0092B-C50C-407E-A947-70E740481C1C}">
                          <a14:useLocalDpi xmlns:a14="http://schemas.microsoft.com/office/drawing/2010/main" val="0"/>
                        </a:ext>
                      </a:extLst>
                    </a:blip>
                    <a:stretch>
                      <a:fillRect/>
                    </a:stretch>
                  </pic:blipFill>
                  <pic:spPr>
                    <a:xfrm>
                      <a:off x="0" y="0"/>
                      <a:ext cx="5274310" cy="7312001"/>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00224" behindDoc="0" locked="0" layoutInCell="1" allowOverlap="1">
            <wp:simplePos x="0" y="0"/>
            <wp:positionH relativeFrom="column">
              <wp:posOffset>76200</wp:posOffset>
            </wp:positionH>
            <wp:positionV relativeFrom="paragraph">
              <wp:posOffset>161925</wp:posOffset>
            </wp:positionV>
            <wp:extent cx="5274310" cy="7388860"/>
            <wp:effectExtent l="0" t="0" r="2540" b="254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5274310" cy="7388918"/>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ascii="Times New Roman" w:hAnsiTheme="minorEastAsia" w:eastAsiaTheme="minorEastAsia"/>
          <w:b/>
          <w:bCs/>
          <w:color w:val="000000" w:themeColor="text1"/>
          <w:szCs w:val="24"/>
          <w14:textFill>
            <w14:solidFill>
              <w14:schemeClr w14:val="tx1"/>
            </w14:solidFill>
          </w14:textFill>
        </w:rPr>
        <w:t>附件</w:t>
      </w:r>
      <w:r>
        <w:rPr>
          <w:rFonts w:hint="eastAsia" w:ascii="Times New Roman" w:hAnsiTheme="minorEastAsia" w:eastAsiaTheme="minorEastAsia"/>
          <w:b/>
          <w:bCs/>
          <w:color w:val="000000" w:themeColor="text1"/>
          <w:szCs w:val="24"/>
          <w14:textFill>
            <w14:solidFill>
              <w14:schemeClr w14:val="tx1"/>
            </w14:solidFill>
          </w14:textFill>
        </w:rPr>
        <w:t>4</w:t>
      </w:r>
      <w:r>
        <w:rPr>
          <w:rFonts w:ascii="Times New Roman" w:hAnsiTheme="minorEastAsia" w:eastAsiaTheme="minorEastAsia"/>
          <w:b/>
          <w:bCs/>
          <w:color w:val="000000" w:themeColor="text1"/>
          <w:szCs w:val="24"/>
          <w14:textFill>
            <w14:solidFill>
              <w14:schemeClr w14:val="tx1"/>
            </w14:solidFill>
          </w14:textFill>
        </w:rPr>
        <w:t xml:space="preserve"> 环境质量现状监测报告</w:t>
      </w: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03296" behindDoc="0" locked="0" layoutInCell="1" allowOverlap="1">
            <wp:simplePos x="0" y="0"/>
            <wp:positionH relativeFrom="column">
              <wp:posOffset>38100</wp:posOffset>
            </wp:positionH>
            <wp:positionV relativeFrom="paragraph">
              <wp:posOffset>263525</wp:posOffset>
            </wp:positionV>
            <wp:extent cx="5274310" cy="7115810"/>
            <wp:effectExtent l="0" t="0" r="2540" b="8890"/>
            <wp:wrapNone/>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120">
                      <a:extLst>
                        <a:ext uri="{28A0092B-C50C-407E-A947-70E740481C1C}">
                          <a14:useLocalDpi xmlns:a14="http://schemas.microsoft.com/office/drawing/2010/main" val="0"/>
                        </a:ext>
                      </a:extLst>
                    </a:blip>
                    <a:stretch>
                      <a:fillRect/>
                    </a:stretch>
                  </pic:blipFill>
                  <pic:spPr>
                    <a:xfrm>
                      <a:off x="0" y="0"/>
                      <a:ext cx="5274310" cy="7115810"/>
                    </a:xfrm>
                    <a:prstGeom prst="rect">
                      <a:avLst/>
                    </a:prstGeom>
                  </pic:spPr>
                </pic:pic>
              </a:graphicData>
            </a:graphic>
          </wp:anchor>
        </w:drawing>
      </w: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rFonts w:cs="Times New Roman" w:eastAsiaTheme="minorEastAsia"/>
          <w:color w:val="000000" w:themeColor="text1"/>
          <w:kern w:val="0"/>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04320" behindDoc="0" locked="0" layoutInCell="1" allowOverlap="1">
            <wp:simplePos x="0" y="0"/>
            <wp:positionH relativeFrom="column">
              <wp:posOffset>104775</wp:posOffset>
            </wp:positionH>
            <wp:positionV relativeFrom="paragraph">
              <wp:posOffset>22225</wp:posOffset>
            </wp:positionV>
            <wp:extent cx="5274310" cy="7059295"/>
            <wp:effectExtent l="0" t="0" r="2540" b="8255"/>
            <wp:wrapNone/>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5274310" cy="7059295"/>
                    </a:xfrm>
                    <a:prstGeom prst="rect">
                      <a:avLst/>
                    </a:prstGeom>
                  </pic:spPr>
                </pic:pic>
              </a:graphicData>
            </a:graphic>
          </wp:anchor>
        </w:drawing>
      </w: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05344" behindDoc="0" locked="0" layoutInCell="1" allowOverlap="1">
            <wp:simplePos x="0" y="0"/>
            <wp:positionH relativeFrom="column">
              <wp:posOffset>19050</wp:posOffset>
            </wp:positionH>
            <wp:positionV relativeFrom="paragraph">
              <wp:posOffset>143510</wp:posOffset>
            </wp:positionV>
            <wp:extent cx="5274310" cy="7329805"/>
            <wp:effectExtent l="0" t="0" r="2540" b="4445"/>
            <wp:wrapNone/>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0"/>
                      <a:ext cx="5274310" cy="7329805"/>
                    </a:xfrm>
                    <a:prstGeom prst="rect">
                      <a:avLst/>
                    </a:prstGeom>
                  </pic:spPr>
                </pic:pic>
              </a:graphicData>
            </a:graphic>
          </wp:anchor>
        </w:drawing>
      </w: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rFonts w:cs="Times New Roman" w:eastAsiaTheme="minorEastAsia"/>
          <w:color w:val="000000" w:themeColor="text1"/>
          <w:kern w:val="0"/>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06368" behindDoc="0" locked="0" layoutInCell="1" allowOverlap="1">
            <wp:simplePos x="0" y="0"/>
            <wp:positionH relativeFrom="column">
              <wp:posOffset>57150</wp:posOffset>
            </wp:positionH>
            <wp:positionV relativeFrom="paragraph">
              <wp:posOffset>247650</wp:posOffset>
            </wp:positionV>
            <wp:extent cx="5274310" cy="7574280"/>
            <wp:effectExtent l="0" t="0" r="2540" b="7620"/>
            <wp:wrapNone/>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123">
                      <a:extLst>
                        <a:ext uri="{28A0092B-C50C-407E-A947-70E740481C1C}">
                          <a14:useLocalDpi xmlns:a14="http://schemas.microsoft.com/office/drawing/2010/main" val="0"/>
                        </a:ext>
                      </a:extLst>
                    </a:blip>
                    <a:stretch>
                      <a:fillRect/>
                    </a:stretch>
                  </pic:blipFill>
                  <pic:spPr>
                    <a:xfrm>
                      <a:off x="0" y="0"/>
                      <a:ext cx="5274310" cy="7574495"/>
                    </a:xfrm>
                    <a:prstGeom prst="rect">
                      <a:avLst/>
                    </a:prstGeom>
                  </pic:spPr>
                </pic:pic>
              </a:graphicData>
            </a:graphic>
          </wp:anchor>
        </w:drawing>
      </w: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rFonts w:cs="Times New Roman" w:eastAsiaTheme="minorEastAsia"/>
          <w:color w:val="000000" w:themeColor="text1"/>
          <w:kern w:val="0"/>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07392" behindDoc="0" locked="0" layoutInCell="1" allowOverlap="1">
            <wp:simplePos x="0" y="0"/>
            <wp:positionH relativeFrom="column">
              <wp:posOffset>-9525</wp:posOffset>
            </wp:positionH>
            <wp:positionV relativeFrom="paragraph">
              <wp:posOffset>266700</wp:posOffset>
            </wp:positionV>
            <wp:extent cx="5274310" cy="7835900"/>
            <wp:effectExtent l="0" t="0" r="2540" b="0"/>
            <wp:wrapNone/>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5274310" cy="7835769"/>
                    </a:xfrm>
                    <a:prstGeom prst="rect">
                      <a:avLst/>
                    </a:prstGeom>
                  </pic:spPr>
                </pic:pic>
              </a:graphicData>
            </a:graphic>
          </wp:anchor>
        </w:drawing>
      </w: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rFonts w:cs="Times New Roman" w:eastAsiaTheme="minorEastAsia"/>
          <w:color w:val="000000" w:themeColor="text1"/>
          <w:kern w:val="0"/>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08416" behindDoc="0" locked="0" layoutInCell="1" allowOverlap="1">
            <wp:simplePos x="0" y="0"/>
            <wp:positionH relativeFrom="column">
              <wp:posOffset>57150</wp:posOffset>
            </wp:positionH>
            <wp:positionV relativeFrom="paragraph">
              <wp:posOffset>171450</wp:posOffset>
            </wp:positionV>
            <wp:extent cx="5274310" cy="8129905"/>
            <wp:effectExtent l="0" t="0" r="2540" b="5080"/>
            <wp:wrapNone/>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5274310" cy="8129764"/>
                    </a:xfrm>
                    <a:prstGeom prst="rect">
                      <a:avLst/>
                    </a:prstGeom>
                  </pic:spPr>
                </pic:pic>
              </a:graphicData>
            </a:graphic>
          </wp:anchor>
        </w:drawing>
      </w: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rFonts w:cs="Times New Roman" w:eastAsiaTheme="minorEastAsia"/>
          <w:color w:val="000000" w:themeColor="text1"/>
          <w:kern w:val="0"/>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09440" behindDoc="0" locked="0" layoutInCell="1" allowOverlap="1">
            <wp:simplePos x="0" y="0"/>
            <wp:positionH relativeFrom="column">
              <wp:posOffset>66675</wp:posOffset>
            </wp:positionH>
            <wp:positionV relativeFrom="paragraph">
              <wp:posOffset>219075</wp:posOffset>
            </wp:positionV>
            <wp:extent cx="5274310" cy="7517130"/>
            <wp:effectExtent l="0" t="0" r="2540" b="7620"/>
            <wp:wrapNone/>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5274310" cy="7517130"/>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10464" behindDoc="0" locked="0" layoutInCell="1" allowOverlap="1">
            <wp:simplePos x="0" y="0"/>
            <wp:positionH relativeFrom="column">
              <wp:posOffset>57150</wp:posOffset>
            </wp:positionH>
            <wp:positionV relativeFrom="paragraph">
              <wp:posOffset>228600</wp:posOffset>
            </wp:positionV>
            <wp:extent cx="5274310" cy="7764780"/>
            <wp:effectExtent l="0" t="0" r="2540" b="7620"/>
            <wp:wrapNone/>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127">
                      <a:extLst>
                        <a:ext uri="{28A0092B-C50C-407E-A947-70E740481C1C}">
                          <a14:useLocalDpi xmlns:a14="http://schemas.microsoft.com/office/drawing/2010/main" val="0"/>
                        </a:ext>
                      </a:extLst>
                    </a:blip>
                    <a:stretch>
                      <a:fillRect/>
                    </a:stretch>
                  </pic:blipFill>
                  <pic:spPr>
                    <a:xfrm>
                      <a:off x="0" y="0"/>
                      <a:ext cx="5274310" cy="7764780"/>
                    </a:xfrm>
                    <a:prstGeom prst="rect">
                      <a:avLst/>
                    </a:prstGeom>
                  </pic:spPr>
                </pic:pic>
              </a:graphicData>
            </a:graphic>
          </wp:anchor>
        </w:drawing>
      </w: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rFonts w:cs="Times New Roman" w:eastAsiaTheme="minorEastAsia"/>
          <w:color w:val="000000" w:themeColor="text1"/>
          <w:kern w:val="0"/>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11488" behindDoc="0" locked="0" layoutInCell="1" allowOverlap="1">
            <wp:simplePos x="0" y="0"/>
            <wp:positionH relativeFrom="column">
              <wp:posOffset>114300</wp:posOffset>
            </wp:positionH>
            <wp:positionV relativeFrom="paragraph">
              <wp:posOffset>266700</wp:posOffset>
            </wp:positionV>
            <wp:extent cx="5274310" cy="7853045"/>
            <wp:effectExtent l="0" t="0" r="2540" b="0"/>
            <wp:wrapNone/>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128">
                      <a:extLst>
                        <a:ext uri="{28A0092B-C50C-407E-A947-70E740481C1C}">
                          <a14:useLocalDpi xmlns:a14="http://schemas.microsoft.com/office/drawing/2010/main" val="0"/>
                        </a:ext>
                      </a:extLst>
                    </a:blip>
                    <a:stretch>
                      <a:fillRect/>
                    </a:stretch>
                  </pic:blipFill>
                  <pic:spPr>
                    <a:xfrm>
                      <a:off x="0" y="0"/>
                      <a:ext cx="5274310" cy="7853045"/>
                    </a:xfrm>
                    <a:prstGeom prst="rect">
                      <a:avLst/>
                    </a:prstGeom>
                  </pic:spPr>
                </pic:pic>
              </a:graphicData>
            </a:graphic>
          </wp:anchor>
        </w:drawing>
      </w: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rFonts w:cs="Times New Roman" w:eastAsiaTheme="minorEastAsia"/>
          <w:color w:val="000000" w:themeColor="text1"/>
          <w:kern w:val="0"/>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12512" behindDoc="0" locked="0" layoutInCell="1" allowOverlap="1">
            <wp:simplePos x="0" y="0"/>
            <wp:positionH relativeFrom="column">
              <wp:posOffset>85725</wp:posOffset>
            </wp:positionH>
            <wp:positionV relativeFrom="paragraph">
              <wp:posOffset>161925</wp:posOffset>
            </wp:positionV>
            <wp:extent cx="5274310" cy="7696835"/>
            <wp:effectExtent l="0" t="0" r="2540" b="0"/>
            <wp:wrapNone/>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0" y="0"/>
                      <a:ext cx="5274310" cy="7696835"/>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rFonts w:cs="Times New Roman" w:eastAsiaTheme="minorEastAsia"/>
          <w:color w:val="000000" w:themeColor="text1"/>
          <w:kern w:val="0"/>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13536" behindDoc="0" locked="0" layoutInCell="1" allowOverlap="1">
            <wp:simplePos x="0" y="0"/>
            <wp:positionH relativeFrom="column">
              <wp:posOffset>19050</wp:posOffset>
            </wp:positionH>
            <wp:positionV relativeFrom="paragraph">
              <wp:posOffset>238125</wp:posOffset>
            </wp:positionV>
            <wp:extent cx="5274310" cy="7800340"/>
            <wp:effectExtent l="0" t="0" r="2540" b="0"/>
            <wp:wrapNone/>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5274310" cy="7800340"/>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14560" behindDoc="0" locked="0" layoutInCell="1" allowOverlap="1">
            <wp:simplePos x="0" y="0"/>
            <wp:positionH relativeFrom="column">
              <wp:posOffset>47625</wp:posOffset>
            </wp:positionH>
            <wp:positionV relativeFrom="paragraph">
              <wp:posOffset>238125</wp:posOffset>
            </wp:positionV>
            <wp:extent cx="5274310" cy="7519670"/>
            <wp:effectExtent l="0" t="0" r="2540" b="5080"/>
            <wp:wrapNone/>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5274310" cy="7519670"/>
                    </a:xfrm>
                    <a:prstGeom prst="rect">
                      <a:avLst/>
                    </a:prstGeom>
                  </pic:spPr>
                </pic:pic>
              </a:graphicData>
            </a:graphic>
          </wp:anchor>
        </w:drawing>
      </w: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15584" behindDoc="0" locked="0" layoutInCell="1" allowOverlap="1">
            <wp:simplePos x="0" y="0"/>
            <wp:positionH relativeFrom="column">
              <wp:posOffset>-9525</wp:posOffset>
            </wp:positionH>
            <wp:positionV relativeFrom="paragraph">
              <wp:posOffset>219075</wp:posOffset>
            </wp:positionV>
            <wp:extent cx="5274310" cy="7911465"/>
            <wp:effectExtent l="0" t="0" r="2540" b="0"/>
            <wp:wrapNone/>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5274310" cy="7911465"/>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16608" behindDoc="0" locked="0" layoutInCell="1" allowOverlap="1">
            <wp:simplePos x="0" y="0"/>
            <wp:positionH relativeFrom="column">
              <wp:posOffset>28575</wp:posOffset>
            </wp:positionH>
            <wp:positionV relativeFrom="paragraph">
              <wp:posOffset>180975</wp:posOffset>
            </wp:positionV>
            <wp:extent cx="5274310" cy="7688580"/>
            <wp:effectExtent l="0" t="0" r="2540" b="7620"/>
            <wp:wrapNone/>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133">
                      <a:extLst>
                        <a:ext uri="{28A0092B-C50C-407E-A947-70E740481C1C}">
                          <a14:useLocalDpi xmlns:a14="http://schemas.microsoft.com/office/drawing/2010/main" val="0"/>
                        </a:ext>
                      </a:extLst>
                    </a:blip>
                    <a:stretch>
                      <a:fillRect/>
                    </a:stretch>
                  </pic:blipFill>
                  <pic:spPr>
                    <a:xfrm>
                      <a:off x="0" y="0"/>
                      <a:ext cx="5274310" cy="7688580"/>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附件5突发环境事件应急预案及其备案文件</w:t>
      </w: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17632" behindDoc="0" locked="0" layoutInCell="1" allowOverlap="1">
            <wp:simplePos x="0" y="0"/>
            <wp:positionH relativeFrom="column">
              <wp:posOffset>66675</wp:posOffset>
            </wp:positionH>
            <wp:positionV relativeFrom="paragraph">
              <wp:posOffset>244475</wp:posOffset>
            </wp:positionV>
            <wp:extent cx="5274310" cy="7484745"/>
            <wp:effectExtent l="0" t="0" r="2540" b="1905"/>
            <wp:wrapNone/>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5274310" cy="7484745"/>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18656" behindDoc="0" locked="0" layoutInCell="1" allowOverlap="1">
            <wp:simplePos x="0" y="0"/>
            <wp:positionH relativeFrom="column">
              <wp:posOffset>4445</wp:posOffset>
            </wp:positionH>
            <wp:positionV relativeFrom="paragraph">
              <wp:posOffset>266700</wp:posOffset>
            </wp:positionV>
            <wp:extent cx="5274310" cy="7518400"/>
            <wp:effectExtent l="0" t="0" r="2540" b="6985"/>
            <wp:wrapNone/>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135">
                      <a:extLst>
                        <a:ext uri="{28A0092B-C50C-407E-A947-70E740481C1C}">
                          <a14:useLocalDpi xmlns:a14="http://schemas.microsoft.com/office/drawing/2010/main" val="0"/>
                        </a:ext>
                      </a:extLst>
                    </a:blip>
                    <a:stretch>
                      <a:fillRect/>
                    </a:stretch>
                  </pic:blipFill>
                  <pic:spPr>
                    <a:xfrm>
                      <a:off x="0" y="0"/>
                      <a:ext cx="5274310" cy="7518334"/>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附件6原环评批复文件</w:t>
      </w: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19680" behindDoc="0" locked="0" layoutInCell="1" allowOverlap="1">
            <wp:simplePos x="0" y="0"/>
            <wp:positionH relativeFrom="column">
              <wp:posOffset>88265</wp:posOffset>
            </wp:positionH>
            <wp:positionV relativeFrom="paragraph">
              <wp:posOffset>120650</wp:posOffset>
            </wp:positionV>
            <wp:extent cx="5274310" cy="7306310"/>
            <wp:effectExtent l="0" t="0" r="2540" b="889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36">
                      <a:extLst>
                        <a:ext uri="{28A0092B-C50C-407E-A947-70E740481C1C}">
                          <a14:useLocalDpi xmlns:a14="http://schemas.microsoft.com/office/drawing/2010/main" val="0"/>
                        </a:ext>
                      </a:extLst>
                    </a:blip>
                    <a:stretch>
                      <a:fillRect/>
                    </a:stretch>
                  </pic:blipFill>
                  <pic:spPr>
                    <a:xfrm>
                      <a:off x="0" y="0"/>
                      <a:ext cx="5274310" cy="7306310"/>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20704" behindDoc="0" locked="0" layoutInCell="1" allowOverlap="1">
            <wp:simplePos x="0" y="0"/>
            <wp:positionH relativeFrom="column">
              <wp:posOffset>-28575</wp:posOffset>
            </wp:positionH>
            <wp:positionV relativeFrom="paragraph">
              <wp:posOffset>228600</wp:posOffset>
            </wp:positionV>
            <wp:extent cx="5274310" cy="7519670"/>
            <wp:effectExtent l="0" t="0" r="2540" b="5080"/>
            <wp:wrapNone/>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5274310" cy="7519670"/>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rFonts w:cs="Times New Roman" w:eastAsiaTheme="minorEastAsia"/>
          <w:color w:val="000000" w:themeColor="text1"/>
          <w14:textFill>
            <w14:solidFill>
              <w14:schemeClr w14:val="tx1"/>
            </w14:solidFill>
          </w14:textFill>
        </w:rPr>
      </w:pPr>
    </w:p>
    <w:p>
      <w:pPr>
        <w:pStyle w:val="91"/>
        <w:ind w:firstLine="355"/>
        <w:rPr>
          <w:rFonts w:cs="Times New Roman" w:eastAsiaTheme="minorEastAsia"/>
          <w:color w:val="000000" w:themeColor="text1"/>
          <w14:textFill>
            <w14:solidFill>
              <w14:schemeClr w14:val="tx1"/>
            </w14:solidFill>
          </w14:textFill>
        </w:rPr>
      </w:pPr>
    </w:p>
    <w:p>
      <w:pPr>
        <w:pStyle w:val="91"/>
        <w:ind w:firstLine="355"/>
        <w:rPr>
          <w:rFonts w:cs="Times New Roman" w:eastAsiaTheme="minorEastAsia"/>
          <w:color w:val="000000" w:themeColor="text1"/>
          <w14:textFill>
            <w14:solidFill>
              <w14:schemeClr w14:val="tx1"/>
            </w14:solidFill>
          </w14:textFill>
        </w:rPr>
      </w:pP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21728" behindDoc="0" locked="0" layoutInCell="1" allowOverlap="1">
            <wp:simplePos x="0" y="0"/>
            <wp:positionH relativeFrom="column">
              <wp:posOffset>66675</wp:posOffset>
            </wp:positionH>
            <wp:positionV relativeFrom="paragraph">
              <wp:posOffset>266700</wp:posOffset>
            </wp:positionV>
            <wp:extent cx="5274310" cy="7770495"/>
            <wp:effectExtent l="0" t="0" r="2540" b="1905"/>
            <wp:wrapNone/>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38">
                      <a:extLst>
                        <a:ext uri="{28A0092B-C50C-407E-A947-70E740481C1C}">
                          <a14:useLocalDpi xmlns:a14="http://schemas.microsoft.com/office/drawing/2010/main" val="0"/>
                        </a:ext>
                      </a:extLst>
                    </a:blip>
                    <a:stretch>
                      <a:fillRect/>
                    </a:stretch>
                  </pic:blipFill>
                  <pic:spPr>
                    <a:xfrm>
                      <a:off x="0" y="0"/>
                      <a:ext cx="5274310" cy="7770495"/>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附件7土地文件</w:t>
      </w: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24800" behindDoc="0" locked="0" layoutInCell="1" allowOverlap="1">
            <wp:simplePos x="0" y="0"/>
            <wp:positionH relativeFrom="column">
              <wp:posOffset>85725</wp:posOffset>
            </wp:positionH>
            <wp:positionV relativeFrom="paragraph">
              <wp:posOffset>168275</wp:posOffset>
            </wp:positionV>
            <wp:extent cx="5274310" cy="3890010"/>
            <wp:effectExtent l="0" t="0" r="2540" b="0"/>
            <wp:wrapNone/>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5274310" cy="3889804"/>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ind w:firstLine="177"/>
        <w:rPr>
          <w:color w:val="000000" w:themeColor="text1"/>
          <w14:textFill>
            <w14:solidFill>
              <w14:schemeClr w14:val="tx1"/>
            </w14:solidFill>
          </w14:textFill>
        </w:rPr>
      </w:pPr>
    </w:p>
    <w:p>
      <w:pPr>
        <w:pStyle w:val="91"/>
        <w:ind w:firstLine="355"/>
        <w:rPr>
          <w:snapToGrid w:val="0"/>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附件8中央环保督查文件</w:t>
      </w: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29920" behindDoc="0" locked="0" layoutInCell="1" allowOverlap="1">
            <wp:simplePos x="0" y="0"/>
            <wp:positionH relativeFrom="column">
              <wp:posOffset>1270</wp:posOffset>
            </wp:positionH>
            <wp:positionV relativeFrom="paragraph">
              <wp:posOffset>187325</wp:posOffset>
            </wp:positionV>
            <wp:extent cx="5274310" cy="7275830"/>
            <wp:effectExtent l="0" t="0" r="2540" b="1270"/>
            <wp:wrapNone/>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5274310" cy="7275830"/>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rFonts w:cs="Times New Roman" w:eastAsiaTheme="minorEastAsia"/>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30944" behindDoc="0" locked="0" layoutInCell="1" allowOverlap="1">
            <wp:simplePos x="0" y="0"/>
            <wp:positionH relativeFrom="column">
              <wp:posOffset>19050</wp:posOffset>
            </wp:positionH>
            <wp:positionV relativeFrom="paragraph">
              <wp:posOffset>25400</wp:posOffset>
            </wp:positionV>
            <wp:extent cx="5274310" cy="7165340"/>
            <wp:effectExtent l="0" t="0" r="2540" b="0"/>
            <wp:wrapNone/>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5274310" cy="7165340"/>
                    </a:xfrm>
                    <a:prstGeom prst="rect">
                      <a:avLst/>
                    </a:prstGeom>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附件9供热范围情况说明</w:t>
      </w:r>
    </w:p>
    <w:p>
      <w:pPr>
        <w:pStyle w:val="91"/>
        <w:ind w:firstLine="355"/>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36064" behindDoc="0" locked="0" layoutInCell="1" allowOverlap="1">
            <wp:simplePos x="0" y="0"/>
            <wp:positionH relativeFrom="column">
              <wp:posOffset>28575</wp:posOffset>
            </wp:positionH>
            <wp:positionV relativeFrom="paragraph">
              <wp:posOffset>63500</wp:posOffset>
            </wp:positionV>
            <wp:extent cx="5274310" cy="7524750"/>
            <wp:effectExtent l="0" t="0" r="2540" b="0"/>
            <wp:wrapNone/>
            <wp:docPr id="49" name="图片 49" descr="F:\微信下载文件\WeChat Files\wxid_tin24ov6vode22\FileStorage\Temp\645ae9586489443b9a38b26772e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F:\微信下载文件\WeChat Files\wxid_tin24ov6vode22\FileStorage\Temp\645ae9586489443b9a38b26772e0349.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a:xfrm>
                      <a:off x="0" y="0"/>
                      <a:ext cx="5274310" cy="7524750"/>
                    </a:xfrm>
                    <a:prstGeom prst="rect">
                      <a:avLst/>
                    </a:prstGeom>
                    <a:noFill/>
                    <a:ln>
                      <a:noFill/>
                    </a:ln>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ascii="Times New Roman" w:hAnsiTheme="minorEastAsia" w:eastAsiaTheme="minorEastAsia"/>
          <w:b/>
          <w:bCs/>
          <w:color w:val="000000" w:themeColor="text1"/>
          <w:szCs w:val="24"/>
          <w14:textFill>
            <w14:solidFill>
              <w14:schemeClr w14:val="tx1"/>
            </w14:solidFill>
          </w14:textFill>
        </w:rPr>
      </w:pPr>
      <w:r>
        <w:rPr>
          <w:rFonts w:hint="eastAsia" w:ascii="Times New Roman" w:hAnsiTheme="minorEastAsia" w:eastAsiaTheme="minorEastAsia"/>
          <w:b/>
          <w:bCs/>
          <w:color w:val="000000" w:themeColor="text1"/>
          <w:szCs w:val="24"/>
          <w14:textFill>
            <w14:solidFill>
              <w14:schemeClr w14:val="tx1"/>
            </w14:solidFill>
          </w14:textFill>
        </w:rPr>
        <w:t>附件10炉渣买卖协议</w:t>
      </w:r>
    </w:p>
    <w:p>
      <w:pPr>
        <w:pStyle w:val="91"/>
        <w:ind w:firstLine="355"/>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39136" behindDoc="0" locked="0" layoutInCell="1" allowOverlap="1">
            <wp:simplePos x="0" y="0"/>
            <wp:positionH relativeFrom="column">
              <wp:posOffset>56515</wp:posOffset>
            </wp:positionH>
            <wp:positionV relativeFrom="paragraph">
              <wp:posOffset>41275</wp:posOffset>
            </wp:positionV>
            <wp:extent cx="5274310" cy="7217410"/>
            <wp:effectExtent l="0" t="0" r="2540" b="2540"/>
            <wp:wrapNone/>
            <wp:docPr id="737" name="图片 737" descr="F:\微信下载文件\WeChat Files\wxid_tin24ov6vode22\FileStorage\Temp\7907910b7221e530250db2cca5da3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737" descr="F:\微信下载文件\WeChat Files\wxid_tin24ov6vode22\FileStorage\Temp\7907910b7221e530250db2cca5da3f5.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a:xfrm>
                      <a:off x="0" y="0"/>
                      <a:ext cx="5274310" cy="7217410"/>
                    </a:xfrm>
                    <a:prstGeom prst="rect">
                      <a:avLst/>
                    </a:prstGeom>
                    <a:noFill/>
                    <a:ln>
                      <a:noFill/>
                    </a:ln>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40160" behindDoc="0" locked="0" layoutInCell="1" allowOverlap="1">
            <wp:simplePos x="0" y="0"/>
            <wp:positionH relativeFrom="column">
              <wp:posOffset>-15875</wp:posOffset>
            </wp:positionH>
            <wp:positionV relativeFrom="paragraph">
              <wp:posOffset>132715</wp:posOffset>
            </wp:positionV>
            <wp:extent cx="5274310" cy="7251065"/>
            <wp:effectExtent l="0" t="0" r="2540" b="7620"/>
            <wp:wrapNone/>
            <wp:docPr id="738" name="图片 738" descr="F:\微信下载文件\WeChat Files\wxid_tin24ov6vode22\FileStorage\Temp\c3b98cac3170de22baeb0bb4be0b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38" descr="F:\微信下载文件\WeChat Files\wxid_tin24ov6vode22\FileStorage\Temp\c3b98cac3170de22baeb0bb4be0b669.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a:xfrm>
                      <a:off x="0" y="0"/>
                      <a:ext cx="5274310" cy="7250904"/>
                    </a:xfrm>
                    <a:prstGeom prst="rect">
                      <a:avLst/>
                    </a:prstGeom>
                    <a:noFill/>
                    <a:ln>
                      <a:noFill/>
                    </a:ln>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41184" behindDoc="0" locked="0" layoutInCell="1" allowOverlap="1">
            <wp:simplePos x="0" y="0"/>
            <wp:positionH relativeFrom="column">
              <wp:posOffset>15240</wp:posOffset>
            </wp:positionH>
            <wp:positionV relativeFrom="paragraph">
              <wp:posOffset>168275</wp:posOffset>
            </wp:positionV>
            <wp:extent cx="5274310" cy="7551420"/>
            <wp:effectExtent l="0" t="0" r="2540" b="0"/>
            <wp:wrapNone/>
            <wp:docPr id="739" name="图片 739" descr="F:\微信下载文件\WeChat Files\wxid_tin24ov6vode22\FileStorage\Temp\c1bfa2ed097ab7b3e69a8da95715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739" descr="F:\微信下载文件\WeChat Files\wxid_tin24ov6vode22\FileStorage\Temp\c1bfa2ed097ab7b3e69a8da95715086.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a:xfrm>
                      <a:off x="0" y="0"/>
                      <a:ext cx="5274310" cy="7551420"/>
                    </a:xfrm>
                    <a:prstGeom prst="rect">
                      <a:avLst/>
                    </a:prstGeom>
                    <a:noFill/>
                    <a:ln>
                      <a:noFill/>
                    </a:ln>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r>
        <w:rPr>
          <w:color w:val="000000" w:themeColor="text1"/>
          <w:lang w:val="en-US" w:bidi="ar-SA"/>
          <w14:textFill>
            <w14:solidFill>
              <w14:schemeClr w14:val="tx1"/>
            </w14:solidFill>
          </w14:textFill>
        </w:rPr>
        <w:drawing>
          <wp:anchor distT="0" distB="0" distL="114300" distR="114300" simplePos="0" relativeHeight="251742208" behindDoc="0" locked="0" layoutInCell="1" allowOverlap="1">
            <wp:simplePos x="0" y="0"/>
            <wp:positionH relativeFrom="column">
              <wp:posOffset>20955</wp:posOffset>
            </wp:positionH>
            <wp:positionV relativeFrom="paragraph">
              <wp:posOffset>176530</wp:posOffset>
            </wp:positionV>
            <wp:extent cx="5274310" cy="7870190"/>
            <wp:effectExtent l="0" t="0" r="2540" b="0"/>
            <wp:wrapNone/>
            <wp:docPr id="740" name="图片 740" descr="F:\微信下载文件\WeChat Files\wxid_tin24ov6vode22\FileStorage\Temp\c9c3b02578360feed2c5bf16793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740" descr="F:\微信下载文件\WeChat Files\wxid_tin24ov6vode22\FileStorage\Temp\c9c3b02578360feed2c5bf167937201.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a:xfrm>
                      <a:off x="0" y="0"/>
                      <a:ext cx="5274310" cy="7870396"/>
                    </a:xfrm>
                    <a:prstGeom prst="rect">
                      <a:avLst/>
                    </a:prstGeom>
                    <a:noFill/>
                    <a:ln>
                      <a:noFill/>
                    </a:ln>
                  </pic:spPr>
                </pic:pic>
              </a:graphicData>
            </a:graphic>
          </wp:anchor>
        </w:drawing>
      </w: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1"/>
        <w:ind w:firstLine="355"/>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hint="eastAsia" w:ascii="Times New Roman" w:cs="Times New Roman" w:hAnsiTheme="minorEastAsia" w:eastAsiaTheme="minorEastAsia"/>
          <w:b/>
          <w:bCs/>
          <w:color w:val="000000" w:themeColor="text1"/>
          <w:szCs w:val="24"/>
          <w:lang w:val="en-US" w:eastAsia="zh-CN"/>
          <w14:textFill>
            <w14:solidFill>
              <w14:schemeClr w14:val="tx1"/>
            </w14:solidFill>
          </w14:textFill>
        </w:rPr>
      </w:pPr>
      <w:r>
        <w:rPr>
          <w:rFonts w:hint="eastAsia" w:ascii="Times New Roman" w:cs="Times New Roman" w:hAnsiTheme="minorEastAsia" w:eastAsiaTheme="minorEastAsia"/>
          <w:b/>
          <w:bCs/>
          <w:color w:val="000000" w:themeColor="text1"/>
          <w:szCs w:val="24"/>
          <w:lang w:val="en-US" w:eastAsia="zh-CN"/>
          <w14:textFill>
            <w14:solidFill>
              <w14:schemeClr w14:val="tx1"/>
            </w14:solidFill>
          </w14:textFill>
        </w:rPr>
        <w:t>附件11 总量批复文件</w:t>
      </w:r>
    </w:p>
    <w:p>
      <w:pPr>
        <w:pStyle w:val="96"/>
        <w:autoSpaceDE w:val="0"/>
        <w:autoSpaceDN w:val="0"/>
        <w:snapToGrid w:val="0"/>
        <w:spacing w:line="240" w:lineRule="auto"/>
        <w:jc w:val="center"/>
        <w:textAlignment w:val="bottom"/>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270500" cy="7557770"/>
            <wp:effectExtent l="0" t="0" r="6350" b="5080"/>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147"/>
                    <a:stretch>
                      <a:fillRect/>
                    </a:stretch>
                  </pic:blipFill>
                  <pic:spPr>
                    <a:xfrm>
                      <a:off x="0" y="0"/>
                      <a:ext cx="5270500" cy="755777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4310" cy="7536815"/>
            <wp:effectExtent l="0" t="0" r="2540" b="6985"/>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148"/>
                    <a:stretch>
                      <a:fillRect/>
                    </a:stretch>
                  </pic:blipFill>
                  <pic:spPr>
                    <a:xfrm>
                      <a:off x="0" y="0"/>
                      <a:ext cx="5274310" cy="7536815"/>
                    </a:xfrm>
                    <a:prstGeom prst="rect">
                      <a:avLst/>
                    </a:prstGeom>
                    <a:noFill/>
                    <a:ln>
                      <a:noFill/>
                    </a:ln>
                  </pic:spPr>
                </pic:pic>
              </a:graphicData>
            </a:graphic>
          </wp:inline>
        </w:drawing>
      </w:r>
    </w:p>
    <w:p>
      <w:pPr>
        <w:pStyle w:val="96"/>
        <w:autoSpaceDE w:val="0"/>
        <w:autoSpaceDN w:val="0"/>
        <w:snapToGrid w:val="0"/>
        <w:spacing w:line="240" w:lineRule="auto"/>
        <w:jc w:val="center"/>
        <w:textAlignment w:val="bottom"/>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color w:val="000000" w:themeColor="text1"/>
          <w14:textFill>
            <w14:solidFill>
              <w14:schemeClr w14:val="tx1"/>
            </w14:solidFill>
          </w14:textFill>
        </w:rPr>
      </w:pPr>
    </w:p>
    <w:p>
      <w:pPr>
        <w:pStyle w:val="96"/>
        <w:autoSpaceDE w:val="0"/>
        <w:autoSpaceDN w:val="0"/>
        <w:snapToGrid w:val="0"/>
        <w:spacing w:line="240" w:lineRule="auto"/>
        <w:jc w:val="center"/>
        <w:textAlignment w:val="bottom"/>
        <w:rPr>
          <w:rFonts w:hint="eastAsia"/>
          <w:color w:val="000000" w:themeColor="text1"/>
          <w:lang w:val="en-US" w:eastAsia="zh-CN"/>
          <w14:textFill>
            <w14:solidFill>
              <w14:schemeClr w14:val="tx1"/>
            </w14:solidFill>
          </w14:textFill>
        </w:rPr>
      </w:pPr>
    </w:p>
    <w:p>
      <w:pPr>
        <w:pStyle w:val="96"/>
        <w:autoSpaceDE w:val="0"/>
        <w:autoSpaceDN w:val="0"/>
        <w:snapToGrid w:val="0"/>
        <w:spacing w:line="240" w:lineRule="auto"/>
        <w:jc w:val="center"/>
        <w:textAlignment w:val="bottom"/>
        <w:rPr>
          <w:rFonts w:hint="eastAsia" w:ascii="Times New Roman" w:cs="Times New Roman" w:hAnsiTheme="minorEastAsia" w:eastAsiaTheme="minorEastAsia"/>
          <w:b/>
          <w:bCs/>
          <w:color w:val="000000" w:themeColor="text1"/>
          <w:szCs w:val="24"/>
          <w:lang w:val="en-US" w:eastAsia="zh-CN"/>
          <w14:textFill>
            <w14:solidFill>
              <w14:schemeClr w14:val="tx1"/>
            </w14:solidFill>
          </w14:textFill>
        </w:rPr>
      </w:pPr>
      <w:r>
        <w:rPr>
          <w:rFonts w:hint="eastAsia" w:ascii="Times New Roman" w:cs="Times New Roman" w:hAnsiTheme="minorEastAsia" w:eastAsiaTheme="minorEastAsia"/>
          <w:b/>
          <w:bCs/>
          <w:color w:val="000000" w:themeColor="text1"/>
          <w:szCs w:val="24"/>
          <w:lang w:val="en-US" w:eastAsia="zh-CN"/>
          <w14:textFill>
            <w14:solidFill>
              <w14:schemeClr w14:val="tx1"/>
            </w14:solidFill>
          </w14:textFill>
        </w:rPr>
        <w:t>附件12三线一单分析成果</w:t>
      </w:r>
    </w:p>
    <w:p>
      <w:pPr>
        <w:pStyle w:val="96"/>
        <w:autoSpaceDE w:val="0"/>
        <w:autoSpaceDN w:val="0"/>
        <w:snapToGrid w:val="0"/>
        <w:spacing w:line="240" w:lineRule="auto"/>
        <w:jc w:val="center"/>
        <w:textAlignment w:val="bottom"/>
        <w:rPr>
          <w:rFonts w:hint="eastAsia" w:ascii="Times New Roman" w:cs="Times New Roman" w:hAnsiTheme="minorEastAsia" w:eastAsiaTheme="minorEastAsia"/>
          <w:b/>
          <w:bCs/>
          <w:color w:val="000000" w:themeColor="text1"/>
          <w:szCs w:val="24"/>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271770" cy="6508750"/>
            <wp:effectExtent l="0" t="0" r="5080" b="6350"/>
            <wp:docPr id="8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5"/>
                    <pic:cNvPicPr>
                      <a:picLocks noChangeAspect="1"/>
                    </pic:cNvPicPr>
                  </pic:nvPicPr>
                  <pic:blipFill>
                    <a:blip r:embed="rId149"/>
                    <a:stretch>
                      <a:fillRect/>
                    </a:stretch>
                  </pic:blipFill>
                  <pic:spPr>
                    <a:xfrm>
                      <a:off x="0" y="0"/>
                      <a:ext cx="5271770" cy="650875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0500" cy="3499485"/>
            <wp:effectExtent l="0" t="0" r="6350" b="5715"/>
            <wp:docPr id="9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6"/>
                    <pic:cNvPicPr>
                      <a:picLocks noChangeAspect="1"/>
                    </pic:cNvPicPr>
                  </pic:nvPicPr>
                  <pic:blipFill>
                    <a:blip r:embed="rId150"/>
                    <a:stretch>
                      <a:fillRect/>
                    </a:stretch>
                  </pic:blipFill>
                  <pic:spPr>
                    <a:xfrm>
                      <a:off x="0" y="0"/>
                      <a:ext cx="5270500" cy="349948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6055" cy="3250565"/>
            <wp:effectExtent l="0" t="0" r="10795" b="6985"/>
            <wp:docPr id="9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7"/>
                    <pic:cNvPicPr>
                      <a:picLocks noChangeAspect="1"/>
                    </pic:cNvPicPr>
                  </pic:nvPicPr>
                  <pic:blipFill>
                    <a:blip r:embed="rId151"/>
                    <a:stretch>
                      <a:fillRect/>
                    </a:stretch>
                  </pic:blipFill>
                  <pic:spPr>
                    <a:xfrm>
                      <a:off x="0" y="0"/>
                      <a:ext cx="5266055" cy="325056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0500" cy="2553335"/>
            <wp:effectExtent l="0" t="0" r="6350" b="18415"/>
            <wp:docPr id="9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8"/>
                    <pic:cNvPicPr>
                      <a:picLocks noChangeAspect="1"/>
                    </pic:cNvPicPr>
                  </pic:nvPicPr>
                  <pic:blipFill>
                    <a:blip r:embed="rId152"/>
                    <a:stretch>
                      <a:fillRect/>
                    </a:stretch>
                  </pic:blipFill>
                  <pic:spPr>
                    <a:xfrm>
                      <a:off x="0" y="0"/>
                      <a:ext cx="5270500" cy="255333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9230" cy="1083310"/>
            <wp:effectExtent l="0" t="0" r="7620" b="2540"/>
            <wp:docPr id="9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9"/>
                    <pic:cNvPicPr>
                      <a:picLocks noChangeAspect="1"/>
                    </pic:cNvPicPr>
                  </pic:nvPicPr>
                  <pic:blipFill>
                    <a:blip r:embed="rId153"/>
                    <a:stretch>
                      <a:fillRect/>
                    </a:stretch>
                  </pic:blipFill>
                  <pic:spPr>
                    <a:xfrm>
                      <a:off x="0" y="0"/>
                      <a:ext cx="5269230" cy="108331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2405" cy="1028700"/>
            <wp:effectExtent l="0" t="0" r="4445" b="0"/>
            <wp:docPr id="10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20"/>
                    <pic:cNvPicPr>
                      <a:picLocks noChangeAspect="1"/>
                    </pic:cNvPicPr>
                  </pic:nvPicPr>
                  <pic:blipFill>
                    <a:blip r:embed="rId154"/>
                    <a:stretch>
                      <a:fillRect/>
                    </a:stretch>
                  </pic:blipFill>
                  <pic:spPr>
                    <a:xfrm>
                      <a:off x="0" y="0"/>
                      <a:ext cx="5272405" cy="102870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4310" cy="866140"/>
            <wp:effectExtent l="0" t="0" r="2540" b="10160"/>
            <wp:docPr id="10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1"/>
                    <pic:cNvPicPr>
                      <a:picLocks noChangeAspect="1"/>
                    </pic:cNvPicPr>
                  </pic:nvPicPr>
                  <pic:blipFill>
                    <a:blip r:embed="rId155"/>
                    <a:stretch>
                      <a:fillRect/>
                    </a:stretch>
                  </pic:blipFill>
                  <pic:spPr>
                    <a:xfrm>
                      <a:off x="0" y="0"/>
                      <a:ext cx="5274310" cy="86614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8595" cy="900430"/>
            <wp:effectExtent l="0" t="0" r="8255" b="13970"/>
            <wp:docPr id="10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2"/>
                    <pic:cNvPicPr>
                      <a:picLocks noChangeAspect="1"/>
                    </pic:cNvPicPr>
                  </pic:nvPicPr>
                  <pic:blipFill>
                    <a:blip r:embed="rId156"/>
                    <a:stretch>
                      <a:fillRect/>
                    </a:stretch>
                  </pic:blipFill>
                  <pic:spPr>
                    <a:xfrm>
                      <a:off x="0" y="0"/>
                      <a:ext cx="5268595" cy="90043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3040" cy="2715895"/>
            <wp:effectExtent l="0" t="0" r="3810" b="8255"/>
            <wp:docPr id="10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3"/>
                    <pic:cNvPicPr>
                      <a:picLocks noChangeAspect="1"/>
                    </pic:cNvPicPr>
                  </pic:nvPicPr>
                  <pic:blipFill>
                    <a:blip r:embed="rId157"/>
                    <a:stretch>
                      <a:fillRect/>
                    </a:stretch>
                  </pic:blipFill>
                  <pic:spPr>
                    <a:xfrm>
                      <a:off x="0" y="0"/>
                      <a:ext cx="5273040" cy="271589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6055" cy="761365"/>
            <wp:effectExtent l="0" t="0" r="10795" b="635"/>
            <wp:docPr id="10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4"/>
                    <pic:cNvPicPr>
                      <a:picLocks noChangeAspect="1"/>
                    </pic:cNvPicPr>
                  </pic:nvPicPr>
                  <pic:blipFill>
                    <a:blip r:embed="rId158"/>
                    <a:stretch>
                      <a:fillRect/>
                    </a:stretch>
                  </pic:blipFill>
                  <pic:spPr>
                    <a:xfrm>
                      <a:off x="0" y="0"/>
                      <a:ext cx="5266055" cy="76136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2405" cy="3270885"/>
            <wp:effectExtent l="0" t="0" r="4445" b="5715"/>
            <wp:docPr id="10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5"/>
                    <pic:cNvPicPr>
                      <a:picLocks noChangeAspect="1"/>
                    </pic:cNvPicPr>
                  </pic:nvPicPr>
                  <pic:blipFill>
                    <a:blip r:embed="rId159"/>
                    <a:stretch>
                      <a:fillRect/>
                    </a:stretch>
                  </pic:blipFill>
                  <pic:spPr>
                    <a:xfrm>
                      <a:off x="0" y="0"/>
                      <a:ext cx="5272405" cy="327088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7960" cy="3380740"/>
            <wp:effectExtent l="0" t="0" r="8890" b="10160"/>
            <wp:docPr id="10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6"/>
                    <pic:cNvPicPr>
                      <a:picLocks noChangeAspect="1"/>
                    </pic:cNvPicPr>
                  </pic:nvPicPr>
                  <pic:blipFill>
                    <a:blip r:embed="rId160"/>
                    <a:stretch>
                      <a:fillRect/>
                    </a:stretch>
                  </pic:blipFill>
                  <pic:spPr>
                    <a:xfrm>
                      <a:off x="0" y="0"/>
                      <a:ext cx="5267960" cy="338074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9230" cy="2621280"/>
            <wp:effectExtent l="0" t="0" r="7620" b="7620"/>
            <wp:docPr id="10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7"/>
                    <pic:cNvPicPr>
                      <a:picLocks noChangeAspect="1"/>
                    </pic:cNvPicPr>
                  </pic:nvPicPr>
                  <pic:blipFill>
                    <a:blip r:embed="rId161"/>
                    <a:stretch>
                      <a:fillRect/>
                    </a:stretch>
                  </pic:blipFill>
                  <pic:spPr>
                    <a:xfrm>
                      <a:off x="0" y="0"/>
                      <a:ext cx="5269230" cy="262128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2405" cy="2078355"/>
            <wp:effectExtent l="0" t="0" r="4445" b="17145"/>
            <wp:docPr id="11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9"/>
                    <pic:cNvPicPr>
                      <a:picLocks noChangeAspect="1"/>
                    </pic:cNvPicPr>
                  </pic:nvPicPr>
                  <pic:blipFill>
                    <a:blip r:embed="rId162"/>
                    <a:stretch>
                      <a:fillRect/>
                    </a:stretch>
                  </pic:blipFill>
                  <pic:spPr>
                    <a:xfrm>
                      <a:off x="0" y="0"/>
                      <a:ext cx="5272405" cy="2078355"/>
                    </a:xfrm>
                    <a:prstGeom prst="rect">
                      <a:avLst/>
                    </a:prstGeom>
                    <a:noFill/>
                    <a:ln>
                      <a:noFill/>
                    </a:ln>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cols w:space="0" w:num="1"/>
      <w:docGrid w:type="linesAndChars" w:linePitch="312" w:charSpace="-55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178"/>
      </w:pPr>
      <w:r>
        <w:separator/>
      </w:r>
    </w:p>
  </w:endnote>
  <w:endnote w:type="continuationSeparator" w:id="1">
    <w:p>
      <w:pPr>
        <w:spacing w:line="240" w:lineRule="auto"/>
        <w:ind w:firstLine="178"/>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隶书">
    <w:panose1 w:val="02010509060101010101"/>
    <w:charset w:val="86"/>
    <w:family w:val="modern"/>
    <w:pitch w:val="default"/>
    <w:sig w:usb0="00000001" w:usb1="080E0000" w:usb2="00000000" w:usb3="00000000" w:csb0="00040000" w:csb1="00000000"/>
  </w:font>
  <w:font w:name="新宋体">
    <w:panose1 w:val="02010609030101010101"/>
    <w:charset w:val="86"/>
    <w:family w:val="modern"/>
    <w:pitch w:val="default"/>
    <w:sig w:usb0="00000203" w:usb1="288F0000" w:usb2="00000006" w:usb3="00000000" w:csb0="00040001" w:csb1="00000000"/>
  </w:font>
  <w:font w:name="PingFang SC">
    <w:altName w:val="微软雅黑"/>
    <w:panose1 w:val="00000000000000000000"/>
    <w:charset w:val="00"/>
    <w:family w:val="auto"/>
    <w:pitch w:val="default"/>
    <w:sig w:usb0="00000000" w:usb1="00000000" w:usb2="00000000" w:usb3="00000000" w:csb0="00040001" w:csb1="00000000"/>
  </w:font>
  <w:font w:name="Calibri Light">
    <w:panose1 w:val="020F03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BankGothic Lt BT">
    <w:altName w:val="Segoe Print"/>
    <w:panose1 w:val="00000000000000000000"/>
    <w:charset w:val="00"/>
    <w:family w:val="swiss"/>
    <w:pitch w:val="default"/>
    <w:sig w:usb0="00000000" w:usb1="00000000" w:usb2="00000000" w:usb3="00000000" w:csb0="00000000" w:csb1="00000000"/>
  </w:font>
  <w:font w:name="Arial Unicode MS">
    <w:panose1 w:val="020B0604020202020204"/>
    <w:charset w:val="86"/>
    <w:family w:val="roman"/>
    <w:pitch w:val="default"/>
    <w:sig w:usb0="FFFFFFFF" w:usb1="E9FFFFFF" w:usb2="0000003F" w:usb3="00000000" w:csb0="603F01FF" w:csb1="FFFF0000"/>
  </w:font>
  <w:font w:name="Times New Roman;Symbol;Arial;婼">
    <w:altName w:val="宋体"/>
    <w:panose1 w:val="00000000000000000000"/>
    <w:charset w:val="86"/>
    <w:family w:val="auto"/>
    <w:pitch w:val="default"/>
    <w:sig w:usb0="00000000" w:usb1="00000000" w:usb2="00000010" w:usb3="00000000" w:csb0="00040000" w:csb1="00000000"/>
  </w:font>
  <w:font w:name="华文中宋">
    <w:panose1 w:val="02010600040101010101"/>
    <w:charset w:val="86"/>
    <w:family w:val="auto"/>
    <w:pitch w:val="default"/>
    <w:sig w:usb0="00000287" w:usb1="080F0000" w:usb2="00000000" w:usb3="00000000" w:csb0="0004009F" w:csb1="DFD70000"/>
  </w:font>
  <w:font w:name="Tahoma">
    <w:panose1 w:val="020B0604030504040204"/>
    <w:charset w:val="00"/>
    <w:family w:val="swiss"/>
    <w:pitch w:val="default"/>
    <w:sig w:usb0="E1002EFF" w:usb1="C000605B" w:usb2="00000029" w:usb3="00000000" w:csb0="200101FF" w:csb1="20280000"/>
  </w:font>
  <w:font w:name="ヒラギノ角ゴ Pro W3">
    <w:altName w:val="Times New Roman"/>
    <w:panose1 w:val="00000000000000000000"/>
    <w:charset w:val="00"/>
    <w:family w:val="roman"/>
    <w:pitch w:val="default"/>
    <w:sig w:usb0="00000000" w:usb1="00000000" w:usb2="00000000" w:usb3="00000000" w:csb0="00040001" w:csb1="00000000"/>
  </w:font>
  <w:font w:name="Financial  (MF)">
    <w:altName w:val="Times New Roman"/>
    <w:panose1 w:val="00000000000000000000"/>
    <w:charset w:val="00"/>
    <w:family w:val="roman"/>
    <w:pitch w:val="default"/>
    <w:sig w:usb0="00000000" w:usb1="00000000" w:usb2="00000000" w:usb3="00000000" w:csb0="00000001" w:csb1="00000000"/>
  </w:font>
  <w:font w:name="Verdana">
    <w:panose1 w:val="020B0604030504040204"/>
    <w:charset w:val="00"/>
    <w:family w:val="swiss"/>
    <w:pitch w:val="default"/>
    <w:sig w:usb0="A00006FF" w:usb1="4000205B" w:usb2="00000010" w:usb3="00000000" w:csb0="2000019F" w:csb1="00000000"/>
  </w:font>
  <w:font w:name="Arial Black">
    <w:panose1 w:val="020B0A04020102020204"/>
    <w:charset w:val="00"/>
    <w:family w:val="swiss"/>
    <w:pitch w:val="default"/>
    <w:sig w:usb0="A00002AF" w:usb1="400078FB" w:usb2="00000000" w:usb3="00000000" w:csb0="6000009F" w:csb1="DFD70000"/>
  </w:font>
  <w:font w:name="华文仿宋">
    <w:panose1 w:val="02010600040101010101"/>
    <w:charset w:val="86"/>
    <w:family w:val="auto"/>
    <w:pitch w:val="default"/>
    <w:sig w:usb0="00000287" w:usb1="080F0000" w:usb2="00000000" w:usb3="00000000" w:csb0="0004009F" w:csb1="DFD70000"/>
  </w:font>
  <w:font w:name="Cambria">
    <w:panose1 w:val="02040503050406030204"/>
    <w:charset w:val="00"/>
    <w:family w:val="roman"/>
    <w:pitch w:val="default"/>
    <w:sig w:usb0="E00006FF" w:usb1="420024FF" w:usb2="02000000" w:usb3="00000000" w:csb0="2000019F" w:csb1="00000000"/>
  </w:font>
  <w:font w:name="汉鼎简书宋">
    <w:altName w:val="宋体"/>
    <w:panose1 w:val="00000000000000000000"/>
    <w:charset w:val="86"/>
    <w:family w:val="modern"/>
    <w:pitch w:val="default"/>
    <w:sig w:usb0="00000000" w:usb1="00000000" w:usb2="00000010" w:usb3="00000000" w:csb0="00040000" w:csb1="00000000"/>
  </w:font>
  <w:font w:name="Plotter">
    <w:altName w:val="Lucida Console"/>
    <w:panose1 w:val="00000000000000000000"/>
    <w:charset w:val="00"/>
    <w:family w:val="modern"/>
    <w:pitch w:val="default"/>
    <w:sig w:usb0="00000000" w:usb1="00000000" w:usb2="00000000" w:usb3="00000000" w:csb0="00000001" w:csb1="00000000"/>
  </w:font>
  <w:font w:name="方正宋三简体">
    <w:altName w:val="宋体"/>
    <w:panose1 w:val="00000000000000000000"/>
    <w:charset w:val="86"/>
    <w:family w:val="auto"/>
    <w:pitch w:val="default"/>
    <w:sig w:usb0="00000000" w:usb1="00000000" w:usb2="00000010" w:usb3="00000000" w:csb0="00040000" w:csb1="00000000"/>
  </w:font>
  <w:font w:name="Cambria Math">
    <w:panose1 w:val="02040503050406030204"/>
    <w:charset w:val="00"/>
    <w:family w:val="roman"/>
    <w:pitch w:val="default"/>
    <w:sig w:usb0="E00006FF" w:usb1="420024FF" w:usb2="02000000" w:usb3="00000000" w:csb0="2000019F" w:csb1="00000000"/>
  </w:font>
  <w:font w:name="Wingdings 2">
    <w:panose1 w:val="05020102010507070707"/>
    <w:charset w:val="02"/>
    <w:family w:val="roman"/>
    <w:pitch w:val="default"/>
    <w:sig w:usb0="00000000" w:usb1="00000000" w:usb2="00000000" w:usb3="00000000" w:csb0="80000000" w:csb1="00000000"/>
  </w:font>
  <w:font w:name="Segoe UI Symbol">
    <w:panose1 w:val="020B0502040204020203"/>
    <w:charset w:val="00"/>
    <w:family w:val="swiss"/>
    <w:pitch w:val="default"/>
    <w:sig w:usb0="800001E3" w:usb1="1200FFEF" w:usb2="00040000" w:usb3="04000000" w:csb0="00000001" w:csb1="40000000"/>
  </w:font>
  <w:font w:name="微软雅黑">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 w:name="Lucida Console">
    <w:panose1 w:val="020B0609040504020204"/>
    <w:charset w:val="00"/>
    <w:family w:val="auto"/>
    <w:pitch w:val="default"/>
    <w:sig w:usb0="8000028F" w:usb1="00001800" w:usb2="00000000" w:usb3="00000000" w:csb0="0000001F" w:csb1="D7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ind w:firstLine="180"/>
    </w:pPr>
    <w:r>
      <w:rPr>
        <w:lang w:val="en-US" w:bidi="ar-SA"/>
      </w:rPr>
      <mc:AlternateContent>
        <mc:Choice Requires="wps">
          <w:drawing>
            <wp:anchor distT="0" distB="0" distL="114300" distR="114300" simplePos="0" relativeHeight="251702272" behindDoc="0" locked="0" layoutInCell="1" allowOverlap="1">
              <wp:simplePos x="0" y="0"/>
              <wp:positionH relativeFrom="margin">
                <wp:align>center</wp:align>
              </wp:positionH>
              <wp:positionV relativeFrom="paragraph">
                <wp:posOffset>0</wp:posOffset>
              </wp:positionV>
              <wp:extent cx="64135" cy="228600"/>
              <wp:effectExtent l="0" t="0" r="12065" b="12700"/>
              <wp:wrapNone/>
              <wp:docPr id="103" name="文本框 1"/>
              <wp:cNvGraphicFramePr/>
              <a:graphic xmlns:a="http://schemas.openxmlformats.org/drawingml/2006/main">
                <a:graphicData uri="http://schemas.microsoft.com/office/word/2010/wordprocessingShape">
                  <wps:wsp>
                    <wps:cNvSpPr txBox="1"/>
                    <wps:spPr>
                      <a:xfrm>
                        <a:off x="0" y="0"/>
                        <a:ext cx="64135" cy="228600"/>
                      </a:xfrm>
                      <a:prstGeom prst="rect">
                        <a:avLst/>
                      </a:prstGeom>
                      <a:noFill/>
                      <a:ln w="6350">
                        <a:noFill/>
                      </a:ln>
                      <a:effectLst/>
                    </wps:spPr>
                    <wps:txbx>
                      <w:txbxContent>
                        <w:p>
                          <w:pPr>
                            <w:pStyle w:val="44"/>
                            <w:ind w:firstLine="180"/>
                          </w:pPr>
                          <w:r>
                            <w:fldChar w:fldCharType="begin"/>
                          </w:r>
                          <w:r>
                            <w:instrText xml:space="preserve"> PAGE  \* MERGEFORMAT </w:instrText>
                          </w:r>
                          <w:r>
                            <w:fldChar w:fldCharType="separate"/>
                          </w:r>
                          <w:r>
                            <w:t>C</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1" o:spid="_x0000_s1026" o:spt="202" type="#_x0000_t202" style="position:absolute;left:0pt;margin-top:0pt;height:18pt;width:5.05pt;mso-position-horizontal:center;mso-position-horizontal-relative:margin;mso-wrap-style:none;z-index:251702272;mso-width-relative:page;mso-height-relative:page;" filled="f" stroked="f" coordsize="21600,21600" o:gfxdata="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NoQkp0QAAAAMBAAAPAAAAAAAAAAEAIAAAACIAAABkcnMvZG93bnJldi54bWxQ&#10;SwECFAAUAAAACACHTuJA8wL8nTcCAABiBAAADgAAAAAAAAABACAAAAAgAQAAZHJzL2Uyb0RvYy54&#10;bWxQSwUGAAAAAAYABgBZAQAAyQUAAAAA&#10;">
              <v:fill on="f" focussize="0,0"/>
              <v:stroke on="f" weight="0.5pt"/>
              <v:imagedata o:title=""/>
              <o:lock v:ext="edit" aspectratio="f"/>
              <v:textbox inset="0mm,0mm,0mm,0mm" style="mso-fit-shape-to-text:t;">
                <w:txbxContent>
                  <w:p>
                    <w:pPr>
                      <w:pStyle w:val="44"/>
                      <w:ind w:firstLine="180"/>
                    </w:pPr>
                    <w:r>
                      <w:fldChar w:fldCharType="begin"/>
                    </w:r>
                    <w:r>
                      <w:instrText xml:space="preserve"> PAGE  \* MERGEFORMAT </w:instrText>
                    </w:r>
                    <w:r>
                      <w:fldChar w:fldCharType="separate"/>
                    </w:r>
                    <w:r>
                      <w:t>C</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ind w:firstLine="1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4"/>
      <w:ind w:firstLine="180"/>
    </w:pPr>
    <w:r>
      <w:rPr>
        <w:lang w:val="en-US" w:bidi="ar-SA"/>
      </w:rPr>
      <mc:AlternateContent>
        <mc:Choice Requires="wps">
          <w:drawing>
            <wp:anchor distT="0" distB="0" distL="114300" distR="114300" simplePos="0" relativeHeight="251705344" behindDoc="0" locked="0" layoutInCell="1" allowOverlap="1">
              <wp:simplePos x="0" y="0"/>
              <wp:positionH relativeFrom="margin">
                <wp:align>center</wp:align>
              </wp:positionH>
              <wp:positionV relativeFrom="paragraph">
                <wp:posOffset>0</wp:posOffset>
              </wp:positionV>
              <wp:extent cx="114935" cy="228600"/>
              <wp:effectExtent l="0" t="0" r="12065" b="12700"/>
              <wp:wrapNone/>
              <wp:docPr id="104" name="文本框 23"/>
              <wp:cNvGraphicFramePr/>
              <a:graphic xmlns:a="http://schemas.openxmlformats.org/drawingml/2006/main">
                <a:graphicData uri="http://schemas.microsoft.com/office/word/2010/wordprocessingShape">
                  <wps:wsp>
                    <wps:cNvSpPr txBox="1"/>
                    <wps:spPr>
                      <a:xfrm>
                        <a:off x="0" y="0"/>
                        <a:ext cx="114935" cy="228600"/>
                      </a:xfrm>
                      <a:prstGeom prst="rect">
                        <a:avLst/>
                      </a:prstGeom>
                      <a:noFill/>
                      <a:ln w="6350">
                        <a:noFill/>
                      </a:ln>
                      <a:effectLst/>
                    </wps:spPr>
                    <wps:txbx>
                      <w:txbxContent>
                        <w:p>
                          <w:pPr>
                            <w:pStyle w:val="44"/>
                            <w:ind w:firstLine="180"/>
                          </w:pPr>
                          <w:r>
                            <w:fldChar w:fldCharType="begin"/>
                          </w:r>
                          <w:r>
                            <w:instrText xml:space="preserve"> PAGE  \* MERGEFORMAT </w:instrText>
                          </w:r>
                          <w:r>
                            <w:fldChar w:fldCharType="separate"/>
                          </w:r>
                          <w:r>
                            <w:t>36</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文本框 23" o:spid="_x0000_s1026" o:spt="202" type="#_x0000_t202" style="position:absolute;left:0pt;margin-top:0pt;height:18pt;width:9.05pt;mso-position-horizontal:center;mso-position-horizontal-relative:margin;mso-wrap-style:none;z-index:251705344;mso-width-relative:page;mso-height-relative:page;" filled="f" stroked="f" coordsize="21600,21600" o:gfxdata="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lSaYk0gAAAAMBAAAPAAAAAAAAAAEAIAAAACIAAABkcnMvZG93bnJldi54&#10;bWxQSwECFAAUAAAACACHTuJArCeQJTkCAABkBAAADgAAAAAAAAABACAAAAAhAQAAZHJzL2Uyb0Rv&#10;Yy54bWxQSwUGAAAAAAYABgBZAQAAzAUAAAAA&#10;">
              <v:fill on="f" focussize="0,0"/>
              <v:stroke on="f" weight="0.5pt"/>
              <v:imagedata o:title=""/>
              <o:lock v:ext="edit" aspectratio="f"/>
              <v:textbox inset="0mm,0mm,0mm,0mm" style="mso-fit-shape-to-text:t;">
                <w:txbxContent>
                  <w:p>
                    <w:pPr>
                      <w:pStyle w:val="44"/>
                      <w:ind w:firstLine="180"/>
                    </w:pPr>
                    <w:r>
                      <w:fldChar w:fldCharType="begin"/>
                    </w:r>
                    <w:r>
                      <w:instrText xml:space="preserve"> PAGE  \* MERGEFORMAT </w:instrText>
                    </w:r>
                    <w:r>
                      <w:fldChar w:fldCharType="separate"/>
                    </w:r>
                    <w:r>
                      <w:t>36</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178"/>
      </w:pPr>
      <w:r>
        <w:separator/>
      </w:r>
    </w:p>
  </w:footnote>
  <w:footnote w:type="continuationSeparator" w:id="1">
    <w:p>
      <w:pPr>
        <w:spacing w:line="360" w:lineRule="auto"/>
        <w:ind w:firstLine="178"/>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ind w:firstLine="180"/>
    </w:pPr>
    <w:r>
      <w:rPr>
        <w:rFonts w:hint="eastAsia"/>
      </w:rPr>
      <w:t>2022年北大荒农垦集团红兴隆分公司农垦公用基础设施建设项目</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ind w:firstLine="1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ind w:firstLine="180"/>
    </w:pPr>
    <w:r>
      <w:rPr>
        <w:rFonts w:hint="eastAsia"/>
      </w:rPr>
      <w:t>2022年北大荒农垦集团红兴隆分公司农垦公用基础设施建设项目</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ind w:firstLine="180"/>
    </w:pPr>
    <w:r>
      <w:rPr>
        <w:rFonts w:hint="eastAsia"/>
      </w:rPr>
      <w:t>2022年北大荒农垦集团红兴隆分公司农垦公用基础设施建设项目</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ind w:firstLine="180"/>
      <w:rPr>
        <w:u w:val="double"/>
      </w:rPr>
    </w:pPr>
    <w:r>
      <w:rPr>
        <w:rFonts w:hint="eastAsia"/>
      </w:rPr>
      <w:t>2022年北大荒农垦集团红兴隆分公司农垦公用基础设施建设项目</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ind w:firstLine="180"/>
    </w:pPr>
    <w:r>
      <w:rPr>
        <w:rFonts w:hint="eastAsia"/>
      </w:rPr>
      <w:t>2022年北大荒农垦集团红兴隆分公司农垦公用基础设施建设项目</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5"/>
      <w:ind w:firstLine="180"/>
    </w:pPr>
    <w:r>
      <w:rPr>
        <w:rFonts w:hint="eastAsia"/>
      </w:rPr>
      <w:t>2022年北大荒农垦集团红兴隆分公司农垦公用基础设施建设项目</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83"/>
    <w:multiLevelType w:val="singleLevel"/>
    <w:tmpl w:val="FFFFFF83"/>
    <w:lvl w:ilvl="0" w:tentative="0">
      <w:start w:val="1"/>
      <w:numFmt w:val="bullet"/>
      <w:pStyle w:val="25"/>
      <w:lvlText w:val=""/>
      <w:lvlJc w:val="left"/>
      <w:pPr>
        <w:tabs>
          <w:tab w:val="left" w:pos="780"/>
        </w:tabs>
        <w:ind w:left="780" w:leftChars="200" w:hanging="360" w:hangingChars="200"/>
      </w:pPr>
      <w:rPr>
        <w:rFonts w:hint="default" w:ascii="Wingdings" w:hAnsi="Wingdings"/>
      </w:rPr>
    </w:lvl>
  </w:abstractNum>
  <w:abstractNum w:abstractNumId="1">
    <w:nsid w:val="0923F61D"/>
    <w:multiLevelType w:val="singleLevel"/>
    <w:tmpl w:val="0923F61D"/>
    <w:lvl w:ilvl="0" w:tentative="0">
      <w:start w:val="1"/>
      <w:numFmt w:val="decimal"/>
      <w:suff w:val="nothing"/>
      <w:lvlText w:val="（%1）"/>
      <w:lvlJc w:val="left"/>
    </w:lvl>
  </w:abstractNum>
  <w:abstractNum w:abstractNumId="2">
    <w:nsid w:val="292FCAF0"/>
    <w:multiLevelType w:val="singleLevel"/>
    <w:tmpl w:val="292FCAF0"/>
    <w:lvl w:ilvl="0" w:tentative="0">
      <w:start w:val="1"/>
      <w:numFmt w:val="decimal"/>
      <w:pStyle w:val="14"/>
      <w:lvlText w:val="%1."/>
      <w:lvlJc w:val="left"/>
      <w:pPr>
        <w:tabs>
          <w:tab w:val="left" w:pos="780"/>
        </w:tabs>
        <w:ind w:left="780" w:hanging="360"/>
      </w:pPr>
    </w:lvl>
  </w:abstractNum>
  <w:abstractNum w:abstractNumId="3">
    <w:nsid w:val="391F0C39"/>
    <w:multiLevelType w:val="multilevel"/>
    <w:tmpl w:val="391F0C39"/>
    <w:lvl w:ilvl="0" w:tentative="0">
      <w:start w:val="1"/>
      <w:numFmt w:val="decimal"/>
      <w:pStyle w:val="1341"/>
      <w:lvlText w:val="图 %1 "/>
      <w:lvlJc w:val="left"/>
      <w:pPr>
        <w:tabs>
          <w:tab w:val="left" w:pos="0"/>
        </w:tabs>
        <w:ind w:left="0" w:firstLine="0"/>
      </w:pPr>
      <w:rPr>
        <w:rFonts w:hint="eastAsia"/>
      </w:rPr>
    </w:lvl>
    <w:lvl w:ilvl="1" w:tentative="0">
      <w:start w:val="1"/>
      <w:numFmt w:val="decimalZero"/>
      <w:isLgl/>
      <w:lvlText w:val="节 %1.%2"/>
      <w:lvlJc w:val="left"/>
      <w:pPr>
        <w:tabs>
          <w:tab w:val="left" w:pos="1080"/>
        </w:tabs>
        <w:ind w:left="0" w:firstLine="0"/>
      </w:pPr>
      <w:rPr>
        <w:rFonts w:hint="eastAsia"/>
      </w:rPr>
    </w:lvl>
    <w:lvl w:ilvl="2" w:tentative="0">
      <w:start w:val="1"/>
      <w:numFmt w:val="lowerLetter"/>
      <w:lvlText w:val="(%3)"/>
      <w:lvlJc w:val="left"/>
      <w:pPr>
        <w:tabs>
          <w:tab w:val="left" w:pos="720"/>
        </w:tabs>
        <w:ind w:left="720" w:hanging="432"/>
      </w:pPr>
      <w:rPr>
        <w:rFonts w:hint="eastAsia"/>
      </w:rPr>
    </w:lvl>
    <w:lvl w:ilvl="3" w:tentative="0">
      <w:start w:val="1"/>
      <w:numFmt w:val="lowerRoman"/>
      <w:lvlText w:val="(%4)"/>
      <w:lvlJc w:val="right"/>
      <w:pPr>
        <w:tabs>
          <w:tab w:val="left" w:pos="864"/>
        </w:tabs>
        <w:ind w:left="864" w:hanging="144"/>
      </w:pPr>
      <w:rPr>
        <w:rFonts w:hint="eastAsia"/>
      </w:rPr>
    </w:lvl>
    <w:lvl w:ilvl="4" w:tentative="0">
      <w:start w:val="1"/>
      <w:numFmt w:val="decimal"/>
      <w:lvlText w:val="%5)"/>
      <w:lvlJc w:val="left"/>
      <w:pPr>
        <w:tabs>
          <w:tab w:val="left" w:pos="1008"/>
        </w:tabs>
        <w:ind w:left="1008" w:hanging="432"/>
      </w:pPr>
      <w:rPr>
        <w:rFonts w:hint="eastAsia"/>
      </w:rPr>
    </w:lvl>
    <w:lvl w:ilvl="5" w:tentative="0">
      <w:start w:val="1"/>
      <w:numFmt w:val="lowerLetter"/>
      <w:lvlText w:val="%6)"/>
      <w:lvlJc w:val="left"/>
      <w:pPr>
        <w:tabs>
          <w:tab w:val="left" w:pos="1152"/>
        </w:tabs>
        <w:ind w:left="1152" w:hanging="432"/>
      </w:pPr>
      <w:rPr>
        <w:rFonts w:hint="eastAsia"/>
      </w:rPr>
    </w:lvl>
    <w:lvl w:ilvl="6" w:tentative="0">
      <w:start w:val="1"/>
      <w:numFmt w:val="lowerRoman"/>
      <w:lvlText w:val="%7)"/>
      <w:lvlJc w:val="right"/>
      <w:pPr>
        <w:tabs>
          <w:tab w:val="left" w:pos="1296"/>
        </w:tabs>
        <w:ind w:left="1296" w:hanging="288"/>
      </w:pPr>
      <w:rPr>
        <w:rFonts w:hint="eastAsia"/>
      </w:rPr>
    </w:lvl>
    <w:lvl w:ilvl="7" w:tentative="0">
      <w:start w:val="1"/>
      <w:numFmt w:val="lowerLetter"/>
      <w:lvlText w:val="%8."/>
      <w:lvlJc w:val="left"/>
      <w:pPr>
        <w:tabs>
          <w:tab w:val="left" w:pos="1440"/>
        </w:tabs>
        <w:ind w:left="1440" w:hanging="432"/>
      </w:pPr>
      <w:rPr>
        <w:rFonts w:hint="eastAsia"/>
      </w:rPr>
    </w:lvl>
    <w:lvl w:ilvl="8" w:tentative="0">
      <w:start w:val="1"/>
      <w:numFmt w:val="lowerRoman"/>
      <w:lvlText w:val="%9."/>
      <w:lvlJc w:val="right"/>
      <w:pPr>
        <w:tabs>
          <w:tab w:val="left" w:pos="1584"/>
        </w:tabs>
        <w:ind w:left="1584" w:hanging="144"/>
      </w:pPr>
      <w:rPr>
        <w:rFonts w:hint="eastAsia"/>
      </w:rPr>
    </w:lvl>
  </w:abstractNum>
  <w:abstractNum w:abstractNumId="4">
    <w:nsid w:val="3991358E"/>
    <w:multiLevelType w:val="multilevel"/>
    <w:tmpl w:val="3991358E"/>
    <w:lvl w:ilvl="0" w:tentative="0">
      <w:start w:val="1"/>
      <w:numFmt w:val="japaneseCounting"/>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pStyle w:val="1013"/>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4CBE6247"/>
    <w:multiLevelType w:val="multilevel"/>
    <w:tmpl w:val="4CBE6247"/>
    <w:lvl w:ilvl="0" w:tentative="0">
      <w:start w:val="1"/>
      <w:numFmt w:val="decimal"/>
      <w:lvlText w:val="%1."/>
      <w:lvlJc w:val="left"/>
      <w:pPr>
        <w:tabs>
          <w:tab w:val="left" w:pos="425"/>
        </w:tabs>
        <w:ind w:left="425" w:hanging="425"/>
      </w:pPr>
      <w:rPr>
        <w:rFonts w:hint="eastAsia"/>
      </w:rPr>
    </w:lvl>
    <w:lvl w:ilvl="1" w:tentative="0">
      <w:start w:val="1"/>
      <w:numFmt w:val="decimal"/>
      <w:pStyle w:val="1357"/>
      <w:lvlText w:val="%1.%2."/>
      <w:lvlJc w:val="left"/>
      <w:pPr>
        <w:tabs>
          <w:tab w:val="left" w:pos="567"/>
        </w:tabs>
        <w:ind w:left="567" w:hanging="567"/>
      </w:pPr>
      <w:rPr>
        <w:rFonts w:hint="eastAsia"/>
      </w:rPr>
    </w:lvl>
    <w:lvl w:ilvl="2" w:tentative="0">
      <w:start w:val="1"/>
      <w:numFmt w:val="decimal"/>
      <w:lvlText w:val="%1.%2.%3."/>
      <w:lvlJc w:val="left"/>
      <w:pPr>
        <w:tabs>
          <w:tab w:val="left" w:pos="709"/>
        </w:tabs>
        <w:ind w:left="709" w:hanging="709"/>
      </w:pPr>
      <w:rPr>
        <w:rFonts w:hint="eastAsia"/>
      </w:rPr>
    </w:lvl>
    <w:lvl w:ilvl="3" w:tentative="0">
      <w:start w:val="1"/>
      <w:numFmt w:val="decimal"/>
      <w:lvlText w:val="%1.%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6">
    <w:nsid w:val="5A0E33D5"/>
    <w:multiLevelType w:val="singleLevel"/>
    <w:tmpl w:val="5A0E33D5"/>
    <w:lvl w:ilvl="0" w:tentative="0">
      <w:start w:val="1"/>
      <w:numFmt w:val="decimal"/>
      <w:pStyle w:val="29"/>
      <w:lvlText w:val="%1."/>
      <w:lvlJc w:val="left"/>
      <w:pPr>
        <w:tabs>
          <w:tab w:val="left" w:pos="1200"/>
        </w:tabs>
        <w:ind w:left="1200" w:hanging="360"/>
      </w:pPr>
    </w:lvl>
  </w:abstractNum>
  <w:num w:numId="1">
    <w:abstractNumId w:val="2"/>
  </w:num>
  <w:num w:numId="2">
    <w:abstractNumId w:val="0"/>
  </w:num>
  <w:num w:numId="3">
    <w:abstractNumId w:val="6"/>
  </w:num>
  <w:num w:numId="4">
    <w:abstractNumId w:val="4"/>
  </w:num>
  <w:num w:numId="5">
    <w:abstractNumId w:val="3"/>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oNotDisplayPageBoundaries w:val="1"/>
  <w:embedSystemFonts/>
  <w:bordersDoNotSurroundHeader w:val="0"/>
  <w:bordersDoNotSurroundFooter w:val="0"/>
  <w:hideSpellingErrors/>
  <w:documentProtection w:enforcement="0"/>
  <w:defaultTabStop w:val="420"/>
  <w:drawingGridHorizontalSpacing w:val="177"/>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MyZWU0MTZhOGNhZmM0ZTk2ZjAyY2RlOWM0N2JhNzAifQ=="/>
  </w:docVars>
  <w:rsids>
    <w:rsidRoot w:val="00C317F4"/>
    <w:rsid w:val="0000056D"/>
    <w:rsid w:val="00001336"/>
    <w:rsid w:val="00002103"/>
    <w:rsid w:val="00002527"/>
    <w:rsid w:val="00004567"/>
    <w:rsid w:val="00007655"/>
    <w:rsid w:val="0000779A"/>
    <w:rsid w:val="00007BA1"/>
    <w:rsid w:val="00010D8C"/>
    <w:rsid w:val="0001144B"/>
    <w:rsid w:val="00011971"/>
    <w:rsid w:val="00014070"/>
    <w:rsid w:val="00014458"/>
    <w:rsid w:val="00017E42"/>
    <w:rsid w:val="0002018A"/>
    <w:rsid w:val="00020B2E"/>
    <w:rsid w:val="000218AB"/>
    <w:rsid w:val="00021EC5"/>
    <w:rsid w:val="0002225F"/>
    <w:rsid w:val="000223AB"/>
    <w:rsid w:val="0002306B"/>
    <w:rsid w:val="000230B6"/>
    <w:rsid w:val="00023D9D"/>
    <w:rsid w:val="00025464"/>
    <w:rsid w:val="00032109"/>
    <w:rsid w:val="00032A09"/>
    <w:rsid w:val="00032A89"/>
    <w:rsid w:val="00033D33"/>
    <w:rsid w:val="0003570E"/>
    <w:rsid w:val="00035CB6"/>
    <w:rsid w:val="00036D53"/>
    <w:rsid w:val="00037B7B"/>
    <w:rsid w:val="00040682"/>
    <w:rsid w:val="000408C0"/>
    <w:rsid w:val="000411DA"/>
    <w:rsid w:val="00042FD5"/>
    <w:rsid w:val="000433A1"/>
    <w:rsid w:val="00043E98"/>
    <w:rsid w:val="00046715"/>
    <w:rsid w:val="00047693"/>
    <w:rsid w:val="0005096C"/>
    <w:rsid w:val="00051F50"/>
    <w:rsid w:val="000527E6"/>
    <w:rsid w:val="00054DBE"/>
    <w:rsid w:val="00056B4D"/>
    <w:rsid w:val="00057467"/>
    <w:rsid w:val="00057AD3"/>
    <w:rsid w:val="00060389"/>
    <w:rsid w:val="00061367"/>
    <w:rsid w:val="000624ED"/>
    <w:rsid w:val="000669EA"/>
    <w:rsid w:val="00066FC9"/>
    <w:rsid w:val="000702F5"/>
    <w:rsid w:val="00070DCF"/>
    <w:rsid w:val="00071EC5"/>
    <w:rsid w:val="00072E92"/>
    <w:rsid w:val="00073CC8"/>
    <w:rsid w:val="000751F4"/>
    <w:rsid w:val="000759F8"/>
    <w:rsid w:val="00075B0B"/>
    <w:rsid w:val="000768FC"/>
    <w:rsid w:val="00080213"/>
    <w:rsid w:val="000807B8"/>
    <w:rsid w:val="0008172F"/>
    <w:rsid w:val="00081974"/>
    <w:rsid w:val="000848F8"/>
    <w:rsid w:val="000849FD"/>
    <w:rsid w:val="000859BC"/>
    <w:rsid w:val="00090598"/>
    <w:rsid w:val="00090B75"/>
    <w:rsid w:val="0009183F"/>
    <w:rsid w:val="00091F07"/>
    <w:rsid w:val="000922D9"/>
    <w:rsid w:val="000929B6"/>
    <w:rsid w:val="00092EE1"/>
    <w:rsid w:val="00093CDB"/>
    <w:rsid w:val="0009472C"/>
    <w:rsid w:val="00094F91"/>
    <w:rsid w:val="000961F3"/>
    <w:rsid w:val="000968A5"/>
    <w:rsid w:val="000976C1"/>
    <w:rsid w:val="00097D2E"/>
    <w:rsid w:val="000A0554"/>
    <w:rsid w:val="000A14D5"/>
    <w:rsid w:val="000A3321"/>
    <w:rsid w:val="000A3CD8"/>
    <w:rsid w:val="000A406E"/>
    <w:rsid w:val="000A6CB7"/>
    <w:rsid w:val="000A76DC"/>
    <w:rsid w:val="000B055F"/>
    <w:rsid w:val="000B0845"/>
    <w:rsid w:val="000B1069"/>
    <w:rsid w:val="000B1294"/>
    <w:rsid w:val="000B16A5"/>
    <w:rsid w:val="000B18F9"/>
    <w:rsid w:val="000B2982"/>
    <w:rsid w:val="000B38FC"/>
    <w:rsid w:val="000B5FD3"/>
    <w:rsid w:val="000B7793"/>
    <w:rsid w:val="000C00C7"/>
    <w:rsid w:val="000C18A7"/>
    <w:rsid w:val="000C2F5B"/>
    <w:rsid w:val="000C30F7"/>
    <w:rsid w:val="000C374D"/>
    <w:rsid w:val="000C3ACB"/>
    <w:rsid w:val="000C5743"/>
    <w:rsid w:val="000C5EB1"/>
    <w:rsid w:val="000C6549"/>
    <w:rsid w:val="000C6DAE"/>
    <w:rsid w:val="000D053C"/>
    <w:rsid w:val="000D1276"/>
    <w:rsid w:val="000D28BA"/>
    <w:rsid w:val="000D2969"/>
    <w:rsid w:val="000D4E16"/>
    <w:rsid w:val="000D4FB4"/>
    <w:rsid w:val="000D71B3"/>
    <w:rsid w:val="000E0763"/>
    <w:rsid w:val="000E0B96"/>
    <w:rsid w:val="000E1C8E"/>
    <w:rsid w:val="000E1C91"/>
    <w:rsid w:val="000E2ADE"/>
    <w:rsid w:val="000E31EF"/>
    <w:rsid w:val="000E368C"/>
    <w:rsid w:val="000E3ADC"/>
    <w:rsid w:val="000E42B4"/>
    <w:rsid w:val="000E4AB5"/>
    <w:rsid w:val="000F4230"/>
    <w:rsid w:val="000F5154"/>
    <w:rsid w:val="000F5562"/>
    <w:rsid w:val="000F55BC"/>
    <w:rsid w:val="000F5B13"/>
    <w:rsid w:val="000F6F6E"/>
    <w:rsid w:val="000F7228"/>
    <w:rsid w:val="000F759F"/>
    <w:rsid w:val="000F7DAA"/>
    <w:rsid w:val="00100707"/>
    <w:rsid w:val="001016D1"/>
    <w:rsid w:val="00101E30"/>
    <w:rsid w:val="00102E7B"/>
    <w:rsid w:val="00103503"/>
    <w:rsid w:val="00103E6C"/>
    <w:rsid w:val="0010401A"/>
    <w:rsid w:val="00105E95"/>
    <w:rsid w:val="0010667D"/>
    <w:rsid w:val="00106DE1"/>
    <w:rsid w:val="00110A8D"/>
    <w:rsid w:val="001114B7"/>
    <w:rsid w:val="00112206"/>
    <w:rsid w:val="00113498"/>
    <w:rsid w:val="0011372F"/>
    <w:rsid w:val="00113DE7"/>
    <w:rsid w:val="00113EE7"/>
    <w:rsid w:val="00115AA9"/>
    <w:rsid w:val="0011742C"/>
    <w:rsid w:val="0011754D"/>
    <w:rsid w:val="0012021C"/>
    <w:rsid w:val="001224A2"/>
    <w:rsid w:val="00122ABF"/>
    <w:rsid w:val="00124864"/>
    <w:rsid w:val="00124EDD"/>
    <w:rsid w:val="001258AE"/>
    <w:rsid w:val="001262FA"/>
    <w:rsid w:val="00130C4B"/>
    <w:rsid w:val="00130C4C"/>
    <w:rsid w:val="001338FB"/>
    <w:rsid w:val="001358ED"/>
    <w:rsid w:val="00135E82"/>
    <w:rsid w:val="00136CF3"/>
    <w:rsid w:val="00140A48"/>
    <w:rsid w:val="0014122B"/>
    <w:rsid w:val="00142B39"/>
    <w:rsid w:val="00143BE0"/>
    <w:rsid w:val="00143CF0"/>
    <w:rsid w:val="00145A5A"/>
    <w:rsid w:val="0014639E"/>
    <w:rsid w:val="00146476"/>
    <w:rsid w:val="001477FA"/>
    <w:rsid w:val="0014796B"/>
    <w:rsid w:val="00150784"/>
    <w:rsid w:val="00150D55"/>
    <w:rsid w:val="001543C6"/>
    <w:rsid w:val="00155AA0"/>
    <w:rsid w:val="00156708"/>
    <w:rsid w:val="00156795"/>
    <w:rsid w:val="001573B3"/>
    <w:rsid w:val="00160301"/>
    <w:rsid w:val="001607B0"/>
    <w:rsid w:val="00160F1B"/>
    <w:rsid w:val="00161BB1"/>
    <w:rsid w:val="00161CE7"/>
    <w:rsid w:val="0016266A"/>
    <w:rsid w:val="00162E9B"/>
    <w:rsid w:val="00163B1D"/>
    <w:rsid w:val="0016401A"/>
    <w:rsid w:val="001660FD"/>
    <w:rsid w:val="0016795D"/>
    <w:rsid w:val="001679E8"/>
    <w:rsid w:val="001701D0"/>
    <w:rsid w:val="001718D4"/>
    <w:rsid w:val="00172518"/>
    <w:rsid w:val="00173271"/>
    <w:rsid w:val="00173974"/>
    <w:rsid w:val="00173EBA"/>
    <w:rsid w:val="00174632"/>
    <w:rsid w:val="00176D53"/>
    <w:rsid w:val="001801CF"/>
    <w:rsid w:val="00180789"/>
    <w:rsid w:val="00183EAA"/>
    <w:rsid w:val="0018723F"/>
    <w:rsid w:val="00187786"/>
    <w:rsid w:val="001902E1"/>
    <w:rsid w:val="0019166D"/>
    <w:rsid w:val="00191B6C"/>
    <w:rsid w:val="00193038"/>
    <w:rsid w:val="0019419D"/>
    <w:rsid w:val="00194EB2"/>
    <w:rsid w:val="001956D9"/>
    <w:rsid w:val="00195D9D"/>
    <w:rsid w:val="001966C8"/>
    <w:rsid w:val="001972F6"/>
    <w:rsid w:val="00197B60"/>
    <w:rsid w:val="001A0519"/>
    <w:rsid w:val="001A0789"/>
    <w:rsid w:val="001A12CD"/>
    <w:rsid w:val="001A1D4C"/>
    <w:rsid w:val="001A475A"/>
    <w:rsid w:val="001A484A"/>
    <w:rsid w:val="001A5C95"/>
    <w:rsid w:val="001A5D29"/>
    <w:rsid w:val="001A6E21"/>
    <w:rsid w:val="001A78FA"/>
    <w:rsid w:val="001B1B7A"/>
    <w:rsid w:val="001B1CB2"/>
    <w:rsid w:val="001B2DDF"/>
    <w:rsid w:val="001B4A43"/>
    <w:rsid w:val="001B4B7B"/>
    <w:rsid w:val="001B4BAF"/>
    <w:rsid w:val="001C0808"/>
    <w:rsid w:val="001C218B"/>
    <w:rsid w:val="001C2F1C"/>
    <w:rsid w:val="001C6C8D"/>
    <w:rsid w:val="001D027F"/>
    <w:rsid w:val="001D0B75"/>
    <w:rsid w:val="001D1CD2"/>
    <w:rsid w:val="001D2183"/>
    <w:rsid w:val="001D7A03"/>
    <w:rsid w:val="001E0B24"/>
    <w:rsid w:val="001E1342"/>
    <w:rsid w:val="001E2273"/>
    <w:rsid w:val="001E2BE4"/>
    <w:rsid w:val="001E3DD8"/>
    <w:rsid w:val="001E4CBD"/>
    <w:rsid w:val="001E709B"/>
    <w:rsid w:val="001E725B"/>
    <w:rsid w:val="001E7B79"/>
    <w:rsid w:val="001F14B2"/>
    <w:rsid w:val="001F3868"/>
    <w:rsid w:val="001F6A31"/>
    <w:rsid w:val="001F7F2F"/>
    <w:rsid w:val="0020062F"/>
    <w:rsid w:val="00202170"/>
    <w:rsid w:val="00202E88"/>
    <w:rsid w:val="0020394E"/>
    <w:rsid w:val="00204278"/>
    <w:rsid w:val="0020546D"/>
    <w:rsid w:val="00207427"/>
    <w:rsid w:val="002117FC"/>
    <w:rsid w:val="00211DD1"/>
    <w:rsid w:val="00211FEB"/>
    <w:rsid w:val="0021304F"/>
    <w:rsid w:val="0021506C"/>
    <w:rsid w:val="00215CEB"/>
    <w:rsid w:val="002208A1"/>
    <w:rsid w:val="00220A5A"/>
    <w:rsid w:val="00220F5D"/>
    <w:rsid w:val="00222F66"/>
    <w:rsid w:val="00226B25"/>
    <w:rsid w:val="00226FD1"/>
    <w:rsid w:val="0022744B"/>
    <w:rsid w:val="00230B1D"/>
    <w:rsid w:val="00231B0E"/>
    <w:rsid w:val="00231C90"/>
    <w:rsid w:val="002322FE"/>
    <w:rsid w:val="002325EA"/>
    <w:rsid w:val="00234215"/>
    <w:rsid w:val="00234AAF"/>
    <w:rsid w:val="002365FF"/>
    <w:rsid w:val="00236828"/>
    <w:rsid w:val="002378FD"/>
    <w:rsid w:val="00240322"/>
    <w:rsid w:val="0024110B"/>
    <w:rsid w:val="002417C5"/>
    <w:rsid w:val="00241B6A"/>
    <w:rsid w:val="00241D7D"/>
    <w:rsid w:val="00242782"/>
    <w:rsid w:val="00242BF0"/>
    <w:rsid w:val="00244ABC"/>
    <w:rsid w:val="00244D2A"/>
    <w:rsid w:val="002472D4"/>
    <w:rsid w:val="002473A8"/>
    <w:rsid w:val="00247422"/>
    <w:rsid w:val="00252B4A"/>
    <w:rsid w:val="00252D75"/>
    <w:rsid w:val="00254666"/>
    <w:rsid w:val="002553FC"/>
    <w:rsid w:val="00256B9B"/>
    <w:rsid w:val="00256DEC"/>
    <w:rsid w:val="00261753"/>
    <w:rsid w:val="00261927"/>
    <w:rsid w:val="00262031"/>
    <w:rsid w:val="00264DA9"/>
    <w:rsid w:val="00266BE8"/>
    <w:rsid w:val="00266EA8"/>
    <w:rsid w:val="00270F17"/>
    <w:rsid w:val="002719CB"/>
    <w:rsid w:val="00272616"/>
    <w:rsid w:val="00274106"/>
    <w:rsid w:val="00274150"/>
    <w:rsid w:val="00276234"/>
    <w:rsid w:val="00280914"/>
    <w:rsid w:val="002823D8"/>
    <w:rsid w:val="00285DD3"/>
    <w:rsid w:val="00286283"/>
    <w:rsid w:val="002869EF"/>
    <w:rsid w:val="002874FC"/>
    <w:rsid w:val="0029001B"/>
    <w:rsid w:val="00290AB2"/>
    <w:rsid w:val="00290F2E"/>
    <w:rsid w:val="00291976"/>
    <w:rsid w:val="002919F8"/>
    <w:rsid w:val="00292F53"/>
    <w:rsid w:val="00293AD8"/>
    <w:rsid w:val="002953F1"/>
    <w:rsid w:val="00296457"/>
    <w:rsid w:val="00296C82"/>
    <w:rsid w:val="00297704"/>
    <w:rsid w:val="00297AC6"/>
    <w:rsid w:val="002A0795"/>
    <w:rsid w:val="002A0D8C"/>
    <w:rsid w:val="002A16F5"/>
    <w:rsid w:val="002A2668"/>
    <w:rsid w:val="002A2ABE"/>
    <w:rsid w:val="002A4E8A"/>
    <w:rsid w:val="002A4FC1"/>
    <w:rsid w:val="002A56ED"/>
    <w:rsid w:val="002A7269"/>
    <w:rsid w:val="002A7345"/>
    <w:rsid w:val="002A78D4"/>
    <w:rsid w:val="002A7907"/>
    <w:rsid w:val="002A7DB9"/>
    <w:rsid w:val="002B0F47"/>
    <w:rsid w:val="002B3B82"/>
    <w:rsid w:val="002B4C95"/>
    <w:rsid w:val="002B6665"/>
    <w:rsid w:val="002C062B"/>
    <w:rsid w:val="002C18B2"/>
    <w:rsid w:val="002C1B9A"/>
    <w:rsid w:val="002C2742"/>
    <w:rsid w:val="002D0F3D"/>
    <w:rsid w:val="002D2F47"/>
    <w:rsid w:val="002D4CE9"/>
    <w:rsid w:val="002D598A"/>
    <w:rsid w:val="002D5C69"/>
    <w:rsid w:val="002D6A5D"/>
    <w:rsid w:val="002D7FC9"/>
    <w:rsid w:val="002D7FF8"/>
    <w:rsid w:val="002E0179"/>
    <w:rsid w:val="002E054D"/>
    <w:rsid w:val="002E1C38"/>
    <w:rsid w:val="002E2104"/>
    <w:rsid w:val="002E2464"/>
    <w:rsid w:val="002E283A"/>
    <w:rsid w:val="002E30A5"/>
    <w:rsid w:val="002E4EE9"/>
    <w:rsid w:val="002E6C8E"/>
    <w:rsid w:val="002E7FC2"/>
    <w:rsid w:val="002F0BF1"/>
    <w:rsid w:val="002F0CD3"/>
    <w:rsid w:val="002F1F30"/>
    <w:rsid w:val="002F47CC"/>
    <w:rsid w:val="002F482F"/>
    <w:rsid w:val="002F4863"/>
    <w:rsid w:val="002F4F6F"/>
    <w:rsid w:val="00302A4F"/>
    <w:rsid w:val="0030506A"/>
    <w:rsid w:val="00305F20"/>
    <w:rsid w:val="003078F9"/>
    <w:rsid w:val="00307DA9"/>
    <w:rsid w:val="003104C8"/>
    <w:rsid w:val="003114AB"/>
    <w:rsid w:val="00311EA8"/>
    <w:rsid w:val="00312E51"/>
    <w:rsid w:val="00312FA5"/>
    <w:rsid w:val="00313E82"/>
    <w:rsid w:val="0031420B"/>
    <w:rsid w:val="00315907"/>
    <w:rsid w:val="00315E45"/>
    <w:rsid w:val="00316100"/>
    <w:rsid w:val="00316F16"/>
    <w:rsid w:val="0031777E"/>
    <w:rsid w:val="00321095"/>
    <w:rsid w:val="00321622"/>
    <w:rsid w:val="00321CE5"/>
    <w:rsid w:val="00322724"/>
    <w:rsid w:val="00322D78"/>
    <w:rsid w:val="0032312D"/>
    <w:rsid w:val="00325D9F"/>
    <w:rsid w:val="003263EB"/>
    <w:rsid w:val="003266A5"/>
    <w:rsid w:val="003347FB"/>
    <w:rsid w:val="00334B4E"/>
    <w:rsid w:val="00336791"/>
    <w:rsid w:val="00337B5E"/>
    <w:rsid w:val="0034112F"/>
    <w:rsid w:val="00341542"/>
    <w:rsid w:val="003418F6"/>
    <w:rsid w:val="00342A6D"/>
    <w:rsid w:val="00342C94"/>
    <w:rsid w:val="00344983"/>
    <w:rsid w:val="0034509B"/>
    <w:rsid w:val="003452CA"/>
    <w:rsid w:val="003468E4"/>
    <w:rsid w:val="003471DA"/>
    <w:rsid w:val="003506BC"/>
    <w:rsid w:val="00350B62"/>
    <w:rsid w:val="00350F78"/>
    <w:rsid w:val="00351BD0"/>
    <w:rsid w:val="00352808"/>
    <w:rsid w:val="00352FEF"/>
    <w:rsid w:val="00353A78"/>
    <w:rsid w:val="00353CE9"/>
    <w:rsid w:val="003554DB"/>
    <w:rsid w:val="003562A8"/>
    <w:rsid w:val="00357A48"/>
    <w:rsid w:val="0036225D"/>
    <w:rsid w:val="0036238D"/>
    <w:rsid w:val="00363129"/>
    <w:rsid w:val="00363DC5"/>
    <w:rsid w:val="00364151"/>
    <w:rsid w:val="003653CB"/>
    <w:rsid w:val="00365C47"/>
    <w:rsid w:val="00366DE4"/>
    <w:rsid w:val="003679C8"/>
    <w:rsid w:val="00370D83"/>
    <w:rsid w:val="003719F5"/>
    <w:rsid w:val="00371D95"/>
    <w:rsid w:val="003723B6"/>
    <w:rsid w:val="00373EED"/>
    <w:rsid w:val="0037463D"/>
    <w:rsid w:val="00375235"/>
    <w:rsid w:val="00376A67"/>
    <w:rsid w:val="00377987"/>
    <w:rsid w:val="00377A5B"/>
    <w:rsid w:val="00377B7C"/>
    <w:rsid w:val="00380500"/>
    <w:rsid w:val="0038163E"/>
    <w:rsid w:val="00381986"/>
    <w:rsid w:val="0038260C"/>
    <w:rsid w:val="003827CC"/>
    <w:rsid w:val="00382B73"/>
    <w:rsid w:val="0038314D"/>
    <w:rsid w:val="00383156"/>
    <w:rsid w:val="003833B2"/>
    <w:rsid w:val="00383470"/>
    <w:rsid w:val="00385378"/>
    <w:rsid w:val="00386F93"/>
    <w:rsid w:val="00387DED"/>
    <w:rsid w:val="00390497"/>
    <w:rsid w:val="00391101"/>
    <w:rsid w:val="003912D5"/>
    <w:rsid w:val="00392583"/>
    <w:rsid w:val="00394D50"/>
    <w:rsid w:val="00395619"/>
    <w:rsid w:val="003968C0"/>
    <w:rsid w:val="00396EEE"/>
    <w:rsid w:val="003974BC"/>
    <w:rsid w:val="003A0EA3"/>
    <w:rsid w:val="003A16DA"/>
    <w:rsid w:val="003A1CC3"/>
    <w:rsid w:val="003A3807"/>
    <w:rsid w:val="003A3C6A"/>
    <w:rsid w:val="003A4236"/>
    <w:rsid w:val="003A5CDD"/>
    <w:rsid w:val="003A67F4"/>
    <w:rsid w:val="003B019E"/>
    <w:rsid w:val="003B0D8E"/>
    <w:rsid w:val="003B1036"/>
    <w:rsid w:val="003B1AB4"/>
    <w:rsid w:val="003B32FA"/>
    <w:rsid w:val="003B3BF7"/>
    <w:rsid w:val="003B79F2"/>
    <w:rsid w:val="003C1954"/>
    <w:rsid w:val="003C1B91"/>
    <w:rsid w:val="003C1D72"/>
    <w:rsid w:val="003C22E6"/>
    <w:rsid w:val="003C2356"/>
    <w:rsid w:val="003C24E7"/>
    <w:rsid w:val="003C268B"/>
    <w:rsid w:val="003C2C00"/>
    <w:rsid w:val="003C3329"/>
    <w:rsid w:val="003C55CF"/>
    <w:rsid w:val="003C55E5"/>
    <w:rsid w:val="003C618A"/>
    <w:rsid w:val="003C64E1"/>
    <w:rsid w:val="003D1D45"/>
    <w:rsid w:val="003D1E18"/>
    <w:rsid w:val="003D258E"/>
    <w:rsid w:val="003D3687"/>
    <w:rsid w:val="003D41B8"/>
    <w:rsid w:val="003D5220"/>
    <w:rsid w:val="003D5BC5"/>
    <w:rsid w:val="003D7129"/>
    <w:rsid w:val="003E02DA"/>
    <w:rsid w:val="003E2EC3"/>
    <w:rsid w:val="003E3742"/>
    <w:rsid w:val="003E4015"/>
    <w:rsid w:val="003E599E"/>
    <w:rsid w:val="003E5D89"/>
    <w:rsid w:val="003E5D9A"/>
    <w:rsid w:val="003E738D"/>
    <w:rsid w:val="003F1488"/>
    <w:rsid w:val="003F1691"/>
    <w:rsid w:val="003F25F6"/>
    <w:rsid w:val="003F3417"/>
    <w:rsid w:val="003F42EB"/>
    <w:rsid w:val="003F461A"/>
    <w:rsid w:val="003F5386"/>
    <w:rsid w:val="003F5963"/>
    <w:rsid w:val="003F6E1C"/>
    <w:rsid w:val="003F724B"/>
    <w:rsid w:val="003F7BB9"/>
    <w:rsid w:val="003F7DF5"/>
    <w:rsid w:val="00400693"/>
    <w:rsid w:val="004008E0"/>
    <w:rsid w:val="00400FEE"/>
    <w:rsid w:val="004011C9"/>
    <w:rsid w:val="004035E6"/>
    <w:rsid w:val="00403708"/>
    <w:rsid w:val="00403A67"/>
    <w:rsid w:val="004047EF"/>
    <w:rsid w:val="00405DDF"/>
    <w:rsid w:val="0040750C"/>
    <w:rsid w:val="00407DDB"/>
    <w:rsid w:val="00410B81"/>
    <w:rsid w:val="0041156A"/>
    <w:rsid w:val="004126DA"/>
    <w:rsid w:val="004157A8"/>
    <w:rsid w:val="0041594D"/>
    <w:rsid w:val="004174D1"/>
    <w:rsid w:val="004178E2"/>
    <w:rsid w:val="00421240"/>
    <w:rsid w:val="0042298A"/>
    <w:rsid w:val="00423602"/>
    <w:rsid w:val="00423B18"/>
    <w:rsid w:val="00424508"/>
    <w:rsid w:val="00425B5C"/>
    <w:rsid w:val="00425E43"/>
    <w:rsid w:val="0042698D"/>
    <w:rsid w:val="004302F2"/>
    <w:rsid w:val="00430691"/>
    <w:rsid w:val="00432EBF"/>
    <w:rsid w:val="00433591"/>
    <w:rsid w:val="004342C9"/>
    <w:rsid w:val="004351CC"/>
    <w:rsid w:val="004354DD"/>
    <w:rsid w:val="00435F24"/>
    <w:rsid w:val="00436451"/>
    <w:rsid w:val="00436DB0"/>
    <w:rsid w:val="00440BA4"/>
    <w:rsid w:val="004412AD"/>
    <w:rsid w:val="00441B13"/>
    <w:rsid w:val="00441BEC"/>
    <w:rsid w:val="0044435A"/>
    <w:rsid w:val="004445A9"/>
    <w:rsid w:val="00444B6C"/>
    <w:rsid w:val="00445B96"/>
    <w:rsid w:val="004462A1"/>
    <w:rsid w:val="00446E3D"/>
    <w:rsid w:val="004500AB"/>
    <w:rsid w:val="00450B72"/>
    <w:rsid w:val="00450CE5"/>
    <w:rsid w:val="00451ABD"/>
    <w:rsid w:val="00452AA3"/>
    <w:rsid w:val="00454D16"/>
    <w:rsid w:val="0045520B"/>
    <w:rsid w:val="0045553C"/>
    <w:rsid w:val="00456BBD"/>
    <w:rsid w:val="00456DE6"/>
    <w:rsid w:val="00457484"/>
    <w:rsid w:val="004605F7"/>
    <w:rsid w:val="0046095C"/>
    <w:rsid w:val="004632D7"/>
    <w:rsid w:val="00463BCC"/>
    <w:rsid w:val="00463EBB"/>
    <w:rsid w:val="0046494C"/>
    <w:rsid w:val="00464C19"/>
    <w:rsid w:val="00464FA6"/>
    <w:rsid w:val="00465EC3"/>
    <w:rsid w:val="00466A82"/>
    <w:rsid w:val="0046726C"/>
    <w:rsid w:val="00467F93"/>
    <w:rsid w:val="00470320"/>
    <w:rsid w:val="00470A1F"/>
    <w:rsid w:val="00471BFF"/>
    <w:rsid w:val="00472485"/>
    <w:rsid w:val="00472D17"/>
    <w:rsid w:val="004735B6"/>
    <w:rsid w:val="00473764"/>
    <w:rsid w:val="00473AC0"/>
    <w:rsid w:val="00473E39"/>
    <w:rsid w:val="00474134"/>
    <w:rsid w:val="004741C5"/>
    <w:rsid w:val="00476117"/>
    <w:rsid w:val="00476A0F"/>
    <w:rsid w:val="00480184"/>
    <w:rsid w:val="00480D0F"/>
    <w:rsid w:val="00480E1D"/>
    <w:rsid w:val="00481693"/>
    <w:rsid w:val="004819EC"/>
    <w:rsid w:val="004829E9"/>
    <w:rsid w:val="004838C1"/>
    <w:rsid w:val="00483BBC"/>
    <w:rsid w:val="00485BE7"/>
    <w:rsid w:val="00486415"/>
    <w:rsid w:val="00486C38"/>
    <w:rsid w:val="00490253"/>
    <w:rsid w:val="00490475"/>
    <w:rsid w:val="00490560"/>
    <w:rsid w:val="00490612"/>
    <w:rsid w:val="00490FE3"/>
    <w:rsid w:val="00491D8C"/>
    <w:rsid w:val="004924B0"/>
    <w:rsid w:val="0049405F"/>
    <w:rsid w:val="0049424C"/>
    <w:rsid w:val="004945E9"/>
    <w:rsid w:val="0049479B"/>
    <w:rsid w:val="004958A3"/>
    <w:rsid w:val="00497D96"/>
    <w:rsid w:val="00497FB8"/>
    <w:rsid w:val="004A1888"/>
    <w:rsid w:val="004A1D35"/>
    <w:rsid w:val="004A222E"/>
    <w:rsid w:val="004A5A28"/>
    <w:rsid w:val="004A6447"/>
    <w:rsid w:val="004B059B"/>
    <w:rsid w:val="004B2E67"/>
    <w:rsid w:val="004B38D4"/>
    <w:rsid w:val="004B3C00"/>
    <w:rsid w:val="004B41BE"/>
    <w:rsid w:val="004B4685"/>
    <w:rsid w:val="004B4741"/>
    <w:rsid w:val="004B4EEC"/>
    <w:rsid w:val="004B5478"/>
    <w:rsid w:val="004B62B3"/>
    <w:rsid w:val="004B7756"/>
    <w:rsid w:val="004C2052"/>
    <w:rsid w:val="004C3399"/>
    <w:rsid w:val="004C39CE"/>
    <w:rsid w:val="004C4B80"/>
    <w:rsid w:val="004C563B"/>
    <w:rsid w:val="004C636D"/>
    <w:rsid w:val="004D0517"/>
    <w:rsid w:val="004D2F9D"/>
    <w:rsid w:val="004D4817"/>
    <w:rsid w:val="004D48CF"/>
    <w:rsid w:val="004D4C9C"/>
    <w:rsid w:val="004D5256"/>
    <w:rsid w:val="004D590F"/>
    <w:rsid w:val="004D63FB"/>
    <w:rsid w:val="004D7269"/>
    <w:rsid w:val="004D726D"/>
    <w:rsid w:val="004E0879"/>
    <w:rsid w:val="004E2628"/>
    <w:rsid w:val="004E2C73"/>
    <w:rsid w:val="004E3169"/>
    <w:rsid w:val="004E361B"/>
    <w:rsid w:val="004E40A0"/>
    <w:rsid w:val="004E6C5E"/>
    <w:rsid w:val="004F024D"/>
    <w:rsid w:val="004F2163"/>
    <w:rsid w:val="004F2425"/>
    <w:rsid w:val="004F3225"/>
    <w:rsid w:val="004F4CEC"/>
    <w:rsid w:val="004F4DE7"/>
    <w:rsid w:val="004F6CE9"/>
    <w:rsid w:val="004F7243"/>
    <w:rsid w:val="004F72D1"/>
    <w:rsid w:val="004F75D8"/>
    <w:rsid w:val="004F784A"/>
    <w:rsid w:val="004F7D0D"/>
    <w:rsid w:val="00500642"/>
    <w:rsid w:val="00501971"/>
    <w:rsid w:val="0050327C"/>
    <w:rsid w:val="00504379"/>
    <w:rsid w:val="005048C8"/>
    <w:rsid w:val="00504D28"/>
    <w:rsid w:val="0050555D"/>
    <w:rsid w:val="0050565D"/>
    <w:rsid w:val="005062AB"/>
    <w:rsid w:val="005065B8"/>
    <w:rsid w:val="0050694D"/>
    <w:rsid w:val="00506A94"/>
    <w:rsid w:val="00513C2C"/>
    <w:rsid w:val="00514FAD"/>
    <w:rsid w:val="00515732"/>
    <w:rsid w:val="00515782"/>
    <w:rsid w:val="005166DD"/>
    <w:rsid w:val="005167BC"/>
    <w:rsid w:val="005170EC"/>
    <w:rsid w:val="0051799B"/>
    <w:rsid w:val="00520081"/>
    <w:rsid w:val="0052068F"/>
    <w:rsid w:val="00521143"/>
    <w:rsid w:val="00521CB9"/>
    <w:rsid w:val="00523A0E"/>
    <w:rsid w:val="005243C0"/>
    <w:rsid w:val="00527258"/>
    <w:rsid w:val="00527EAE"/>
    <w:rsid w:val="00532443"/>
    <w:rsid w:val="005328A0"/>
    <w:rsid w:val="00534C5A"/>
    <w:rsid w:val="005364ED"/>
    <w:rsid w:val="00537BA7"/>
    <w:rsid w:val="00540001"/>
    <w:rsid w:val="00540192"/>
    <w:rsid w:val="00542223"/>
    <w:rsid w:val="00544D3E"/>
    <w:rsid w:val="00545AB7"/>
    <w:rsid w:val="00550227"/>
    <w:rsid w:val="00551917"/>
    <w:rsid w:val="00551C7A"/>
    <w:rsid w:val="00552834"/>
    <w:rsid w:val="00552B54"/>
    <w:rsid w:val="005538B1"/>
    <w:rsid w:val="00553E6D"/>
    <w:rsid w:val="00554D2C"/>
    <w:rsid w:val="0055542C"/>
    <w:rsid w:val="0055682D"/>
    <w:rsid w:val="00556AF4"/>
    <w:rsid w:val="00557338"/>
    <w:rsid w:val="00557509"/>
    <w:rsid w:val="00560369"/>
    <w:rsid w:val="005612B7"/>
    <w:rsid w:val="005613B6"/>
    <w:rsid w:val="005614E5"/>
    <w:rsid w:val="0056198F"/>
    <w:rsid w:val="00562758"/>
    <w:rsid w:val="00562817"/>
    <w:rsid w:val="00563111"/>
    <w:rsid w:val="005631C3"/>
    <w:rsid w:val="00563787"/>
    <w:rsid w:val="0056382A"/>
    <w:rsid w:val="00564FD2"/>
    <w:rsid w:val="005652B4"/>
    <w:rsid w:val="00565EA8"/>
    <w:rsid w:val="00566B5F"/>
    <w:rsid w:val="00567C1D"/>
    <w:rsid w:val="00567FA9"/>
    <w:rsid w:val="00570085"/>
    <w:rsid w:val="00570AF9"/>
    <w:rsid w:val="00570B46"/>
    <w:rsid w:val="00570B89"/>
    <w:rsid w:val="00571055"/>
    <w:rsid w:val="005715C7"/>
    <w:rsid w:val="005717DA"/>
    <w:rsid w:val="00571ADD"/>
    <w:rsid w:val="00574B11"/>
    <w:rsid w:val="00575167"/>
    <w:rsid w:val="00575832"/>
    <w:rsid w:val="00575C67"/>
    <w:rsid w:val="00576B91"/>
    <w:rsid w:val="00576BF4"/>
    <w:rsid w:val="00577846"/>
    <w:rsid w:val="00577B65"/>
    <w:rsid w:val="0058051D"/>
    <w:rsid w:val="0058183B"/>
    <w:rsid w:val="005819FB"/>
    <w:rsid w:val="00583268"/>
    <w:rsid w:val="0058445F"/>
    <w:rsid w:val="00584468"/>
    <w:rsid w:val="0058586E"/>
    <w:rsid w:val="00586554"/>
    <w:rsid w:val="00586B12"/>
    <w:rsid w:val="00587C5C"/>
    <w:rsid w:val="00590606"/>
    <w:rsid w:val="0059230D"/>
    <w:rsid w:val="00592C5F"/>
    <w:rsid w:val="00594075"/>
    <w:rsid w:val="00595FB8"/>
    <w:rsid w:val="0059685D"/>
    <w:rsid w:val="00596AB4"/>
    <w:rsid w:val="00597E81"/>
    <w:rsid w:val="005A0422"/>
    <w:rsid w:val="005A3262"/>
    <w:rsid w:val="005A4260"/>
    <w:rsid w:val="005A4BBD"/>
    <w:rsid w:val="005A4C96"/>
    <w:rsid w:val="005A54F2"/>
    <w:rsid w:val="005A577F"/>
    <w:rsid w:val="005A581A"/>
    <w:rsid w:val="005A64E6"/>
    <w:rsid w:val="005A788B"/>
    <w:rsid w:val="005B0112"/>
    <w:rsid w:val="005B0531"/>
    <w:rsid w:val="005B08F7"/>
    <w:rsid w:val="005B2B76"/>
    <w:rsid w:val="005B36D9"/>
    <w:rsid w:val="005B3CFB"/>
    <w:rsid w:val="005B428C"/>
    <w:rsid w:val="005B5A79"/>
    <w:rsid w:val="005B7399"/>
    <w:rsid w:val="005B76C3"/>
    <w:rsid w:val="005C2165"/>
    <w:rsid w:val="005C2428"/>
    <w:rsid w:val="005C29DB"/>
    <w:rsid w:val="005C7DAF"/>
    <w:rsid w:val="005D045E"/>
    <w:rsid w:val="005D127D"/>
    <w:rsid w:val="005D5DBC"/>
    <w:rsid w:val="005D62CE"/>
    <w:rsid w:val="005E0F42"/>
    <w:rsid w:val="005E18BF"/>
    <w:rsid w:val="005E30F8"/>
    <w:rsid w:val="005E3ECE"/>
    <w:rsid w:val="005E6381"/>
    <w:rsid w:val="005E69D9"/>
    <w:rsid w:val="005E6BC7"/>
    <w:rsid w:val="005F1526"/>
    <w:rsid w:val="005F2FF0"/>
    <w:rsid w:val="005F324E"/>
    <w:rsid w:val="005F46A2"/>
    <w:rsid w:val="005F6232"/>
    <w:rsid w:val="005F7B3D"/>
    <w:rsid w:val="00601A8F"/>
    <w:rsid w:val="0060216C"/>
    <w:rsid w:val="00602D9D"/>
    <w:rsid w:val="00603A6C"/>
    <w:rsid w:val="00604D14"/>
    <w:rsid w:val="00606B75"/>
    <w:rsid w:val="00607A66"/>
    <w:rsid w:val="00610199"/>
    <w:rsid w:val="00610C3A"/>
    <w:rsid w:val="006118B8"/>
    <w:rsid w:val="00611F25"/>
    <w:rsid w:val="006138D7"/>
    <w:rsid w:val="00613B85"/>
    <w:rsid w:val="00613D44"/>
    <w:rsid w:val="006140E7"/>
    <w:rsid w:val="006141F9"/>
    <w:rsid w:val="00614CF6"/>
    <w:rsid w:val="00614EEB"/>
    <w:rsid w:val="006168CE"/>
    <w:rsid w:val="00621685"/>
    <w:rsid w:val="0062186C"/>
    <w:rsid w:val="00624AD3"/>
    <w:rsid w:val="00625EB9"/>
    <w:rsid w:val="00627882"/>
    <w:rsid w:val="0063137B"/>
    <w:rsid w:val="006331AF"/>
    <w:rsid w:val="00634343"/>
    <w:rsid w:val="00636E19"/>
    <w:rsid w:val="00637628"/>
    <w:rsid w:val="006401C4"/>
    <w:rsid w:val="0064122F"/>
    <w:rsid w:val="00642323"/>
    <w:rsid w:val="0064258C"/>
    <w:rsid w:val="00643AF3"/>
    <w:rsid w:val="00647D04"/>
    <w:rsid w:val="0065197C"/>
    <w:rsid w:val="0065283D"/>
    <w:rsid w:val="00652963"/>
    <w:rsid w:val="00653B6F"/>
    <w:rsid w:val="00653C03"/>
    <w:rsid w:val="006553AE"/>
    <w:rsid w:val="00655D71"/>
    <w:rsid w:val="00656838"/>
    <w:rsid w:val="00657CD3"/>
    <w:rsid w:val="006608BF"/>
    <w:rsid w:val="00660990"/>
    <w:rsid w:val="006625FC"/>
    <w:rsid w:val="00664B5B"/>
    <w:rsid w:val="0066565C"/>
    <w:rsid w:val="00667355"/>
    <w:rsid w:val="00671B81"/>
    <w:rsid w:val="006728FE"/>
    <w:rsid w:val="00673C92"/>
    <w:rsid w:val="00674F09"/>
    <w:rsid w:val="00675DCF"/>
    <w:rsid w:val="00676572"/>
    <w:rsid w:val="0067788B"/>
    <w:rsid w:val="00680379"/>
    <w:rsid w:val="0068073A"/>
    <w:rsid w:val="00680965"/>
    <w:rsid w:val="006817E9"/>
    <w:rsid w:val="006818CD"/>
    <w:rsid w:val="0068429A"/>
    <w:rsid w:val="00685C97"/>
    <w:rsid w:val="00686953"/>
    <w:rsid w:val="00686B75"/>
    <w:rsid w:val="00690246"/>
    <w:rsid w:val="00691333"/>
    <w:rsid w:val="00691784"/>
    <w:rsid w:val="00692DE3"/>
    <w:rsid w:val="0069355B"/>
    <w:rsid w:val="00696AE4"/>
    <w:rsid w:val="00696FD6"/>
    <w:rsid w:val="00697513"/>
    <w:rsid w:val="006A0CBF"/>
    <w:rsid w:val="006A20F3"/>
    <w:rsid w:val="006A2ACA"/>
    <w:rsid w:val="006A2B28"/>
    <w:rsid w:val="006A3274"/>
    <w:rsid w:val="006A367D"/>
    <w:rsid w:val="006A39FB"/>
    <w:rsid w:val="006A3BA1"/>
    <w:rsid w:val="006A47FB"/>
    <w:rsid w:val="006A6856"/>
    <w:rsid w:val="006A6938"/>
    <w:rsid w:val="006A6EE0"/>
    <w:rsid w:val="006B27C2"/>
    <w:rsid w:val="006B461E"/>
    <w:rsid w:val="006B5EF2"/>
    <w:rsid w:val="006B7BF5"/>
    <w:rsid w:val="006C0FF6"/>
    <w:rsid w:val="006C1019"/>
    <w:rsid w:val="006C1855"/>
    <w:rsid w:val="006C2FF9"/>
    <w:rsid w:val="006C4DD3"/>
    <w:rsid w:val="006C4EFF"/>
    <w:rsid w:val="006C5D86"/>
    <w:rsid w:val="006C7105"/>
    <w:rsid w:val="006C7D7E"/>
    <w:rsid w:val="006D0B56"/>
    <w:rsid w:val="006D1083"/>
    <w:rsid w:val="006D1E3B"/>
    <w:rsid w:val="006D3BDE"/>
    <w:rsid w:val="006D3BF2"/>
    <w:rsid w:val="006D402B"/>
    <w:rsid w:val="006D708F"/>
    <w:rsid w:val="006D72B6"/>
    <w:rsid w:val="006D7AFB"/>
    <w:rsid w:val="006E0366"/>
    <w:rsid w:val="006E16F6"/>
    <w:rsid w:val="006E2501"/>
    <w:rsid w:val="006E3578"/>
    <w:rsid w:val="006E4466"/>
    <w:rsid w:val="006E4E7A"/>
    <w:rsid w:val="006E5844"/>
    <w:rsid w:val="006E6977"/>
    <w:rsid w:val="006F03F8"/>
    <w:rsid w:val="006F0AEC"/>
    <w:rsid w:val="006F1627"/>
    <w:rsid w:val="006F16AB"/>
    <w:rsid w:val="006F290E"/>
    <w:rsid w:val="006F4D18"/>
    <w:rsid w:val="006F4D42"/>
    <w:rsid w:val="006F4DA4"/>
    <w:rsid w:val="006F5606"/>
    <w:rsid w:val="006F6594"/>
    <w:rsid w:val="006F7269"/>
    <w:rsid w:val="00700636"/>
    <w:rsid w:val="00701952"/>
    <w:rsid w:val="00702108"/>
    <w:rsid w:val="0070367A"/>
    <w:rsid w:val="00703EF0"/>
    <w:rsid w:val="00704A44"/>
    <w:rsid w:val="00706E6F"/>
    <w:rsid w:val="007071CC"/>
    <w:rsid w:val="00710145"/>
    <w:rsid w:val="00712224"/>
    <w:rsid w:val="007151AA"/>
    <w:rsid w:val="007171C6"/>
    <w:rsid w:val="00720C24"/>
    <w:rsid w:val="007216BE"/>
    <w:rsid w:val="00721E5A"/>
    <w:rsid w:val="007238E3"/>
    <w:rsid w:val="0072533F"/>
    <w:rsid w:val="00725884"/>
    <w:rsid w:val="007262FB"/>
    <w:rsid w:val="00726474"/>
    <w:rsid w:val="00726861"/>
    <w:rsid w:val="0073034D"/>
    <w:rsid w:val="00730967"/>
    <w:rsid w:val="007314FB"/>
    <w:rsid w:val="007319F0"/>
    <w:rsid w:val="00731D9D"/>
    <w:rsid w:val="00732285"/>
    <w:rsid w:val="00732E7F"/>
    <w:rsid w:val="007340E6"/>
    <w:rsid w:val="0073728D"/>
    <w:rsid w:val="007377AA"/>
    <w:rsid w:val="00737E27"/>
    <w:rsid w:val="00740DC8"/>
    <w:rsid w:val="00741279"/>
    <w:rsid w:val="0074191B"/>
    <w:rsid w:val="0074257A"/>
    <w:rsid w:val="007431BA"/>
    <w:rsid w:val="00743A88"/>
    <w:rsid w:val="00744B25"/>
    <w:rsid w:val="00744DD1"/>
    <w:rsid w:val="007453CF"/>
    <w:rsid w:val="0074620A"/>
    <w:rsid w:val="0075082F"/>
    <w:rsid w:val="007508FD"/>
    <w:rsid w:val="00750CC8"/>
    <w:rsid w:val="00751BD3"/>
    <w:rsid w:val="00751F40"/>
    <w:rsid w:val="00753069"/>
    <w:rsid w:val="00753401"/>
    <w:rsid w:val="00753450"/>
    <w:rsid w:val="0075430D"/>
    <w:rsid w:val="00754539"/>
    <w:rsid w:val="00755180"/>
    <w:rsid w:val="0075566D"/>
    <w:rsid w:val="0075571C"/>
    <w:rsid w:val="007558CE"/>
    <w:rsid w:val="007567DB"/>
    <w:rsid w:val="00756B05"/>
    <w:rsid w:val="007571DD"/>
    <w:rsid w:val="00757CCB"/>
    <w:rsid w:val="00757FBF"/>
    <w:rsid w:val="00761049"/>
    <w:rsid w:val="0076120E"/>
    <w:rsid w:val="00761681"/>
    <w:rsid w:val="007619EE"/>
    <w:rsid w:val="007625C7"/>
    <w:rsid w:val="007629DA"/>
    <w:rsid w:val="007632FC"/>
    <w:rsid w:val="00764182"/>
    <w:rsid w:val="007644D1"/>
    <w:rsid w:val="00764AAC"/>
    <w:rsid w:val="0076534F"/>
    <w:rsid w:val="0076553E"/>
    <w:rsid w:val="00765ADB"/>
    <w:rsid w:val="00766796"/>
    <w:rsid w:val="00766AE7"/>
    <w:rsid w:val="00766F57"/>
    <w:rsid w:val="00770041"/>
    <w:rsid w:val="00770946"/>
    <w:rsid w:val="007721AF"/>
    <w:rsid w:val="007740EE"/>
    <w:rsid w:val="007764A3"/>
    <w:rsid w:val="00776889"/>
    <w:rsid w:val="007807F6"/>
    <w:rsid w:val="007852B8"/>
    <w:rsid w:val="00785710"/>
    <w:rsid w:val="007859AD"/>
    <w:rsid w:val="007878A0"/>
    <w:rsid w:val="00787E16"/>
    <w:rsid w:val="00787F14"/>
    <w:rsid w:val="007908B5"/>
    <w:rsid w:val="0079131B"/>
    <w:rsid w:val="0079179B"/>
    <w:rsid w:val="00793A43"/>
    <w:rsid w:val="00793ABA"/>
    <w:rsid w:val="00793CBC"/>
    <w:rsid w:val="00793DA3"/>
    <w:rsid w:val="00793F37"/>
    <w:rsid w:val="00795581"/>
    <w:rsid w:val="007A073E"/>
    <w:rsid w:val="007A314D"/>
    <w:rsid w:val="007A4BC6"/>
    <w:rsid w:val="007A56E0"/>
    <w:rsid w:val="007A58D4"/>
    <w:rsid w:val="007A6315"/>
    <w:rsid w:val="007A6A25"/>
    <w:rsid w:val="007B0650"/>
    <w:rsid w:val="007B11F1"/>
    <w:rsid w:val="007B1FEB"/>
    <w:rsid w:val="007B21A0"/>
    <w:rsid w:val="007B2471"/>
    <w:rsid w:val="007B2580"/>
    <w:rsid w:val="007B3D39"/>
    <w:rsid w:val="007B41B7"/>
    <w:rsid w:val="007B55DF"/>
    <w:rsid w:val="007C07FF"/>
    <w:rsid w:val="007C14D7"/>
    <w:rsid w:val="007C1F89"/>
    <w:rsid w:val="007C25E6"/>
    <w:rsid w:val="007C3B13"/>
    <w:rsid w:val="007C4F87"/>
    <w:rsid w:val="007C5CBF"/>
    <w:rsid w:val="007C5D92"/>
    <w:rsid w:val="007C6B27"/>
    <w:rsid w:val="007C73D9"/>
    <w:rsid w:val="007C7E64"/>
    <w:rsid w:val="007D024D"/>
    <w:rsid w:val="007D0533"/>
    <w:rsid w:val="007D073A"/>
    <w:rsid w:val="007D2819"/>
    <w:rsid w:val="007D4261"/>
    <w:rsid w:val="007D5187"/>
    <w:rsid w:val="007D564A"/>
    <w:rsid w:val="007D72EE"/>
    <w:rsid w:val="007E173C"/>
    <w:rsid w:val="007E2DA0"/>
    <w:rsid w:val="007E33A1"/>
    <w:rsid w:val="007E5436"/>
    <w:rsid w:val="007E5F95"/>
    <w:rsid w:val="007E632F"/>
    <w:rsid w:val="007E6CDD"/>
    <w:rsid w:val="007F0C2F"/>
    <w:rsid w:val="007F12CD"/>
    <w:rsid w:val="007F16C2"/>
    <w:rsid w:val="007F54D2"/>
    <w:rsid w:val="007F6CF7"/>
    <w:rsid w:val="007F7347"/>
    <w:rsid w:val="00800259"/>
    <w:rsid w:val="0080046D"/>
    <w:rsid w:val="008010C1"/>
    <w:rsid w:val="00801148"/>
    <w:rsid w:val="008020FB"/>
    <w:rsid w:val="0080215C"/>
    <w:rsid w:val="0080313B"/>
    <w:rsid w:val="008032C1"/>
    <w:rsid w:val="00803AEC"/>
    <w:rsid w:val="00804071"/>
    <w:rsid w:val="00804109"/>
    <w:rsid w:val="00804391"/>
    <w:rsid w:val="00804DDB"/>
    <w:rsid w:val="00804F2B"/>
    <w:rsid w:val="00805FAA"/>
    <w:rsid w:val="00806598"/>
    <w:rsid w:val="00807447"/>
    <w:rsid w:val="00810167"/>
    <w:rsid w:val="0081041A"/>
    <w:rsid w:val="00810477"/>
    <w:rsid w:val="00811F51"/>
    <w:rsid w:val="00815D2B"/>
    <w:rsid w:val="0081676B"/>
    <w:rsid w:val="008168FE"/>
    <w:rsid w:val="008208B4"/>
    <w:rsid w:val="00821007"/>
    <w:rsid w:val="00822734"/>
    <w:rsid w:val="00825B09"/>
    <w:rsid w:val="00825BF1"/>
    <w:rsid w:val="00825F37"/>
    <w:rsid w:val="008267D9"/>
    <w:rsid w:val="00831484"/>
    <w:rsid w:val="00831949"/>
    <w:rsid w:val="00832341"/>
    <w:rsid w:val="00833F44"/>
    <w:rsid w:val="0083408A"/>
    <w:rsid w:val="0083443D"/>
    <w:rsid w:val="00834AC3"/>
    <w:rsid w:val="0083523F"/>
    <w:rsid w:val="008355CB"/>
    <w:rsid w:val="00835FF8"/>
    <w:rsid w:val="00836790"/>
    <w:rsid w:val="00837C0B"/>
    <w:rsid w:val="00841596"/>
    <w:rsid w:val="00841CD9"/>
    <w:rsid w:val="00841E0A"/>
    <w:rsid w:val="00842839"/>
    <w:rsid w:val="00842883"/>
    <w:rsid w:val="00844622"/>
    <w:rsid w:val="00844647"/>
    <w:rsid w:val="00845F19"/>
    <w:rsid w:val="00847F77"/>
    <w:rsid w:val="0085062A"/>
    <w:rsid w:val="0085224E"/>
    <w:rsid w:val="008539AF"/>
    <w:rsid w:val="008540CD"/>
    <w:rsid w:val="008542E8"/>
    <w:rsid w:val="00855393"/>
    <w:rsid w:val="00855F7E"/>
    <w:rsid w:val="00856A2F"/>
    <w:rsid w:val="008571AC"/>
    <w:rsid w:val="008573DB"/>
    <w:rsid w:val="00863131"/>
    <w:rsid w:val="00865AE6"/>
    <w:rsid w:val="00865B79"/>
    <w:rsid w:val="00865DA4"/>
    <w:rsid w:val="00867BA3"/>
    <w:rsid w:val="00867CEE"/>
    <w:rsid w:val="00867E60"/>
    <w:rsid w:val="008704B8"/>
    <w:rsid w:val="008712EF"/>
    <w:rsid w:val="008716CF"/>
    <w:rsid w:val="00872104"/>
    <w:rsid w:val="008742E1"/>
    <w:rsid w:val="008808B2"/>
    <w:rsid w:val="00880F13"/>
    <w:rsid w:val="00881541"/>
    <w:rsid w:val="0088189E"/>
    <w:rsid w:val="00882787"/>
    <w:rsid w:val="00882BCD"/>
    <w:rsid w:val="00883406"/>
    <w:rsid w:val="00887DFE"/>
    <w:rsid w:val="008904A8"/>
    <w:rsid w:val="00890676"/>
    <w:rsid w:val="008910F8"/>
    <w:rsid w:val="00891426"/>
    <w:rsid w:val="0089148E"/>
    <w:rsid w:val="00892E8E"/>
    <w:rsid w:val="0089689E"/>
    <w:rsid w:val="00896CB5"/>
    <w:rsid w:val="008974E8"/>
    <w:rsid w:val="008A379A"/>
    <w:rsid w:val="008A5AC3"/>
    <w:rsid w:val="008A6526"/>
    <w:rsid w:val="008A7561"/>
    <w:rsid w:val="008B07ED"/>
    <w:rsid w:val="008B1089"/>
    <w:rsid w:val="008B115A"/>
    <w:rsid w:val="008B1C42"/>
    <w:rsid w:val="008B2E4C"/>
    <w:rsid w:val="008B3729"/>
    <w:rsid w:val="008B6496"/>
    <w:rsid w:val="008B6C72"/>
    <w:rsid w:val="008B7371"/>
    <w:rsid w:val="008C1513"/>
    <w:rsid w:val="008C1884"/>
    <w:rsid w:val="008C3857"/>
    <w:rsid w:val="008C5853"/>
    <w:rsid w:val="008C5B6E"/>
    <w:rsid w:val="008C6135"/>
    <w:rsid w:val="008C6708"/>
    <w:rsid w:val="008D044A"/>
    <w:rsid w:val="008D0C5A"/>
    <w:rsid w:val="008D0F4E"/>
    <w:rsid w:val="008D1C7F"/>
    <w:rsid w:val="008D42B7"/>
    <w:rsid w:val="008D443C"/>
    <w:rsid w:val="008D48DD"/>
    <w:rsid w:val="008D5006"/>
    <w:rsid w:val="008D6733"/>
    <w:rsid w:val="008D6EFA"/>
    <w:rsid w:val="008D7788"/>
    <w:rsid w:val="008D779A"/>
    <w:rsid w:val="008E093F"/>
    <w:rsid w:val="008E0F79"/>
    <w:rsid w:val="008E1100"/>
    <w:rsid w:val="008E1253"/>
    <w:rsid w:val="008E276D"/>
    <w:rsid w:val="008E2ABA"/>
    <w:rsid w:val="008E402A"/>
    <w:rsid w:val="008E40CB"/>
    <w:rsid w:val="008E53EC"/>
    <w:rsid w:val="008E6C0C"/>
    <w:rsid w:val="008F13D8"/>
    <w:rsid w:val="008F17ED"/>
    <w:rsid w:val="008F2252"/>
    <w:rsid w:val="008F29D0"/>
    <w:rsid w:val="008F4382"/>
    <w:rsid w:val="008F5F72"/>
    <w:rsid w:val="008F602C"/>
    <w:rsid w:val="008F7D5C"/>
    <w:rsid w:val="00900464"/>
    <w:rsid w:val="009010C9"/>
    <w:rsid w:val="0090341E"/>
    <w:rsid w:val="00903E05"/>
    <w:rsid w:val="00905F86"/>
    <w:rsid w:val="0090665B"/>
    <w:rsid w:val="009105DA"/>
    <w:rsid w:val="00910EA1"/>
    <w:rsid w:val="009128FF"/>
    <w:rsid w:val="009208A5"/>
    <w:rsid w:val="00920913"/>
    <w:rsid w:val="00920A22"/>
    <w:rsid w:val="0092124E"/>
    <w:rsid w:val="00921703"/>
    <w:rsid w:val="00922747"/>
    <w:rsid w:val="00922C58"/>
    <w:rsid w:val="00925073"/>
    <w:rsid w:val="009267EB"/>
    <w:rsid w:val="00926E1D"/>
    <w:rsid w:val="009276B7"/>
    <w:rsid w:val="00930748"/>
    <w:rsid w:val="00930E8A"/>
    <w:rsid w:val="0093159F"/>
    <w:rsid w:val="009326DE"/>
    <w:rsid w:val="00932DBB"/>
    <w:rsid w:val="00933060"/>
    <w:rsid w:val="009336F4"/>
    <w:rsid w:val="00933E65"/>
    <w:rsid w:val="00934030"/>
    <w:rsid w:val="0093494F"/>
    <w:rsid w:val="00935429"/>
    <w:rsid w:val="00935FB1"/>
    <w:rsid w:val="00936249"/>
    <w:rsid w:val="009363AD"/>
    <w:rsid w:val="00937C7A"/>
    <w:rsid w:val="00940AA7"/>
    <w:rsid w:val="0094272F"/>
    <w:rsid w:val="009429ED"/>
    <w:rsid w:val="00943E8E"/>
    <w:rsid w:val="00944BF1"/>
    <w:rsid w:val="00944CC9"/>
    <w:rsid w:val="00944E09"/>
    <w:rsid w:val="009451D9"/>
    <w:rsid w:val="00945BAA"/>
    <w:rsid w:val="00945C9F"/>
    <w:rsid w:val="00947158"/>
    <w:rsid w:val="009513BB"/>
    <w:rsid w:val="009513BE"/>
    <w:rsid w:val="00951850"/>
    <w:rsid w:val="00951A93"/>
    <w:rsid w:val="00955123"/>
    <w:rsid w:val="00955583"/>
    <w:rsid w:val="00955693"/>
    <w:rsid w:val="009556B0"/>
    <w:rsid w:val="00956023"/>
    <w:rsid w:val="00957F3B"/>
    <w:rsid w:val="0096038F"/>
    <w:rsid w:val="009606BF"/>
    <w:rsid w:val="0096074C"/>
    <w:rsid w:val="00960A6F"/>
    <w:rsid w:val="00962CA6"/>
    <w:rsid w:val="00962EE6"/>
    <w:rsid w:val="00965D81"/>
    <w:rsid w:val="00967011"/>
    <w:rsid w:val="00967B5E"/>
    <w:rsid w:val="00967D94"/>
    <w:rsid w:val="00970214"/>
    <w:rsid w:val="0097025C"/>
    <w:rsid w:val="00970B08"/>
    <w:rsid w:val="00970EA0"/>
    <w:rsid w:val="00972F17"/>
    <w:rsid w:val="0097422E"/>
    <w:rsid w:val="00977546"/>
    <w:rsid w:val="009800B6"/>
    <w:rsid w:val="00980C11"/>
    <w:rsid w:val="009813FD"/>
    <w:rsid w:val="00981EF1"/>
    <w:rsid w:val="00982E28"/>
    <w:rsid w:val="00984EC6"/>
    <w:rsid w:val="009853E2"/>
    <w:rsid w:val="00986E7B"/>
    <w:rsid w:val="00990096"/>
    <w:rsid w:val="00992D3D"/>
    <w:rsid w:val="00993302"/>
    <w:rsid w:val="00995502"/>
    <w:rsid w:val="00995C2C"/>
    <w:rsid w:val="00995E1C"/>
    <w:rsid w:val="00996425"/>
    <w:rsid w:val="00996B27"/>
    <w:rsid w:val="00997EEB"/>
    <w:rsid w:val="009A277D"/>
    <w:rsid w:val="009A28B5"/>
    <w:rsid w:val="009A297A"/>
    <w:rsid w:val="009A3E6F"/>
    <w:rsid w:val="009A41B5"/>
    <w:rsid w:val="009A4735"/>
    <w:rsid w:val="009A4853"/>
    <w:rsid w:val="009A4B2F"/>
    <w:rsid w:val="009A4D59"/>
    <w:rsid w:val="009A580D"/>
    <w:rsid w:val="009A6971"/>
    <w:rsid w:val="009A6A90"/>
    <w:rsid w:val="009B1683"/>
    <w:rsid w:val="009B2161"/>
    <w:rsid w:val="009B24EA"/>
    <w:rsid w:val="009B2A6A"/>
    <w:rsid w:val="009B3CD9"/>
    <w:rsid w:val="009B50CA"/>
    <w:rsid w:val="009B7ED5"/>
    <w:rsid w:val="009C22AF"/>
    <w:rsid w:val="009C2C7E"/>
    <w:rsid w:val="009C2E4B"/>
    <w:rsid w:val="009C38CD"/>
    <w:rsid w:val="009C42F1"/>
    <w:rsid w:val="009C5BF3"/>
    <w:rsid w:val="009D0739"/>
    <w:rsid w:val="009D0C5F"/>
    <w:rsid w:val="009D1868"/>
    <w:rsid w:val="009D289D"/>
    <w:rsid w:val="009D42AA"/>
    <w:rsid w:val="009D490C"/>
    <w:rsid w:val="009D67C9"/>
    <w:rsid w:val="009D6AFF"/>
    <w:rsid w:val="009D7316"/>
    <w:rsid w:val="009D7480"/>
    <w:rsid w:val="009E0291"/>
    <w:rsid w:val="009E0CCF"/>
    <w:rsid w:val="009E14EA"/>
    <w:rsid w:val="009E1D16"/>
    <w:rsid w:val="009E2C77"/>
    <w:rsid w:val="009E331D"/>
    <w:rsid w:val="009E3665"/>
    <w:rsid w:val="009E4795"/>
    <w:rsid w:val="009E50A0"/>
    <w:rsid w:val="009E62A6"/>
    <w:rsid w:val="009E68F2"/>
    <w:rsid w:val="009F146A"/>
    <w:rsid w:val="009F2AAA"/>
    <w:rsid w:val="009F2C2F"/>
    <w:rsid w:val="009F3439"/>
    <w:rsid w:val="009F5977"/>
    <w:rsid w:val="009F6BB6"/>
    <w:rsid w:val="009F77B0"/>
    <w:rsid w:val="009F7ED7"/>
    <w:rsid w:val="00A00FAF"/>
    <w:rsid w:val="00A01339"/>
    <w:rsid w:val="00A0260C"/>
    <w:rsid w:val="00A0297A"/>
    <w:rsid w:val="00A02CB6"/>
    <w:rsid w:val="00A042CE"/>
    <w:rsid w:val="00A044B0"/>
    <w:rsid w:val="00A0602C"/>
    <w:rsid w:val="00A063CD"/>
    <w:rsid w:val="00A07743"/>
    <w:rsid w:val="00A10814"/>
    <w:rsid w:val="00A10937"/>
    <w:rsid w:val="00A112FC"/>
    <w:rsid w:val="00A12F71"/>
    <w:rsid w:val="00A134AF"/>
    <w:rsid w:val="00A13578"/>
    <w:rsid w:val="00A14405"/>
    <w:rsid w:val="00A159A2"/>
    <w:rsid w:val="00A16181"/>
    <w:rsid w:val="00A16323"/>
    <w:rsid w:val="00A1698F"/>
    <w:rsid w:val="00A17D06"/>
    <w:rsid w:val="00A17DEE"/>
    <w:rsid w:val="00A20329"/>
    <w:rsid w:val="00A2089F"/>
    <w:rsid w:val="00A210A2"/>
    <w:rsid w:val="00A22180"/>
    <w:rsid w:val="00A22188"/>
    <w:rsid w:val="00A22F37"/>
    <w:rsid w:val="00A23446"/>
    <w:rsid w:val="00A2420D"/>
    <w:rsid w:val="00A25C01"/>
    <w:rsid w:val="00A2627A"/>
    <w:rsid w:val="00A2627B"/>
    <w:rsid w:val="00A26489"/>
    <w:rsid w:val="00A26B1D"/>
    <w:rsid w:val="00A2736A"/>
    <w:rsid w:val="00A27BB4"/>
    <w:rsid w:val="00A3182B"/>
    <w:rsid w:val="00A31EC9"/>
    <w:rsid w:val="00A32C54"/>
    <w:rsid w:val="00A35EB8"/>
    <w:rsid w:val="00A36BBA"/>
    <w:rsid w:val="00A37FFA"/>
    <w:rsid w:val="00A4041F"/>
    <w:rsid w:val="00A408B3"/>
    <w:rsid w:val="00A40F52"/>
    <w:rsid w:val="00A43DE4"/>
    <w:rsid w:val="00A44630"/>
    <w:rsid w:val="00A456C5"/>
    <w:rsid w:val="00A46BE7"/>
    <w:rsid w:val="00A477E1"/>
    <w:rsid w:val="00A51DF2"/>
    <w:rsid w:val="00A5512B"/>
    <w:rsid w:val="00A5619C"/>
    <w:rsid w:val="00A573B9"/>
    <w:rsid w:val="00A62523"/>
    <w:rsid w:val="00A63496"/>
    <w:rsid w:val="00A64F3E"/>
    <w:rsid w:val="00A650B7"/>
    <w:rsid w:val="00A66CBB"/>
    <w:rsid w:val="00A677F6"/>
    <w:rsid w:val="00A73483"/>
    <w:rsid w:val="00A756FE"/>
    <w:rsid w:val="00A760DC"/>
    <w:rsid w:val="00A779AB"/>
    <w:rsid w:val="00A80753"/>
    <w:rsid w:val="00A82D59"/>
    <w:rsid w:val="00A8325F"/>
    <w:rsid w:val="00A836CE"/>
    <w:rsid w:val="00A838E9"/>
    <w:rsid w:val="00A84F03"/>
    <w:rsid w:val="00A850BC"/>
    <w:rsid w:val="00A865CD"/>
    <w:rsid w:val="00A86D3C"/>
    <w:rsid w:val="00A87039"/>
    <w:rsid w:val="00A8779E"/>
    <w:rsid w:val="00A90FA3"/>
    <w:rsid w:val="00A93174"/>
    <w:rsid w:val="00A93AB8"/>
    <w:rsid w:val="00A945F4"/>
    <w:rsid w:val="00A94C56"/>
    <w:rsid w:val="00A96D0C"/>
    <w:rsid w:val="00A97294"/>
    <w:rsid w:val="00AA0B50"/>
    <w:rsid w:val="00AA28CA"/>
    <w:rsid w:val="00AA348E"/>
    <w:rsid w:val="00AA3A9B"/>
    <w:rsid w:val="00AA68D0"/>
    <w:rsid w:val="00AB015C"/>
    <w:rsid w:val="00AB06B5"/>
    <w:rsid w:val="00AB26FF"/>
    <w:rsid w:val="00AB2707"/>
    <w:rsid w:val="00AB40F9"/>
    <w:rsid w:val="00AB4454"/>
    <w:rsid w:val="00AB4727"/>
    <w:rsid w:val="00AB4961"/>
    <w:rsid w:val="00AB74BA"/>
    <w:rsid w:val="00AB7A91"/>
    <w:rsid w:val="00AB7D04"/>
    <w:rsid w:val="00AC05A0"/>
    <w:rsid w:val="00AC0CF4"/>
    <w:rsid w:val="00AC1DEC"/>
    <w:rsid w:val="00AC2676"/>
    <w:rsid w:val="00AC36CE"/>
    <w:rsid w:val="00AC3974"/>
    <w:rsid w:val="00AC4C42"/>
    <w:rsid w:val="00AD0DE1"/>
    <w:rsid w:val="00AD147D"/>
    <w:rsid w:val="00AD260A"/>
    <w:rsid w:val="00AD3BFE"/>
    <w:rsid w:val="00AD3E39"/>
    <w:rsid w:val="00AD4BE7"/>
    <w:rsid w:val="00AD514F"/>
    <w:rsid w:val="00AD58C8"/>
    <w:rsid w:val="00AD6374"/>
    <w:rsid w:val="00AD6419"/>
    <w:rsid w:val="00AE0500"/>
    <w:rsid w:val="00AE0EC4"/>
    <w:rsid w:val="00AE2FFE"/>
    <w:rsid w:val="00AE37F8"/>
    <w:rsid w:val="00AE4540"/>
    <w:rsid w:val="00AE553F"/>
    <w:rsid w:val="00AF2903"/>
    <w:rsid w:val="00AF432A"/>
    <w:rsid w:val="00AF4A16"/>
    <w:rsid w:val="00AF4DCF"/>
    <w:rsid w:val="00AF5B00"/>
    <w:rsid w:val="00AF5D86"/>
    <w:rsid w:val="00AF7246"/>
    <w:rsid w:val="00AF7464"/>
    <w:rsid w:val="00B0008D"/>
    <w:rsid w:val="00B02D38"/>
    <w:rsid w:val="00B03A3B"/>
    <w:rsid w:val="00B03EE5"/>
    <w:rsid w:val="00B04130"/>
    <w:rsid w:val="00B04186"/>
    <w:rsid w:val="00B0426F"/>
    <w:rsid w:val="00B04FB7"/>
    <w:rsid w:val="00B04FB8"/>
    <w:rsid w:val="00B05526"/>
    <w:rsid w:val="00B0586F"/>
    <w:rsid w:val="00B05920"/>
    <w:rsid w:val="00B05C0E"/>
    <w:rsid w:val="00B11E2D"/>
    <w:rsid w:val="00B122B4"/>
    <w:rsid w:val="00B12924"/>
    <w:rsid w:val="00B12D6F"/>
    <w:rsid w:val="00B13C2E"/>
    <w:rsid w:val="00B13CF5"/>
    <w:rsid w:val="00B149A6"/>
    <w:rsid w:val="00B14B32"/>
    <w:rsid w:val="00B14F4E"/>
    <w:rsid w:val="00B17865"/>
    <w:rsid w:val="00B17B54"/>
    <w:rsid w:val="00B20191"/>
    <w:rsid w:val="00B201CF"/>
    <w:rsid w:val="00B21859"/>
    <w:rsid w:val="00B22B58"/>
    <w:rsid w:val="00B22DDA"/>
    <w:rsid w:val="00B23596"/>
    <w:rsid w:val="00B23890"/>
    <w:rsid w:val="00B24002"/>
    <w:rsid w:val="00B25820"/>
    <w:rsid w:val="00B25BCE"/>
    <w:rsid w:val="00B267C1"/>
    <w:rsid w:val="00B27A1B"/>
    <w:rsid w:val="00B27D60"/>
    <w:rsid w:val="00B30107"/>
    <w:rsid w:val="00B3056F"/>
    <w:rsid w:val="00B30726"/>
    <w:rsid w:val="00B330A8"/>
    <w:rsid w:val="00B3389B"/>
    <w:rsid w:val="00B35AF4"/>
    <w:rsid w:val="00B37AC9"/>
    <w:rsid w:val="00B403A7"/>
    <w:rsid w:val="00B41343"/>
    <w:rsid w:val="00B419A8"/>
    <w:rsid w:val="00B42FF2"/>
    <w:rsid w:val="00B43413"/>
    <w:rsid w:val="00B43FA4"/>
    <w:rsid w:val="00B44086"/>
    <w:rsid w:val="00B44CA5"/>
    <w:rsid w:val="00B45168"/>
    <w:rsid w:val="00B4577F"/>
    <w:rsid w:val="00B45FD2"/>
    <w:rsid w:val="00B47BD3"/>
    <w:rsid w:val="00B50D7E"/>
    <w:rsid w:val="00B50EE4"/>
    <w:rsid w:val="00B513CF"/>
    <w:rsid w:val="00B514D0"/>
    <w:rsid w:val="00B54B0B"/>
    <w:rsid w:val="00B57694"/>
    <w:rsid w:val="00B6061A"/>
    <w:rsid w:val="00B613D2"/>
    <w:rsid w:val="00B61B91"/>
    <w:rsid w:val="00B61D37"/>
    <w:rsid w:val="00B61DBE"/>
    <w:rsid w:val="00B62DB7"/>
    <w:rsid w:val="00B64778"/>
    <w:rsid w:val="00B64CFC"/>
    <w:rsid w:val="00B6564C"/>
    <w:rsid w:val="00B65F45"/>
    <w:rsid w:val="00B67260"/>
    <w:rsid w:val="00B67CC9"/>
    <w:rsid w:val="00B70F17"/>
    <w:rsid w:val="00B721AC"/>
    <w:rsid w:val="00B72C87"/>
    <w:rsid w:val="00B74387"/>
    <w:rsid w:val="00B74F9A"/>
    <w:rsid w:val="00B75108"/>
    <w:rsid w:val="00B7696C"/>
    <w:rsid w:val="00B77A2D"/>
    <w:rsid w:val="00B77B3E"/>
    <w:rsid w:val="00B81799"/>
    <w:rsid w:val="00B8246D"/>
    <w:rsid w:val="00B83655"/>
    <w:rsid w:val="00B8404B"/>
    <w:rsid w:val="00B84F40"/>
    <w:rsid w:val="00B863C3"/>
    <w:rsid w:val="00B90E87"/>
    <w:rsid w:val="00B91D38"/>
    <w:rsid w:val="00B93EB6"/>
    <w:rsid w:val="00B9689D"/>
    <w:rsid w:val="00B97A62"/>
    <w:rsid w:val="00BA01F5"/>
    <w:rsid w:val="00BA043B"/>
    <w:rsid w:val="00BA05AC"/>
    <w:rsid w:val="00BA16CC"/>
    <w:rsid w:val="00BA24B4"/>
    <w:rsid w:val="00BA2A1D"/>
    <w:rsid w:val="00BA386E"/>
    <w:rsid w:val="00BA5AE7"/>
    <w:rsid w:val="00BA78A0"/>
    <w:rsid w:val="00BA7FBA"/>
    <w:rsid w:val="00BB0053"/>
    <w:rsid w:val="00BB0156"/>
    <w:rsid w:val="00BB0F56"/>
    <w:rsid w:val="00BB11B6"/>
    <w:rsid w:val="00BB255F"/>
    <w:rsid w:val="00BB2EAB"/>
    <w:rsid w:val="00BB3AF1"/>
    <w:rsid w:val="00BB3DEE"/>
    <w:rsid w:val="00BB419A"/>
    <w:rsid w:val="00BB4CAA"/>
    <w:rsid w:val="00BB4D9B"/>
    <w:rsid w:val="00BB5DD1"/>
    <w:rsid w:val="00BB6D5F"/>
    <w:rsid w:val="00BB7329"/>
    <w:rsid w:val="00BB765B"/>
    <w:rsid w:val="00BB7D98"/>
    <w:rsid w:val="00BC019C"/>
    <w:rsid w:val="00BC0DC1"/>
    <w:rsid w:val="00BC103E"/>
    <w:rsid w:val="00BC26E7"/>
    <w:rsid w:val="00BC325F"/>
    <w:rsid w:val="00BC3D19"/>
    <w:rsid w:val="00BC42A9"/>
    <w:rsid w:val="00BC4300"/>
    <w:rsid w:val="00BC7C58"/>
    <w:rsid w:val="00BC7FD3"/>
    <w:rsid w:val="00BD081F"/>
    <w:rsid w:val="00BD08D8"/>
    <w:rsid w:val="00BD09CC"/>
    <w:rsid w:val="00BD0CA9"/>
    <w:rsid w:val="00BD2386"/>
    <w:rsid w:val="00BD2524"/>
    <w:rsid w:val="00BD3147"/>
    <w:rsid w:val="00BD7159"/>
    <w:rsid w:val="00BD79AC"/>
    <w:rsid w:val="00BD7A1D"/>
    <w:rsid w:val="00BE0256"/>
    <w:rsid w:val="00BE0939"/>
    <w:rsid w:val="00BE0F41"/>
    <w:rsid w:val="00BE169F"/>
    <w:rsid w:val="00BE1F01"/>
    <w:rsid w:val="00BE6724"/>
    <w:rsid w:val="00BF014E"/>
    <w:rsid w:val="00BF0F72"/>
    <w:rsid w:val="00BF23A7"/>
    <w:rsid w:val="00BF2B98"/>
    <w:rsid w:val="00BF4211"/>
    <w:rsid w:val="00BF4592"/>
    <w:rsid w:val="00BF4C07"/>
    <w:rsid w:val="00BF7277"/>
    <w:rsid w:val="00C00471"/>
    <w:rsid w:val="00C0150A"/>
    <w:rsid w:val="00C032F1"/>
    <w:rsid w:val="00C047F8"/>
    <w:rsid w:val="00C055A3"/>
    <w:rsid w:val="00C06452"/>
    <w:rsid w:val="00C06D37"/>
    <w:rsid w:val="00C10D00"/>
    <w:rsid w:val="00C11296"/>
    <w:rsid w:val="00C11FF6"/>
    <w:rsid w:val="00C126AB"/>
    <w:rsid w:val="00C17A98"/>
    <w:rsid w:val="00C203A8"/>
    <w:rsid w:val="00C212FF"/>
    <w:rsid w:val="00C215AB"/>
    <w:rsid w:val="00C22A99"/>
    <w:rsid w:val="00C230F5"/>
    <w:rsid w:val="00C244FE"/>
    <w:rsid w:val="00C24991"/>
    <w:rsid w:val="00C24F5A"/>
    <w:rsid w:val="00C253B2"/>
    <w:rsid w:val="00C30664"/>
    <w:rsid w:val="00C30E09"/>
    <w:rsid w:val="00C31195"/>
    <w:rsid w:val="00C315FC"/>
    <w:rsid w:val="00C317F4"/>
    <w:rsid w:val="00C32B7A"/>
    <w:rsid w:val="00C3325D"/>
    <w:rsid w:val="00C335DF"/>
    <w:rsid w:val="00C33F6A"/>
    <w:rsid w:val="00C3589D"/>
    <w:rsid w:val="00C42A45"/>
    <w:rsid w:val="00C43A1A"/>
    <w:rsid w:val="00C43D90"/>
    <w:rsid w:val="00C45176"/>
    <w:rsid w:val="00C456BA"/>
    <w:rsid w:val="00C45AF5"/>
    <w:rsid w:val="00C46208"/>
    <w:rsid w:val="00C46481"/>
    <w:rsid w:val="00C503EB"/>
    <w:rsid w:val="00C50738"/>
    <w:rsid w:val="00C50A6C"/>
    <w:rsid w:val="00C5199A"/>
    <w:rsid w:val="00C53FAE"/>
    <w:rsid w:val="00C5700C"/>
    <w:rsid w:val="00C60C91"/>
    <w:rsid w:val="00C61293"/>
    <w:rsid w:val="00C61EE4"/>
    <w:rsid w:val="00C6259D"/>
    <w:rsid w:val="00C635E2"/>
    <w:rsid w:val="00C64164"/>
    <w:rsid w:val="00C64498"/>
    <w:rsid w:val="00C64C9A"/>
    <w:rsid w:val="00C66081"/>
    <w:rsid w:val="00C703B0"/>
    <w:rsid w:val="00C71408"/>
    <w:rsid w:val="00C714EB"/>
    <w:rsid w:val="00C715FE"/>
    <w:rsid w:val="00C717DA"/>
    <w:rsid w:val="00C72005"/>
    <w:rsid w:val="00C733A0"/>
    <w:rsid w:val="00C73F69"/>
    <w:rsid w:val="00C75128"/>
    <w:rsid w:val="00C75152"/>
    <w:rsid w:val="00C760B5"/>
    <w:rsid w:val="00C766BB"/>
    <w:rsid w:val="00C82477"/>
    <w:rsid w:val="00C830F9"/>
    <w:rsid w:val="00C83ACD"/>
    <w:rsid w:val="00C846D8"/>
    <w:rsid w:val="00C86367"/>
    <w:rsid w:val="00C86FBC"/>
    <w:rsid w:val="00C904A2"/>
    <w:rsid w:val="00C91474"/>
    <w:rsid w:val="00C919B4"/>
    <w:rsid w:val="00C92662"/>
    <w:rsid w:val="00C93EAB"/>
    <w:rsid w:val="00C95EA8"/>
    <w:rsid w:val="00C95F33"/>
    <w:rsid w:val="00C9692A"/>
    <w:rsid w:val="00C96F3D"/>
    <w:rsid w:val="00C9705B"/>
    <w:rsid w:val="00CA1A37"/>
    <w:rsid w:val="00CA64D6"/>
    <w:rsid w:val="00CA684D"/>
    <w:rsid w:val="00CA6F35"/>
    <w:rsid w:val="00CA7BDA"/>
    <w:rsid w:val="00CB1926"/>
    <w:rsid w:val="00CB42A2"/>
    <w:rsid w:val="00CB5770"/>
    <w:rsid w:val="00CB5809"/>
    <w:rsid w:val="00CB5FA0"/>
    <w:rsid w:val="00CB6564"/>
    <w:rsid w:val="00CB739C"/>
    <w:rsid w:val="00CC08AD"/>
    <w:rsid w:val="00CC1D14"/>
    <w:rsid w:val="00CC3082"/>
    <w:rsid w:val="00CC400B"/>
    <w:rsid w:val="00CC4134"/>
    <w:rsid w:val="00CC41F1"/>
    <w:rsid w:val="00CC4748"/>
    <w:rsid w:val="00CC4E87"/>
    <w:rsid w:val="00CC53D9"/>
    <w:rsid w:val="00CC581E"/>
    <w:rsid w:val="00CC6E82"/>
    <w:rsid w:val="00CD4B50"/>
    <w:rsid w:val="00CD55C3"/>
    <w:rsid w:val="00CD6213"/>
    <w:rsid w:val="00CE1432"/>
    <w:rsid w:val="00CE19F9"/>
    <w:rsid w:val="00CE1CE8"/>
    <w:rsid w:val="00CE3678"/>
    <w:rsid w:val="00CE4259"/>
    <w:rsid w:val="00CE4A60"/>
    <w:rsid w:val="00CE5609"/>
    <w:rsid w:val="00CF0A34"/>
    <w:rsid w:val="00CF1367"/>
    <w:rsid w:val="00CF13C0"/>
    <w:rsid w:val="00CF20F9"/>
    <w:rsid w:val="00CF264F"/>
    <w:rsid w:val="00CF4098"/>
    <w:rsid w:val="00CF426F"/>
    <w:rsid w:val="00CF77F1"/>
    <w:rsid w:val="00CF7BE8"/>
    <w:rsid w:val="00D006A7"/>
    <w:rsid w:val="00D007A1"/>
    <w:rsid w:val="00D01A29"/>
    <w:rsid w:val="00D01BE8"/>
    <w:rsid w:val="00D0309C"/>
    <w:rsid w:val="00D03859"/>
    <w:rsid w:val="00D042F3"/>
    <w:rsid w:val="00D051AF"/>
    <w:rsid w:val="00D0747F"/>
    <w:rsid w:val="00D10155"/>
    <w:rsid w:val="00D107FF"/>
    <w:rsid w:val="00D10908"/>
    <w:rsid w:val="00D10CB9"/>
    <w:rsid w:val="00D11AA6"/>
    <w:rsid w:val="00D11B6F"/>
    <w:rsid w:val="00D120EE"/>
    <w:rsid w:val="00D149CB"/>
    <w:rsid w:val="00D16692"/>
    <w:rsid w:val="00D16A3B"/>
    <w:rsid w:val="00D205AD"/>
    <w:rsid w:val="00D20704"/>
    <w:rsid w:val="00D21C1C"/>
    <w:rsid w:val="00D22306"/>
    <w:rsid w:val="00D2231A"/>
    <w:rsid w:val="00D224ED"/>
    <w:rsid w:val="00D25274"/>
    <w:rsid w:val="00D25B17"/>
    <w:rsid w:val="00D25BD9"/>
    <w:rsid w:val="00D30706"/>
    <w:rsid w:val="00D31BF3"/>
    <w:rsid w:val="00D324BF"/>
    <w:rsid w:val="00D3252D"/>
    <w:rsid w:val="00D33593"/>
    <w:rsid w:val="00D34152"/>
    <w:rsid w:val="00D348E6"/>
    <w:rsid w:val="00D34D82"/>
    <w:rsid w:val="00D36575"/>
    <w:rsid w:val="00D372C4"/>
    <w:rsid w:val="00D41092"/>
    <w:rsid w:val="00D417AD"/>
    <w:rsid w:val="00D43254"/>
    <w:rsid w:val="00D43A6C"/>
    <w:rsid w:val="00D43CC9"/>
    <w:rsid w:val="00D46B04"/>
    <w:rsid w:val="00D46D0E"/>
    <w:rsid w:val="00D46ED2"/>
    <w:rsid w:val="00D47233"/>
    <w:rsid w:val="00D47B40"/>
    <w:rsid w:val="00D5158D"/>
    <w:rsid w:val="00D51A08"/>
    <w:rsid w:val="00D51B2D"/>
    <w:rsid w:val="00D5224F"/>
    <w:rsid w:val="00D528BE"/>
    <w:rsid w:val="00D52C8D"/>
    <w:rsid w:val="00D54A86"/>
    <w:rsid w:val="00D5586F"/>
    <w:rsid w:val="00D56557"/>
    <w:rsid w:val="00D56ED5"/>
    <w:rsid w:val="00D57B05"/>
    <w:rsid w:val="00D607FE"/>
    <w:rsid w:val="00D61B6B"/>
    <w:rsid w:val="00D6445E"/>
    <w:rsid w:val="00D64C6C"/>
    <w:rsid w:val="00D65D18"/>
    <w:rsid w:val="00D6620E"/>
    <w:rsid w:val="00D71F3A"/>
    <w:rsid w:val="00D73D4F"/>
    <w:rsid w:val="00D742F8"/>
    <w:rsid w:val="00D76C65"/>
    <w:rsid w:val="00D80634"/>
    <w:rsid w:val="00D806BD"/>
    <w:rsid w:val="00D8424D"/>
    <w:rsid w:val="00D8592E"/>
    <w:rsid w:val="00D86567"/>
    <w:rsid w:val="00D8674C"/>
    <w:rsid w:val="00D8796F"/>
    <w:rsid w:val="00D904C6"/>
    <w:rsid w:val="00D90CFA"/>
    <w:rsid w:val="00D91E0A"/>
    <w:rsid w:val="00D9263C"/>
    <w:rsid w:val="00D92863"/>
    <w:rsid w:val="00D931BD"/>
    <w:rsid w:val="00D93DD6"/>
    <w:rsid w:val="00D97550"/>
    <w:rsid w:val="00DA2C05"/>
    <w:rsid w:val="00DA4BF5"/>
    <w:rsid w:val="00DA5E7C"/>
    <w:rsid w:val="00DB28C8"/>
    <w:rsid w:val="00DB3650"/>
    <w:rsid w:val="00DB5D60"/>
    <w:rsid w:val="00DB6037"/>
    <w:rsid w:val="00DB6268"/>
    <w:rsid w:val="00DB710E"/>
    <w:rsid w:val="00DB76D6"/>
    <w:rsid w:val="00DC061B"/>
    <w:rsid w:val="00DC1EF5"/>
    <w:rsid w:val="00DC2D4C"/>
    <w:rsid w:val="00DC314F"/>
    <w:rsid w:val="00DC3F25"/>
    <w:rsid w:val="00DC56B8"/>
    <w:rsid w:val="00DC6440"/>
    <w:rsid w:val="00DD11E4"/>
    <w:rsid w:val="00DD36B8"/>
    <w:rsid w:val="00DD3965"/>
    <w:rsid w:val="00DD45B7"/>
    <w:rsid w:val="00DD5128"/>
    <w:rsid w:val="00DD53DF"/>
    <w:rsid w:val="00DD5B7C"/>
    <w:rsid w:val="00DD783E"/>
    <w:rsid w:val="00DE14F5"/>
    <w:rsid w:val="00DE160A"/>
    <w:rsid w:val="00DE1666"/>
    <w:rsid w:val="00DE2372"/>
    <w:rsid w:val="00DE5B51"/>
    <w:rsid w:val="00DE6231"/>
    <w:rsid w:val="00DE79C3"/>
    <w:rsid w:val="00DF09B6"/>
    <w:rsid w:val="00DF1863"/>
    <w:rsid w:val="00DF2F13"/>
    <w:rsid w:val="00DF3D9A"/>
    <w:rsid w:val="00DF41C4"/>
    <w:rsid w:val="00DF507A"/>
    <w:rsid w:val="00DF5E01"/>
    <w:rsid w:val="00DF794A"/>
    <w:rsid w:val="00E001E8"/>
    <w:rsid w:val="00E008C7"/>
    <w:rsid w:val="00E00B26"/>
    <w:rsid w:val="00E01EF5"/>
    <w:rsid w:val="00E0301C"/>
    <w:rsid w:val="00E0400A"/>
    <w:rsid w:val="00E05617"/>
    <w:rsid w:val="00E057DD"/>
    <w:rsid w:val="00E0645F"/>
    <w:rsid w:val="00E06C4D"/>
    <w:rsid w:val="00E07077"/>
    <w:rsid w:val="00E076C5"/>
    <w:rsid w:val="00E10613"/>
    <w:rsid w:val="00E1165C"/>
    <w:rsid w:val="00E12208"/>
    <w:rsid w:val="00E12F6D"/>
    <w:rsid w:val="00E13B85"/>
    <w:rsid w:val="00E15DDE"/>
    <w:rsid w:val="00E17030"/>
    <w:rsid w:val="00E174B5"/>
    <w:rsid w:val="00E17F4F"/>
    <w:rsid w:val="00E207B7"/>
    <w:rsid w:val="00E22AE0"/>
    <w:rsid w:val="00E22E0C"/>
    <w:rsid w:val="00E24B22"/>
    <w:rsid w:val="00E25666"/>
    <w:rsid w:val="00E26D2C"/>
    <w:rsid w:val="00E27F9B"/>
    <w:rsid w:val="00E32E49"/>
    <w:rsid w:val="00E33CA2"/>
    <w:rsid w:val="00E34948"/>
    <w:rsid w:val="00E354A9"/>
    <w:rsid w:val="00E355D6"/>
    <w:rsid w:val="00E36065"/>
    <w:rsid w:val="00E36199"/>
    <w:rsid w:val="00E36C7A"/>
    <w:rsid w:val="00E37BFB"/>
    <w:rsid w:val="00E40800"/>
    <w:rsid w:val="00E41CF9"/>
    <w:rsid w:val="00E42E7A"/>
    <w:rsid w:val="00E435CE"/>
    <w:rsid w:val="00E444C8"/>
    <w:rsid w:val="00E44763"/>
    <w:rsid w:val="00E449B0"/>
    <w:rsid w:val="00E44DE6"/>
    <w:rsid w:val="00E477FD"/>
    <w:rsid w:val="00E51643"/>
    <w:rsid w:val="00E51CC3"/>
    <w:rsid w:val="00E5210F"/>
    <w:rsid w:val="00E5220F"/>
    <w:rsid w:val="00E541A3"/>
    <w:rsid w:val="00E56CB6"/>
    <w:rsid w:val="00E56D5B"/>
    <w:rsid w:val="00E57C8E"/>
    <w:rsid w:val="00E601B2"/>
    <w:rsid w:val="00E60CB8"/>
    <w:rsid w:val="00E633E1"/>
    <w:rsid w:val="00E63BCC"/>
    <w:rsid w:val="00E63DCB"/>
    <w:rsid w:val="00E63DE7"/>
    <w:rsid w:val="00E653B1"/>
    <w:rsid w:val="00E65659"/>
    <w:rsid w:val="00E65694"/>
    <w:rsid w:val="00E674F0"/>
    <w:rsid w:val="00E701FF"/>
    <w:rsid w:val="00E704A1"/>
    <w:rsid w:val="00E70823"/>
    <w:rsid w:val="00E72011"/>
    <w:rsid w:val="00E72C78"/>
    <w:rsid w:val="00E73D77"/>
    <w:rsid w:val="00E74B33"/>
    <w:rsid w:val="00E81142"/>
    <w:rsid w:val="00E81B9D"/>
    <w:rsid w:val="00E8324D"/>
    <w:rsid w:val="00E851AC"/>
    <w:rsid w:val="00E85272"/>
    <w:rsid w:val="00E85EED"/>
    <w:rsid w:val="00E879FD"/>
    <w:rsid w:val="00E93353"/>
    <w:rsid w:val="00E93371"/>
    <w:rsid w:val="00E934DB"/>
    <w:rsid w:val="00E93CBC"/>
    <w:rsid w:val="00E94712"/>
    <w:rsid w:val="00E9491F"/>
    <w:rsid w:val="00EA0758"/>
    <w:rsid w:val="00EA08A6"/>
    <w:rsid w:val="00EA2096"/>
    <w:rsid w:val="00EA2AEB"/>
    <w:rsid w:val="00EA36B8"/>
    <w:rsid w:val="00EA3DBD"/>
    <w:rsid w:val="00EA5E7C"/>
    <w:rsid w:val="00EA6408"/>
    <w:rsid w:val="00EA71D4"/>
    <w:rsid w:val="00EA733C"/>
    <w:rsid w:val="00EA7465"/>
    <w:rsid w:val="00EA77CB"/>
    <w:rsid w:val="00EA7FAC"/>
    <w:rsid w:val="00EB04C7"/>
    <w:rsid w:val="00EB0543"/>
    <w:rsid w:val="00EB2626"/>
    <w:rsid w:val="00EB355C"/>
    <w:rsid w:val="00EB48F0"/>
    <w:rsid w:val="00EB5ED6"/>
    <w:rsid w:val="00EB6093"/>
    <w:rsid w:val="00EB6DA3"/>
    <w:rsid w:val="00EB72D0"/>
    <w:rsid w:val="00EB7471"/>
    <w:rsid w:val="00EB7BD5"/>
    <w:rsid w:val="00EC12EC"/>
    <w:rsid w:val="00EC1E14"/>
    <w:rsid w:val="00EC21B5"/>
    <w:rsid w:val="00EC36C0"/>
    <w:rsid w:val="00EC39C3"/>
    <w:rsid w:val="00EC41BC"/>
    <w:rsid w:val="00EC6547"/>
    <w:rsid w:val="00EC66C4"/>
    <w:rsid w:val="00ED06CB"/>
    <w:rsid w:val="00ED16B9"/>
    <w:rsid w:val="00ED1F2E"/>
    <w:rsid w:val="00ED24B4"/>
    <w:rsid w:val="00ED24C2"/>
    <w:rsid w:val="00ED2625"/>
    <w:rsid w:val="00ED33F0"/>
    <w:rsid w:val="00ED3728"/>
    <w:rsid w:val="00ED413A"/>
    <w:rsid w:val="00ED4589"/>
    <w:rsid w:val="00ED5080"/>
    <w:rsid w:val="00ED6136"/>
    <w:rsid w:val="00EE0304"/>
    <w:rsid w:val="00EE26EB"/>
    <w:rsid w:val="00EE30BC"/>
    <w:rsid w:val="00EE3318"/>
    <w:rsid w:val="00EE4429"/>
    <w:rsid w:val="00EE5BE0"/>
    <w:rsid w:val="00EE6E61"/>
    <w:rsid w:val="00EE74DC"/>
    <w:rsid w:val="00EE7F9E"/>
    <w:rsid w:val="00EF12DC"/>
    <w:rsid w:val="00EF2710"/>
    <w:rsid w:val="00EF30E5"/>
    <w:rsid w:val="00EF3613"/>
    <w:rsid w:val="00EF3BB8"/>
    <w:rsid w:val="00EF43A9"/>
    <w:rsid w:val="00EF47B2"/>
    <w:rsid w:val="00EF4B31"/>
    <w:rsid w:val="00EF4F9F"/>
    <w:rsid w:val="00EF7EB5"/>
    <w:rsid w:val="00F01FB2"/>
    <w:rsid w:val="00F0267F"/>
    <w:rsid w:val="00F04189"/>
    <w:rsid w:val="00F04314"/>
    <w:rsid w:val="00F060BD"/>
    <w:rsid w:val="00F06D59"/>
    <w:rsid w:val="00F0700E"/>
    <w:rsid w:val="00F1025B"/>
    <w:rsid w:val="00F123DC"/>
    <w:rsid w:val="00F136BA"/>
    <w:rsid w:val="00F138C5"/>
    <w:rsid w:val="00F14A83"/>
    <w:rsid w:val="00F14DF0"/>
    <w:rsid w:val="00F14F9B"/>
    <w:rsid w:val="00F150CE"/>
    <w:rsid w:val="00F155AF"/>
    <w:rsid w:val="00F15ED4"/>
    <w:rsid w:val="00F16006"/>
    <w:rsid w:val="00F16375"/>
    <w:rsid w:val="00F17E96"/>
    <w:rsid w:val="00F23403"/>
    <w:rsid w:val="00F23570"/>
    <w:rsid w:val="00F253D5"/>
    <w:rsid w:val="00F25426"/>
    <w:rsid w:val="00F27736"/>
    <w:rsid w:val="00F27A13"/>
    <w:rsid w:val="00F302F0"/>
    <w:rsid w:val="00F30757"/>
    <w:rsid w:val="00F3082E"/>
    <w:rsid w:val="00F30AB7"/>
    <w:rsid w:val="00F31118"/>
    <w:rsid w:val="00F31BEC"/>
    <w:rsid w:val="00F31E30"/>
    <w:rsid w:val="00F32582"/>
    <w:rsid w:val="00F3496E"/>
    <w:rsid w:val="00F3591F"/>
    <w:rsid w:val="00F3656D"/>
    <w:rsid w:val="00F37F80"/>
    <w:rsid w:val="00F40A6F"/>
    <w:rsid w:val="00F41387"/>
    <w:rsid w:val="00F41F39"/>
    <w:rsid w:val="00F41F5A"/>
    <w:rsid w:val="00F42175"/>
    <w:rsid w:val="00F42510"/>
    <w:rsid w:val="00F4332C"/>
    <w:rsid w:val="00F433C7"/>
    <w:rsid w:val="00F442D8"/>
    <w:rsid w:val="00F4510C"/>
    <w:rsid w:val="00F45F9E"/>
    <w:rsid w:val="00F46013"/>
    <w:rsid w:val="00F475FF"/>
    <w:rsid w:val="00F476F9"/>
    <w:rsid w:val="00F47B7F"/>
    <w:rsid w:val="00F50AC3"/>
    <w:rsid w:val="00F516BA"/>
    <w:rsid w:val="00F51ADE"/>
    <w:rsid w:val="00F528B0"/>
    <w:rsid w:val="00F539E8"/>
    <w:rsid w:val="00F54B4D"/>
    <w:rsid w:val="00F55BA2"/>
    <w:rsid w:val="00F56957"/>
    <w:rsid w:val="00F56AD8"/>
    <w:rsid w:val="00F56C26"/>
    <w:rsid w:val="00F56E0E"/>
    <w:rsid w:val="00F57024"/>
    <w:rsid w:val="00F57FA5"/>
    <w:rsid w:val="00F602AB"/>
    <w:rsid w:val="00F6107A"/>
    <w:rsid w:val="00F615C3"/>
    <w:rsid w:val="00F62F11"/>
    <w:rsid w:val="00F6319C"/>
    <w:rsid w:val="00F637D7"/>
    <w:rsid w:val="00F66FA4"/>
    <w:rsid w:val="00F67874"/>
    <w:rsid w:val="00F739D5"/>
    <w:rsid w:val="00F7691E"/>
    <w:rsid w:val="00F76B0B"/>
    <w:rsid w:val="00F771EF"/>
    <w:rsid w:val="00F80E9C"/>
    <w:rsid w:val="00F80F54"/>
    <w:rsid w:val="00F82E0D"/>
    <w:rsid w:val="00F83123"/>
    <w:rsid w:val="00F834D1"/>
    <w:rsid w:val="00F85737"/>
    <w:rsid w:val="00F85E21"/>
    <w:rsid w:val="00F8710E"/>
    <w:rsid w:val="00F91563"/>
    <w:rsid w:val="00F91647"/>
    <w:rsid w:val="00F91B43"/>
    <w:rsid w:val="00F92250"/>
    <w:rsid w:val="00F93278"/>
    <w:rsid w:val="00F937A0"/>
    <w:rsid w:val="00F943F2"/>
    <w:rsid w:val="00F95A74"/>
    <w:rsid w:val="00F97197"/>
    <w:rsid w:val="00F97558"/>
    <w:rsid w:val="00FA0765"/>
    <w:rsid w:val="00FA08DA"/>
    <w:rsid w:val="00FA1664"/>
    <w:rsid w:val="00FA22A6"/>
    <w:rsid w:val="00FA2B4E"/>
    <w:rsid w:val="00FA3162"/>
    <w:rsid w:val="00FA4036"/>
    <w:rsid w:val="00FA6A6F"/>
    <w:rsid w:val="00FA7518"/>
    <w:rsid w:val="00FB07D5"/>
    <w:rsid w:val="00FB3B87"/>
    <w:rsid w:val="00FB44C8"/>
    <w:rsid w:val="00FB48F8"/>
    <w:rsid w:val="00FB5343"/>
    <w:rsid w:val="00FB5D33"/>
    <w:rsid w:val="00FB67B2"/>
    <w:rsid w:val="00FB6E9C"/>
    <w:rsid w:val="00FB6EDE"/>
    <w:rsid w:val="00FB7E9E"/>
    <w:rsid w:val="00FC0847"/>
    <w:rsid w:val="00FC0C4B"/>
    <w:rsid w:val="00FC2706"/>
    <w:rsid w:val="00FC3FD2"/>
    <w:rsid w:val="00FC5C2D"/>
    <w:rsid w:val="00FC6437"/>
    <w:rsid w:val="00FC718E"/>
    <w:rsid w:val="00FD0FA6"/>
    <w:rsid w:val="00FD17D9"/>
    <w:rsid w:val="00FD3188"/>
    <w:rsid w:val="00FD3380"/>
    <w:rsid w:val="00FD49BF"/>
    <w:rsid w:val="00FD4D8B"/>
    <w:rsid w:val="00FD73D1"/>
    <w:rsid w:val="00FE00C7"/>
    <w:rsid w:val="00FE01AD"/>
    <w:rsid w:val="00FE4A22"/>
    <w:rsid w:val="00FE7D7A"/>
    <w:rsid w:val="00FF23B4"/>
    <w:rsid w:val="00FF34E1"/>
    <w:rsid w:val="00FF4067"/>
    <w:rsid w:val="00FF6224"/>
    <w:rsid w:val="00FF65AA"/>
    <w:rsid w:val="00FF67AB"/>
    <w:rsid w:val="00FF7422"/>
    <w:rsid w:val="00FF75E4"/>
    <w:rsid w:val="0AB94FF4"/>
    <w:rsid w:val="0B1318D7"/>
    <w:rsid w:val="0EBB7A4E"/>
    <w:rsid w:val="12452914"/>
    <w:rsid w:val="127B68FD"/>
    <w:rsid w:val="14095E93"/>
    <w:rsid w:val="146F105F"/>
    <w:rsid w:val="14705196"/>
    <w:rsid w:val="14ED10FC"/>
    <w:rsid w:val="166D3093"/>
    <w:rsid w:val="166E3A62"/>
    <w:rsid w:val="16B64B8C"/>
    <w:rsid w:val="17121D64"/>
    <w:rsid w:val="18682615"/>
    <w:rsid w:val="18A77E0F"/>
    <w:rsid w:val="211E3832"/>
    <w:rsid w:val="21B90F9F"/>
    <w:rsid w:val="236D0A5E"/>
    <w:rsid w:val="259437BD"/>
    <w:rsid w:val="272959ED"/>
    <w:rsid w:val="28E5207E"/>
    <w:rsid w:val="29E30975"/>
    <w:rsid w:val="2ACC37F7"/>
    <w:rsid w:val="2B1E183E"/>
    <w:rsid w:val="2B560C25"/>
    <w:rsid w:val="2E0A6C3B"/>
    <w:rsid w:val="30483499"/>
    <w:rsid w:val="30A83D27"/>
    <w:rsid w:val="32E7377E"/>
    <w:rsid w:val="33A51F6D"/>
    <w:rsid w:val="33AB18CB"/>
    <w:rsid w:val="33C119DE"/>
    <w:rsid w:val="348C74EC"/>
    <w:rsid w:val="386A04AB"/>
    <w:rsid w:val="38A54672"/>
    <w:rsid w:val="3A666537"/>
    <w:rsid w:val="3C5946BC"/>
    <w:rsid w:val="3E4D3AE9"/>
    <w:rsid w:val="3FC72FEC"/>
    <w:rsid w:val="41BD14B0"/>
    <w:rsid w:val="45A9111B"/>
    <w:rsid w:val="48FB22D9"/>
    <w:rsid w:val="491C5AEB"/>
    <w:rsid w:val="494E70ED"/>
    <w:rsid w:val="4F8637BD"/>
    <w:rsid w:val="503C2D1E"/>
    <w:rsid w:val="533108E4"/>
    <w:rsid w:val="53E62C2E"/>
    <w:rsid w:val="54516FE4"/>
    <w:rsid w:val="54855645"/>
    <w:rsid w:val="554F2CCB"/>
    <w:rsid w:val="56267A70"/>
    <w:rsid w:val="589F5032"/>
    <w:rsid w:val="58BF01F7"/>
    <w:rsid w:val="5AA23617"/>
    <w:rsid w:val="5BEA3BBA"/>
    <w:rsid w:val="5E2B565B"/>
    <w:rsid w:val="621454C3"/>
    <w:rsid w:val="644167E8"/>
    <w:rsid w:val="66FC6743"/>
    <w:rsid w:val="68B95597"/>
    <w:rsid w:val="68C67813"/>
    <w:rsid w:val="69194F1D"/>
    <w:rsid w:val="6D0A19C0"/>
    <w:rsid w:val="6D4C436F"/>
    <w:rsid w:val="6FD00900"/>
    <w:rsid w:val="73123AC2"/>
    <w:rsid w:val="74494814"/>
    <w:rsid w:val="74DC2787"/>
    <w:rsid w:val="76181D7F"/>
    <w:rsid w:val="76655277"/>
    <w:rsid w:val="78804443"/>
    <w:rsid w:val="7AF16F94"/>
    <w:rsid w:val="7C4A6382"/>
    <w:rsid w:val="7D140EA8"/>
    <w:rsid w:val="7EBA649B"/>
    <w:rsid w:val="7FC60D1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0" w:name="index 2"/>
    <w:lsdException w:uiPriority="0" w:name="index 3"/>
    <w:lsdException w:qFormat="1" w:uiPriority="0" w:semiHidden="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qFormat="1" w:unhideWhenUsed="0" w:uiPriority="0" w:semiHidden="0" w:name="endnote text"/>
    <w:lsdException w:uiPriority="0" w:name="table of authorities"/>
    <w:lsdException w:qFormat="1" w:unhideWhenUsed="0" w:uiPriority="0" w:semiHidden="0" w:name="macro"/>
    <w:lsdException w:uiPriority="0" w:name="toa heading"/>
    <w:lsdException w:qFormat="1" w:unhideWhenUsed="0" w:uiPriority="0" w:semiHidden="0" w:name="List"/>
    <w:lsdException w:qFormat="1"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uiPriority="0" w:name="List Bullet 4"/>
    <w:lsdException w:uiPriority="0" w:name="List Bullet 5"/>
    <w:lsdException w:qFormat="1" w:uiPriority="0" w:semiHidden="0" w:name="List Number 2"/>
    <w:lsdException w:qFormat="1" w:unhideWhenUsed="0" w:uiPriority="0" w:semiHidden="0" w:name="List Number 3"/>
    <w:lsdException w:qFormat="1" w:unhideWhenUsed="0" w:uiPriority="0" w:semiHidden="0" w:name="List Number 4"/>
    <w:lsdException w:uiPriority="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qFormat="1" w:unhideWhenUsed="0" w:uiPriority="0" w:semiHidden="0" w:name="List Continue 3"/>
    <w:lsdException w:uiPriority="0" w:name="List Continue 4"/>
    <w:lsdException w:uiPriority="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99"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nhideWhenUsed="0" w:uiPriority="99"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99" w:semiHidden="0" w:name="Normal (Web)"/>
    <w:lsdException w:uiPriority="0" w:name="HTML Acronym"/>
    <w:lsdException w:qFormat="1" w:unhideWhenUsed="0" w:uiPriority="0" w:semiHidden="0" w:name="HTML Address"/>
    <w:lsdException w:qFormat="1" w:unhideWhenUsed="0" w:uiPriority="99" w:semiHidden="0" w:name="HTML Cite"/>
    <w:lsdException w:qFormat="1" w:uiPriority="0" w:semiHidden="0" w:name="HTML Code"/>
    <w:lsdException w:qFormat="1" w:uiPriority="99" w:semiHidden="0" w:name="HTML Definition"/>
    <w:lsdException w:qFormat="1" w:uiPriority="99" w:semiHidden="0" w:name="HTML Keyboard"/>
    <w:lsdException w:qFormat="1" w:unhideWhenUsed="0" w:uiPriority="0" w:semiHidden="0" w:name="HTML Preformatted"/>
    <w:lsdException w:qFormat="1" w:uiPriority="99" w:semiHidden="0" w:name="HTML Sample"/>
    <w:lsdException w:uiPriority="0" w:name="HTML Typewriter"/>
    <w:lsdException w:qFormat="1" w:uiPriority="99"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qFormat="1" w:unhideWhenUsed="0" w:uiPriority="0" w:semiHidden="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qFormat="1" w:unhideWhenUsed="0" w:uiPriority="0" w:semiHidden="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qFormat="1" w:unhideWhenUsed="0" w:uiPriority="0" w:semiHidden="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qFormat="1" w:unhideWhenUsed="0" w:uiPriority="0" w:semiHidden="0" w:name="Table Theme"/>
    <w:lsdException w:qFormat="1"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0" w:semiHidden="0" w:name="Quote"/>
    <w:lsdException w:qFormat="1" w:unhideWhenUsed="0" w:uiPriority="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317" w:firstLineChars="100"/>
      <w:jc w:val="center"/>
    </w:pPr>
    <w:rPr>
      <w:rFonts w:ascii="宋体" w:hAnsi="宋体" w:eastAsia="宋体" w:cs="宋体"/>
      <w:kern w:val="2"/>
      <w:sz w:val="18"/>
      <w:szCs w:val="18"/>
      <w:lang w:val="zh-CN" w:eastAsia="zh-CN" w:bidi="zh-CN"/>
    </w:rPr>
  </w:style>
  <w:style w:type="paragraph" w:styleId="3">
    <w:name w:val="heading 1"/>
    <w:basedOn w:val="1"/>
    <w:next w:val="1"/>
    <w:link w:val="147"/>
    <w:autoRedefine/>
    <w:qFormat/>
    <w:uiPriority w:val="0"/>
    <w:pPr>
      <w:keepNext/>
      <w:keepLines/>
      <w:spacing w:line="600" w:lineRule="exact"/>
      <w:outlineLvl w:val="0"/>
    </w:pPr>
    <w:rPr>
      <w:b/>
      <w:kern w:val="44"/>
      <w:sz w:val="44"/>
    </w:rPr>
  </w:style>
  <w:style w:type="paragraph" w:styleId="4">
    <w:name w:val="heading 2"/>
    <w:basedOn w:val="1"/>
    <w:next w:val="1"/>
    <w:link w:val="148"/>
    <w:autoRedefine/>
    <w:qFormat/>
    <w:uiPriority w:val="0"/>
    <w:pPr>
      <w:keepNext/>
      <w:keepLines/>
      <w:spacing w:line="240" w:lineRule="auto"/>
      <w:outlineLvl w:val="1"/>
    </w:pPr>
    <w:rPr>
      <w:rFonts w:ascii="Arial" w:hAnsi="Arial" w:eastAsia="黑体"/>
      <w:b/>
      <w:sz w:val="32"/>
    </w:rPr>
  </w:style>
  <w:style w:type="paragraph" w:styleId="5">
    <w:name w:val="heading 3"/>
    <w:basedOn w:val="1"/>
    <w:next w:val="1"/>
    <w:link w:val="149"/>
    <w:autoRedefine/>
    <w:qFormat/>
    <w:uiPriority w:val="9"/>
    <w:pPr>
      <w:adjustRightInd w:val="0"/>
      <w:spacing w:line="520" w:lineRule="exact"/>
      <w:ind w:firstLine="561"/>
      <w:textAlignment w:val="center"/>
      <w:outlineLvl w:val="2"/>
    </w:pPr>
    <w:rPr>
      <w:b/>
      <w:color w:val="FF0000"/>
      <w:sz w:val="32"/>
    </w:rPr>
  </w:style>
  <w:style w:type="paragraph" w:styleId="6">
    <w:name w:val="heading 4"/>
    <w:basedOn w:val="1"/>
    <w:next w:val="1"/>
    <w:link w:val="150"/>
    <w:autoRedefine/>
    <w:qFormat/>
    <w:uiPriority w:val="0"/>
    <w:pPr>
      <w:tabs>
        <w:tab w:val="left" w:pos="525"/>
      </w:tabs>
      <w:outlineLvl w:val="3"/>
    </w:pPr>
    <w:rPr>
      <w:rFonts w:eastAsia="黑体"/>
    </w:rPr>
  </w:style>
  <w:style w:type="paragraph" w:styleId="7">
    <w:name w:val="heading 5"/>
    <w:basedOn w:val="1"/>
    <w:next w:val="1"/>
    <w:link w:val="151"/>
    <w:autoRedefine/>
    <w:qFormat/>
    <w:uiPriority w:val="0"/>
    <w:pPr>
      <w:ind w:left="1494"/>
      <w:outlineLvl w:val="4"/>
    </w:pPr>
    <w:rPr>
      <w:b/>
      <w:bCs/>
    </w:rPr>
  </w:style>
  <w:style w:type="paragraph" w:styleId="8">
    <w:name w:val="heading 6"/>
    <w:basedOn w:val="1"/>
    <w:next w:val="1"/>
    <w:link w:val="143"/>
    <w:autoRedefine/>
    <w:qFormat/>
    <w:uiPriority w:val="0"/>
    <w:pPr>
      <w:tabs>
        <w:tab w:val="left" w:pos="952"/>
      </w:tabs>
      <w:spacing w:line="240" w:lineRule="auto"/>
      <w:ind w:left="952" w:hanging="1152"/>
      <w:outlineLvl w:val="5"/>
    </w:pPr>
    <w:rPr>
      <w:rFonts w:cs="Times New Roman"/>
    </w:rPr>
  </w:style>
  <w:style w:type="paragraph" w:styleId="9">
    <w:name w:val="heading 7"/>
    <w:basedOn w:val="1"/>
    <w:next w:val="1"/>
    <w:link w:val="144"/>
    <w:autoRedefine/>
    <w:qFormat/>
    <w:uiPriority w:val="0"/>
    <w:pPr>
      <w:tabs>
        <w:tab w:val="left" w:pos="1096"/>
      </w:tabs>
      <w:spacing w:line="240" w:lineRule="auto"/>
      <w:ind w:left="1096" w:hanging="1296"/>
      <w:outlineLvl w:val="6"/>
    </w:pPr>
    <w:rPr>
      <w:rFonts w:cs="Times New Roman"/>
      <w:bCs/>
      <w:sz w:val="21"/>
      <w:szCs w:val="28"/>
    </w:rPr>
  </w:style>
  <w:style w:type="paragraph" w:styleId="10">
    <w:name w:val="heading 8"/>
    <w:basedOn w:val="1"/>
    <w:next w:val="1"/>
    <w:link w:val="145"/>
    <w:autoRedefine/>
    <w:qFormat/>
    <w:uiPriority w:val="0"/>
    <w:pPr>
      <w:keepNext/>
      <w:keepLines/>
      <w:tabs>
        <w:tab w:val="left" w:pos="1240"/>
      </w:tabs>
      <w:spacing w:before="240" w:after="64" w:line="320" w:lineRule="auto"/>
      <w:ind w:left="1240" w:hanging="1440"/>
      <w:outlineLvl w:val="7"/>
    </w:pPr>
    <w:rPr>
      <w:rFonts w:ascii="Arial" w:hAnsi="Arial" w:eastAsia="黑体" w:cs="Times New Roman"/>
    </w:rPr>
  </w:style>
  <w:style w:type="paragraph" w:styleId="11">
    <w:name w:val="heading 9"/>
    <w:basedOn w:val="1"/>
    <w:next w:val="1"/>
    <w:link w:val="146"/>
    <w:autoRedefine/>
    <w:qFormat/>
    <w:uiPriority w:val="0"/>
    <w:pPr>
      <w:keepNext/>
      <w:keepLines/>
      <w:tabs>
        <w:tab w:val="left" w:pos="1384"/>
      </w:tabs>
      <w:spacing w:before="240" w:after="64" w:line="320" w:lineRule="auto"/>
      <w:ind w:left="1384" w:hanging="1584"/>
      <w:outlineLvl w:val="8"/>
    </w:pPr>
    <w:rPr>
      <w:rFonts w:ascii="Arial" w:hAnsi="Arial" w:eastAsia="黑体" w:cs="Times New Roman"/>
      <w:sz w:val="21"/>
      <w:szCs w:val="21"/>
    </w:rPr>
  </w:style>
  <w:style w:type="character" w:default="1" w:styleId="76">
    <w:name w:val="Default Paragraph Font"/>
    <w:autoRedefine/>
    <w:semiHidden/>
    <w:unhideWhenUsed/>
    <w:qFormat/>
    <w:uiPriority w:val="1"/>
  </w:style>
  <w:style w:type="table" w:default="1" w:styleId="70">
    <w:name w:val="Normal Table"/>
    <w:autoRedefine/>
    <w:semiHidden/>
    <w:unhideWhenUsed/>
    <w:qFormat/>
    <w:uiPriority w:val="99"/>
    <w:tblPr>
      <w:tblCellMar>
        <w:top w:w="0" w:type="dxa"/>
        <w:left w:w="108" w:type="dxa"/>
        <w:bottom w:w="0" w:type="dxa"/>
        <w:right w:w="108" w:type="dxa"/>
      </w:tblCellMar>
    </w:tblPr>
  </w:style>
  <w:style w:type="paragraph" w:styleId="2">
    <w:name w:val="macro"/>
    <w:link w:val="589"/>
    <w:autoRedefine/>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Arial" w:hAnsi="Arial" w:eastAsia="黑体" w:cs="Times New Roman"/>
      <w:b/>
      <w:bCs/>
      <w:kern w:val="2"/>
      <w:sz w:val="32"/>
      <w:szCs w:val="32"/>
      <w:lang w:val="en-US" w:eastAsia="zh-CN" w:bidi="ar-SA"/>
    </w:rPr>
  </w:style>
  <w:style w:type="paragraph" w:styleId="12">
    <w:name w:val="List 3"/>
    <w:basedOn w:val="1"/>
    <w:autoRedefine/>
    <w:qFormat/>
    <w:uiPriority w:val="0"/>
    <w:pPr>
      <w:ind w:left="1260" w:hanging="420" w:firstLineChars="200"/>
    </w:pPr>
    <w:rPr>
      <w:rFonts w:cs="Times New Roman"/>
      <w:sz w:val="28"/>
      <w:szCs w:val="20"/>
    </w:rPr>
  </w:style>
  <w:style w:type="paragraph" w:styleId="13">
    <w:name w:val="toc 7"/>
    <w:basedOn w:val="1"/>
    <w:next w:val="1"/>
    <w:autoRedefine/>
    <w:qFormat/>
    <w:uiPriority w:val="0"/>
    <w:pPr>
      <w:ind w:left="1440"/>
      <w:jc w:val="left"/>
    </w:pPr>
    <w:rPr>
      <w:rFonts w:asciiTheme="minorHAnsi" w:hAnsiTheme="minorHAnsi"/>
      <w:sz w:val="20"/>
      <w:szCs w:val="20"/>
    </w:rPr>
  </w:style>
  <w:style w:type="paragraph" w:styleId="14">
    <w:name w:val="List Number 2"/>
    <w:basedOn w:val="1"/>
    <w:autoRedefine/>
    <w:unhideWhenUsed/>
    <w:qFormat/>
    <w:uiPriority w:val="0"/>
    <w:pPr>
      <w:numPr>
        <w:ilvl w:val="0"/>
        <w:numId w:val="1"/>
      </w:numPr>
    </w:pPr>
  </w:style>
  <w:style w:type="paragraph" w:styleId="15">
    <w:name w:val="Note Heading"/>
    <w:basedOn w:val="1"/>
    <w:next w:val="1"/>
    <w:link w:val="475"/>
    <w:autoRedefine/>
    <w:qFormat/>
    <w:uiPriority w:val="0"/>
    <w:pPr>
      <w:spacing w:line="240" w:lineRule="auto"/>
    </w:pPr>
    <w:rPr>
      <w:rFonts w:cs="Times New Roman"/>
      <w:kern w:val="0"/>
      <w:sz w:val="20"/>
      <w:szCs w:val="20"/>
    </w:rPr>
  </w:style>
  <w:style w:type="paragraph" w:styleId="16">
    <w:name w:val="E-mail Signature"/>
    <w:basedOn w:val="1"/>
    <w:link w:val="648"/>
    <w:autoRedefine/>
    <w:qFormat/>
    <w:uiPriority w:val="0"/>
    <w:pPr>
      <w:spacing w:line="240" w:lineRule="auto"/>
    </w:pPr>
    <w:rPr>
      <w:rFonts w:cs="Times New Roman"/>
      <w:kern w:val="0"/>
      <w:sz w:val="20"/>
    </w:rPr>
  </w:style>
  <w:style w:type="paragraph" w:styleId="17">
    <w:name w:val="Normal Indent"/>
    <w:basedOn w:val="1"/>
    <w:link w:val="110"/>
    <w:autoRedefine/>
    <w:qFormat/>
    <w:uiPriority w:val="0"/>
    <w:pPr>
      <w:ind w:firstLine="480" w:firstLineChars="200"/>
    </w:pPr>
    <w:rPr>
      <w:rFonts w:cs="Times New Roman"/>
      <w:color w:val="000000"/>
      <w:kern w:val="0"/>
    </w:rPr>
  </w:style>
  <w:style w:type="paragraph" w:styleId="18">
    <w:name w:val="caption"/>
    <w:basedOn w:val="1"/>
    <w:next w:val="1"/>
    <w:link w:val="191"/>
    <w:autoRedefine/>
    <w:qFormat/>
    <w:uiPriority w:val="0"/>
    <w:pPr>
      <w:spacing w:line="240" w:lineRule="auto"/>
    </w:pPr>
    <w:rPr>
      <w:rFonts w:ascii="Arial" w:hAnsi="Arial" w:eastAsia="黑体" w:cs="Times New Roman"/>
      <w:kern w:val="0"/>
      <w:sz w:val="20"/>
      <w:szCs w:val="20"/>
    </w:rPr>
  </w:style>
  <w:style w:type="paragraph" w:styleId="19">
    <w:name w:val="List Bullet"/>
    <w:basedOn w:val="1"/>
    <w:autoRedefine/>
    <w:qFormat/>
    <w:uiPriority w:val="0"/>
    <w:pPr>
      <w:tabs>
        <w:tab w:val="left" w:pos="360"/>
      </w:tabs>
      <w:spacing w:line="240" w:lineRule="auto"/>
      <w:ind w:left="360" w:hanging="360" w:hangingChars="200"/>
    </w:pPr>
    <w:rPr>
      <w:rFonts w:cs="Times New Roman"/>
      <w:sz w:val="21"/>
      <w:szCs w:val="21"/>
    </w:rPr>
  </w:style>
  <w:style w:type="paragraph" w:styleId="20">
    <w:name w:val="Document Map"/>
    <w:basedOn w:val="1"/>
    <w:link w:val="559"/>
    <w:autoRedefine/>
    <w:qFormat/>
    <w:uiPriority w:val="0"/>
    <w:pPr>
      <w:spacing w:line="240" w:lineRule="auto"/>
    </w:pPr>
    <w:rPr>
      <w:rFonts w:cs="Times New Roman"/>
    </w:rPr>
  </w:style>
  <w:style w:type="paragraph" w:styleId="21">
    <w:name w:val="annotation text"/>
    <w:basedOn w:val="1"/>
    <w:link w:val="124"/>
    <w:autoRedefine/>
    <w:qFormat/>
    <w:uiPriority w:val="0"/>
    <w:pPr>
      <w:jc w:val="left"/>
    </w:pPr>
  </w:style>
  <w:style w:type="paragraph" w:styleId="22">
    <w:name w:val="Salutation"/>
    <w:basedOn w:val="1"/>
    <w:next w:val="1"/>
    <w:link w:val="551"/>
    <w:autoRedefine/>
    <w:qFormat/>
    <w:uiPriority w:val="0"/>
    <w:pPr>
      <w:spacing w:line="240" w:lineRule="auto"/>
    </w:pPr>
    <w:rPr>
      <w:rFonts w:cs="Times New Roman"/>
      <w:kern w:val="0"/>
      <w:sz w:val="20"/>
    </w:rPr>
  </w:style>
  <w:style w:type="paragraph" w:styleId="23">
    <w:name w:val="Body Text 3"/>
    <w:basedOn w:val="1"/>
    <w:link w:val="239"/>
    <w:autoRedefine/>
    <w:qFormat/>
    <w:uiPriority w:val="0"/>
    <w:pPr>
      <w:spacing w:after="120" w:line="240" w:lineRule="auto"/>
    </w:pPr>
    <w:rPr>
      <w:rFonts w:cs="Times New Roman"/>
      <w:kern w:val="0"/>
      <w:sz w:val="16"/>
      <w:szCs w:val="16"/>
    </w:rPr>
  </w:style>
  <w:style w:type="paragraph" w:styleId="24">
    <w:name w:val="Closing"/>
    <w:basedOn w:val="1"/>
    <w:link w:val="532"/>
    <w:autoRedefine/>
    <w:qFormat/>
    <w:uiPriority w:val="0"/>
    <w:pPr>
      <w:adjustRightInd w:val="0"/>
      <w:snapToGrid w:val="0"/>
      <w:spacing w:line="240" w:lineRule="auto"/>
      <w:ind w:left="100" w:leftChars="2100"/>
    </w:pPr>
    <w:rPr>
      <w:rFonts w:cs="Times New Roman"/>
      <w:kern w:val="0"/>
      <w:sz w:val="20"/>
      <w:szCs w:val="20"/>
    </w:rPr>
  </w:style>
  <w:style w:type="paragraph" w:styleId="25">
    <w:name w:val="List Bullet 3"/>
    <w:basedOn w:val="1"/>
    <w:autoRedefine/>
    <w:qFormat/>
    <w:uiPriority w:val="0"/>
    <w:pPr>
      <w:numPr>
        <w:ilvl w:val="0"/>
        <w:numId w:val="2"/>
      </w:numPr>
      <w:tabs>
        <w:tab w:val="left" w:pos="425"/>
        <w:tab w:val="clear" w:pos="780"/>
      </w:tabs>
      <w:adjustRightInd w:val="0"/>
      <w:spacing w:line="324" w:lineRule="auto"/>
      <w:ind w:left="425" w:leftChars="0" w:hanging="425" w:firstLineChars="0"/>
      <w:jc w:val="left"/>
      <w:textAlignment w:val="baseline"/>
    </w:pPr>
    <w:rPr>
      <w:rFonts w:cs="Times New Roman"/>
      <w:kern w:val="0"/>
      <w:sz w:val="28"/>
      <w:szCs w:val="20"/>
    </w:rPr>
  </w:style>
  <w:style w:type="paragraph" w:styleId="26">
    <w:name w:val="Body Text"/>
    <w:basedOn w:val="1"/>
    <w:next w:val="1"/>
    <w:link w:val="141"/>
    <w:autoRedefine/>
    <w:qFormat/>
    <w:uiPriority w:val="0"/>
  </w:style>
  <w:style w:type="paragraph" w:styleId="27">
    <w:name w:val="Body Text Indent"/>
    <w:basedOn w:val="1"/>
    <w:next w:val="28"/>
    <w:link w:val="118"/>
    <w:autoRedefine/>
    <w:qFormat/>
    <w:uiPriority w:val="0"/>
    <w:pPr>
      <w:spacing w:after="120"/>
      <w:ind w:left="420" w:leftChars="200"/>
    </w:pPr>
  </w:style>
  <w:style w:type="paragraph" w:customStyle="1" w:styleId="28">
    <w:name w:val="样式 正文文本缩进 + 行距: 1.5 倍行距"/>
    <w:basedOn w:val="27"/>
    <w:autoRedefine/>
    <w:qFormat/>
    <w:uiPriority w:val="0"/>
    <w:pPr>
      <w:ind w:left="90" w:leftChars="32" w:firstLine="560"/>
    </w:pPr>
  </w:style>
  <w:style w:type="paragraph" w:styleId="29">
    <w:name w:val="List Number 3"/>
    <w:basedOn w:val="1"/>
    <w:autoRedefine/>
    <w:qFormat/>
    <w:uiPriority w:val="0"/>
    <w:pPr>
      <w:numPr>
        <w:ilvl w:val="0"/>
        <w:numId w:val="3"/>
      </w:numPr>
      <w:ind w:firstLine="200" w:firstLineChars="200"/>
    </w:pPr>
    <w:rPr>
      <w:rFonts w:cs="Times New Roman"/>
      <w:szCs w:val="22"/>
    </w:rPr>
  </w:style>
  <w:style w:type="paragraph" w:styleId="30">
    <w:name w:val="List 2"/>
    <w:basedOn w:val="1"/>
    <w:link w:val="994"/>
    <w:autoRedefine/>
    <w:qFormat/>
    <w:uiPriority w:val="0"/>
    <w:pPr>
      <w:spacing w:line="240" w:lineRule="auto"/>
    </w:pPr>
    <w:rPr>
      <w:rFonts w:ascii="楷体_GB2312" w:eastAsia="楷体_GB2312" w:cs="Times New Roman"/>
      <w:color w:val="000000"/>
      <w:kern w:val="0"/>
      <w:sz w:val="20"/>
      <w:szCs w:val="28"/>
    </w:rPr>
  </w:style>
  <w:style w:type="paragraph" w:styleId="31">
    <w:name w:val="Block Text"/>
    <w:basedOn w:val="1"/>
    <w:autoRedefine/>
    <w:qFormat/>
    <w:uiPriority w:val="0"/>
    <w:pPr>
      <w:autoSpaceDE w:val="0"/>
      <w:autoSpaceDN w:val="0"/>
      <w:adjustRightInd w:val="0"/>
      <w:spacing w:line="240" w:lineRule="auto"/>
      <w:ind w:left="-34" w:right="-124" w:rightChars="-59"/>
      <w:jc w:val="left"/>
    </w:pPr>
    <w:rPr>
      <w:rFonts w:cs="Times New Roman"/>
      <w:sz w:val="21"/>
      <w:szCs w:val="28"/>
    </w:rPr>
  </w:style>
  <w:style w:type="paragraph" w:styleId="32">
    <w:name w:val="List Bullet 2"/>
    <w:basedOn w:val="1"/>
    <w:autoRedefine/>
    <w:qFormat/>
    <w:uiPriority w:val="0"/>
    <w:pPr>
      <w:tabs>
        <w:tab w:val="left" w:pos="780"/>
      </w:tabs>
      <w:spacing w:line="240" w:lineRule="auto"/>
      <w:ind w:left="780" w:hanging="360"/>
    </w:pPr>
    <w:rPr>
      <w:rFonts w:cs="Times New Roman"/>
      <w:sz w:val="21"/>
      <w:szCs w:val="20"/>
    </w:rPr>
  </w:style>
  <w:style w:type="paragraph" w:styleId="33">
    <w:name w:val="HTML Address"/>
    <w:basedOn w:val="1"/>
    <w:link w:val="607"/>
    <w:autoRedefine/>
    <w:qFormat/>
    <w:uiPriority w:val="0"/>
    <w:pPr>
      <w:spacing w:line="240" w:lineRule="auto"/>
    </w:pPr>
    <w:rPr>
      <w:rFonts w:cs="Times New Roman"/>
      <w:i/>
      <w:iCs/>
      <w:kern w:val="0"/>
      <w:sz w:val="20"/>
    </w:rPr>
  </w:style>
  <w:style w:type="paragraph" w:styleId="34">
    <w:name w:val="index 4"/>
    <w:basedOn w:val="1"/>
    <w:next w:val="1"/>
    <w:autoRedefine/>
    <w:unhideWhenUsed/>
    <w:qFormat/>
    <w:uiPriority w:val="0"/>
    <w:pPr>
      <w:adjustRightInd w:val="0"/>
      <w:ind w:left="840" w:hanging="210" w:firstLineChars="200"/>
      <w:jc w:val="left"/>
    </w:pPr>
    <w:rPr>
      <w:rFonts w:cs="Times New Roman"/>
      <w:kern w:val="0"/>
      <w:sz w:val="20"/>
      <w:szCs w:val="20"/>
    </w:rPr>
  </w:style>
  <w:style w:type="paragraph" w:styleId="35">
    <w:name w:val="toc 5"/>
    <w:basedOn w:val="1"/>
    <w:next w:val="1"/>
    <w:autoRedefine/>
    <w:qFormat/>
    <w:uiPriority w:val="0"/>
    <w:pPr>
      <w:ind w:left="960"/>
      <w:jc w:val="left"/>
    </w:pPr>
    <w:rPr>
      <w:rFonts w:asciiTheme="minorHAnsi" w:hAnsiTheme="minorHAnsi"/>
      <w:sz w:val="20"/>
      <w:szCs w:val="20"/>
    </w:rPr>
  </w:style>
  <w:style w:type="paragraph" w:styleId="36">
    <w:name w:val="toc 3"/>
    <w:basedOn w:val="1"/>
    <w:next w:val="1"/>
    <w:autoRedefine/>
    <w:qFormat/>
    <w:uiPriority w:val="0"/>
    <w:pPr>
      <w:ind w:left="480"/>
      <w:jc w:val="left"/>
    </w:pPr>
    <w:rPr>
      <w:rFonts w:asciiTheme="minorHAnsi" w:hAnsiTheme="minorHAnsi"/>
      <w:sz w:val="20"/>
      <w:szCs w:val="20"/>
    </w:rPr>
  </w:style>
  <w:style w:type="paragraph" w:styleId="37">
    <w:name w:val="Plain Text"/>
    <w:basedOn w:val="1"/>
    <w:link w:val="285"/>
    <w:autoRedefine/>
    <w:qFormat/>
    <w:uiPriority w:val="0"/>
    <w:pPr>
      <w:adjustRightInd w:val="0"/>
      <w:snapToGrid w:val="0"/>
      <w:spacing w:line="280" w:lineRule="exact"/>
    </w:pPr>
    <w:rPr>
      <w:rFonts w:cs="Times New Roman"/>
      <w:kern w:val="0"/>
    </w:rPr>
  </w:style>
  <w:style w:type="paragraph" w:styleId="38">
    <w:name w:val="List Number 4"/>
    <w:basedOn w:val="1"/>
    <w:autoRedefine/>
    <w:qFormat/>
    <w:uiPriority w:val="0"/>
    <w:pPr>
      <w:tabs>
        <w:tab w:val="left" w:pos="1620"/>
      </w:tabs>
      <w:adjustRightInd w:val="0"/>
      <w:ind w:left="1620" w:hanging="360" w:firstLineChars="200"/>
      <w:jc w:val="left"/>
      <w:textAlignment w:val="baseline"/>
    </w:pPr>
    <w:rPr>
      <w:rFonts w:eastAsia="仿宋_GB2312" w:cs="Times New Roman"/>
      <w:kern w:val="0"/>
      <w:sz w:val="32"/>
      <w:szCs w:val="20"/>
    </w:rPr>
  </w:style>
  <w:style w:type="paragraph" w:styleId="39">
    <w:name w:val="toc 8"/>
    <w:basedOn w:val="1"/>
    <w:next w:val="1"/>
    <w:autoRedefine/>
    <w:qFormat/>
    <w:uiPriority w:val="0"/>
    <w:pPr>
      <w:ind w:left="1680"/>
      <w:jc w:val="left"/>
    </w:pPr>
    <w:rPr>
      <w:rFonts w:asciiTheme="minorHAnsi" w:hAnsiTheme="minorHAnsi"/>
      <w:sz w:val="20"/>
      <w:szCs w:val="20"/>
    </w:rPr>
  </w:style>
  <w:style w:type="paragraph" w:styleId="40">
    <w:name w:val="Date"/>
    <w:basedOn w:val="1"/>
    <w:next w:val="1"/>
    <w:link w:val="400"/>
    <w:autoRedefine/>
    <w:qFormat/>
    <w:uiPriority w:val="0"/>
    <w:pPr>
      <w:spacing w:line="240" w:lineRule="auto"/>
      <w:ind w:left="100" w:leftChars="2500"/>
    </w:pPr>
    <w:rPr>
      <w:rFonts w:cs="Times New Roman"/>
      <w:kern w:val="0"/>
      <w:sz w:val="20"/>
    </w:rPr>
  </w:style>
  <w:style w:type="paragraph" w:styleId="41">
    <w:name w:val="Body Text Indent 2"/>
    <w:basedOn w:val="1"/>
    <w:link w:val="170"/>
    <w:autoRedefine/>
    <w:qFormat/>
    <w:uiPriority w:val="0"/>
    <w:pPr>
      <w:spacing w:after="120" w:line="480" w:lineRule="auto"/>
      <w:ind w:left="420" w:leftChars="200"/>
    </w:pPr>
    <w:rPr>
      <w:rFonts w:cs="Times New Roman"/>
      <w:kern w:val="0"/>
      <w:sz w:val="20"/>
    </w:rPr>
  </w:style>
  <w:style w:type="paragraph" w:styleId="42">
    <w:name w:val="endnote text"/>
    <w:basedOn w:val="1"/>
    <w:link w:val="605"/>
    <w:autoRedefine/>
    <w:qFormat/>
    <w:uiPriority w:val="0"/>
    <w:pPr>
      <w:snapToGrid w:val="0"/>
      <w:spacing w:line="460" w:lineRule="exact"/>
      <w:jc w:val="left"/>
    </w:pPr>
    <w:rPr>
      <w:rFonts w:cs="Times New Roman"/>
      <w:kern w:val="0"/>
      <w:sz w:val="20"/>
    </w:rPr>
  </w:style>
  <w:style w:type="paragraph" w:styleId="43">
    <w:name w:val="Balloon Text"/>
    <w:basedOn w:val="1"/>
    <w:link w:val="100"/>
    <w:autoRedefine/>
    <w:qFormat/>
    <w:uiPriority w:val="0"/>
    <w:pPr>
      <w:spacing w:line="240" w:lineRule="auto"/>
    </w:pPr>
  </w:style>
  <w:style w:type="paragraph" w:styleId="44">
    <w:name w:val="footer"/>
    <w:basedOn w:val="1"/>
    <w:link w:val="351"/>
    <w:autoRedefine/>
    <w:qFormat/>
    <w:uiPriority w:val="0"/>
    <w:pPr>
      <w:pBdr>
        <w:top w:val="single" w:color="auto" w:sz="4" w:space="1"/>
        <w:left w:val="none" w:color="auto" w:sz="0" w:space="4"/>
        <w:bottom w:val="none" w:color="auto" w:sz="0" w:space="1"/>
        <w:right w:val="none" w:color="auto" w:sz="0" w:space="4"/>
      </w:pBdr>
      <w:tabs>
        <w:tab w:val="center" w:pos="4153"/>
        <w:tab w:val="right" w:pos="8306"/>
      </w:tabs>
      <w:snapToGrid w:val="0"/>
      <w:jc w:val="left"/>
    </w:pPr>
  </w:style>
  <w:style w:type="paragraph" w:styleId="45">
    <w:name w:val="header"/>
    <w:basedOn w:val="1"/>
    <w:link w:val="109"/>
    <w:autoRedefine/>
    <w:qFormat/>
    <w:uiPriority w:val="99"/>
    <w:pPr>
      <w:pBdr>
        <w:top w:val="none" w:color="auto" w:sz="0" w:space="1"/>
        <w:left w:val="none" w:color="auto" w:sz="0" w:space="4"/>
        <w:bottom w:val="single" w:color="auto" w:sz="4" w:space="1"/>
        <w:right w:val="none" w:color="auto" w:sz="0" w:space="4"/>
      </w:pBdr>
      <w:tabs>
        <w:tab w:val="center" w:pos="4153"/>
        <w:tab w:val="right" w:pos="8306"/>
      </w:tabs>
      <w:snapToGrid w:val="0"/>
      <w:spacing w:line="240" w:lineRule="auto"/>
    </w:pPr>
  </w:style>
  <w:style w:type="paragraph" w:styleId="46">
    <w:name w:val="Signature"/>
    <w:basedOn w:val="1"/>
    <w:link w:val="426"/>
    <w:autoRedefine/>
    <w:qFormat/>
    <w:uiPriority w:val="0"/>
    <w:pPr>
      <w:spacing w:line="240" w:lineRule="auto"/>
      <w:ind w:left="100" w:leftChars="2100"/>
    </w:pPr>
    <w:rPr>
      <w:rFonts w:cs="Times New Roman"/>
      <w:kern w:val="0"/>
      <w:sz w:val="20"/>
    </w:rPr>
  </w:style>
  <w:style w:type="paragraph" w:styleId="47">
    <w:name w:val="toc 1"/>
    <w:basedOn w:val="1"/>
    <w:next w:val="1"/>
    <w:autoRedefine/>
    <w:qFormat/>
    <w:uiPriority w:val="39"/>
    <w:pPr>
      <w:spacing w:before="120"/>
      <w:jc w:val="left"/>
    </w:pPr>
    <w:rPr>
      <w:rFonts w:asciiTheme="minorHAnsi" w:hAnsiTheme="minorHAnsi"/>
      <w:b/>
      <w:bCs/>
      <w:i/>
      <w:iCs/>
    </w:rPr>
  </w:style>
  <w:style w:type="paragraph" w:styleId="48">
    <w:name w:val="toc 4"/>
    <w:basedOn w:val="1"/>
    <w:next w:val="1"/>
    <w:autoRedefine/>
    <w:qFormat/>
    <w:uiPriority w:val="0"/>
    <w:pPr>
      <w:ind w:left="720"/>
      <w:jc w:val="left"/>
    </w:pPr>
    <w:rPr>
      <w:rFonts w:asciiTheme="minorHAnsi" w:hAnsiTheme="minorHAnsi"/>
      <w:sz w:val="20"/>
      <w:szCs w:val="20"/>
    </w:rPr>
  </w:style>
  <w:style w:type="paragraph" w:styleId="49">
    <w:name w:val="index heading"/>
    <w:basedOn w:val="1"/>
    <w:next w:val="50"/>
    <w:autoRedefine/>
    <w:qFormat/>
    <w:uiPriority w:val="0"/>
    <w:pPr>
      <w:spacing w:line="240" w:lineRule="auto"/>
    </w:pPr>
    <w:rPr>
      <w:rFonts w:eastAsia="隶书" w:cs="Times New Roman"/>
    </w:rPr>
  </w:style>
  <w:style w:type="paragraph" w:styleId="50">
    <w:name w:val="index 1"/>
    <w:basedOn w:val="1"/>
    <w:next w:val="1"/>
    <w:autoRedefine/>
    <w:qFormat/>
    <w:uiPriority w:val="0"/>
    <w:pPr>
      <w:spacing w:line="240" w:lineRule="auto"/>
    </w:pPr>
    <w:rPr>
      <w:rFonts w:cs="Times New Roman"/>
      <w:sz w:val="21"/>
      <w:szCs w:val="20"/>
    </w:rPr>
  </w:style>
  <w:style w:type="paragraph" w:styleId="51">
    <w:name w:val="Subtitle"/>
    <w:basedOn w:val="1"/>
    <w:link w:val="512"/>
    <w:autoRedefine/>
    <w:qFormat/>
    <w:uiPriority w:val="0"/>
    <w:pPr>
      <w:spacing w:before="240" w:after="60" w:line="312" w:lineRule="auto"/>
      <w:outlineLvl w:val="1"/>
    </w:pPr>
    <w:rPr>
      <w:rFonts w:ascii="Arial" w:hAnsi="Arial" w:cs="Times New Roman"/>
      <w:b/>
      <w:bCs/>
      <w:kern w:val="28"/>
      <w:sz w:val="32"/>
      <w:szCs w:val="32"/>
    </w:rPr>
  </w:style>
  <w:style w:type="paragraph" w:styleId="52">
    <w:name w:val="List"/>
    <w:basedOn w:val="1"/>
    <w:link w:val="177"/>
    <w:autoRedefine/>
    <w:qFormat/>
    <w:uiPriority w:val="0"/>
    <w:pPr>
      <w:spacing w:line="240" w:lineRule="auto"/>
      <w:ind w:left="200" w:hanging="200" w:hangingChars="200"/>
    </w:pPr>
    <w:rPr>
      <w:rFonts w:cs="Times New Roman"/>
      <w:sz w:val="21"/>
    </w:rPr>
  </w:style>
  <w:style w:type="paragraph" w:styleId="53">
    <w:name w:val="footnote text"/>
    <w:basedOn w:val="1"/>
    <w:link w:val="587"/>
    <w:autoRedefine/>
    <w:qFormat/>
    <w:uiPriority w:val="0"/>
    <w:pPr>
      <w:adjustRightInd w:val="0"/>
      <w:snapToGrid w:val="0"/>
      <w:ind w:firstLine="200" w:firstLineChars="200"/>
      <w:jc w:val="left"/>
    </w:pPr>
    <w:rPr>
      <w:rFonts w:cs="Times New Roman"/>
      <w:kern w:val="0"/>
      <w:szCs w:val="20"/>
    </w:rPr>
  </w:style>
  <w:style w:type="paragraph" w:styleId="54">
    <w:name w:val="toc 6"/>
    <w:basedOn w:val="1"/>
    <w:next w:val="1"/>
    <w:autoRedefine/>
    <w:qFormat/>
    <w:uiPriority w:val="0"/>
    <w:pPr>
      <w:ind w:left="1200"/>
      <w:jc w:val="left"/>
    </w:pPr>
    <w:rPr>
      <w:rFonts w:asciiTheme="minorHAnsi" w:hAnsiTheme="minorHAnsi"/>
      <w:sz w:val="20"/>
      <w:szCs w:val="20"/>
    </w:rPr>
  </w:style>
  <w:style w:type="paragraph" w:styleId="55">
    <w:name w:val="List 5"/>
    <w:basedOn w:val="1"/>
    <w:autoRedefine/>
    <w:qFormat/>
    <w:uiPriority w:val="0"/>
    <w:pPr>
      <w:ind w:left="2100" w:hanging="420" w:firstLineChars="200"/>
    </w:pPr>
    <w:rPr>
      <w:rFonts w:cs="Times New Roman"/>
      <w:sz w:val="28"/>
      <w:szCs w:val="20"/>
    </w:rPr>
  </w:style>
  <w:style w:type="paragraph" w:styleId="56">
    <w:name w:val="Body Text Indent 3"/>
    <w:basedOn w:val="1"/>
    <w:link w:val="543"/>
    <w:autoRedefine/>
    <w:qFormat/>
    <w:uiPriority w:val="0"/>
    <w:pPr>
      <w:spacing w:line="240" w:lineRule="auto"/>
      <w:ind w:firstLine="630"/>
    </w:pPr>
    <w:rPr>
      <w:rFonts w:cs="Times New Roman"/>
      <w:kern w:val="0"/>
      <w:sz w:val="32"/>
      <w:szCs w:val="20"/>
    </w:rPr>
  </w:style>
  <w:style w:type="paragraph" w:styleId="57">
    <w:name w:val="table of figures"/>
    <w:basedOn w:val="1"/>
    <w:next w:val="1"/>
    <w:link w:val="260"/>
    <w:autoRedefine/>
    <w:qFormat/>
    <w:uiPriority w:val="0"/>
    <w:pPr>
      <w:spacing w:line="240" w:lineRule="auto"/>
      <w:ind w:left="200" w:leftChars="200" w:hanging="200" w:hangingChars="200"/>
    </w:pPr>
    <w:rPr>
      <w:rFonts w:cs="Times New Roman"/>
      <w:kern w:val="0"/>
      <w:sz w:val="20"/>
    </w:rPr>
  </w:style>
  <w:style w:type="paragraph" w:styleId="58">
    <w:name w:val="toc 2"/>
    <w:basedOn w:val="1"/>
    <w:next w:val="1"/>
    <w:autoRedefine/>
    <w:qFormat/>
    <w:uiPriority w:val="39"/>
    <w:pPr>
      <w:spacing w:before="120"/>
      <w:ind w:left="240"/>
      <w:jc w:val="left"/>
    </w:pPr>
    <w:rPr>
      <w:rFonts w:asciiTheme="minorHAnsi" w:hAnsiTheme="minorHAnsi"/>
      <w:b/>
      <w:bCs/>
      <w:sz w:val="22"/>
      <w:szCs w:val="22"/>
    </w:rPr>
  </w:style>
  <w:style w:type="paragraph" w:styleId="59">
    <w:name w:val="toc 9"/>
    <w:basedOn w:val="1"/>
    <w:next w:val="1"/>
    <w:autoRedefine/>
    <w:qFormat/>
    <w:uiPriority w:val="0"/>
    <w:pPr>
      <w:ind w:left="1920"/>
      <w:jc w:val="left"/>
    </w:pPr>
    <w:rPr>
      <w:rFonts w:asciiTheme="minorHAnsi" w:hAnsiTheme="minorHAnsi"/>
      <w:sz w:val="20"/>
      <w:szCs w:val="20"/>
    </w:rPr>
  </w:style>
  <w:style w:type="paragraph" w:styleId="60">
    <w:name w:val="Body Text 2"/>
    <w:basedOn w:val="1"/>
    <w:link w:val="127"/>
    <w:autoRedefine/>
    <w:qFormat/>
    <w:uiPriority w:val="0"/>
    <w:pPr>
      <w:spacing w:after="120" w:line="480" w:lineRule="auto"/>
    </w:pPr>
  </w:style>
  <w:style w:type="paragraph" w:styleId="61">
    <w:name w:val="List 4"/>
    <w:basedOn w:val="1"/>
    <w:autoRedefine/>
    <w:qFormat/>
    <w:uiPriority w:val="0"/>
    <w:pPr>
      <w:ind w:left="1680" w:hanging="420" w:firstLineChars="200"/>
    </w:pPr>
    <w:rPr>
      <w:rFonts w:cs="Times New Roman"/>
      <w:sz w:val="28"/>
      <w:szCs w:val="20"/>
    </w:rPr>
  </w:style>
  <w:style w:type="paragraph" w:styleId="62">
    <w:name w:val="Message Header"/>
    <w:basedOn w:val="1"/>
    <w:link w:val="241"/>
    <w:autoRedefine/>
    <w:qFormat/>
    <w:uiPriority w:val="0"/>
    <w:pPr>
      <w:pBdr>
        <w:top w:val="single" w:color="auto" w:sz="6" w:space="1"/>
        <w:left w:val="single" w:color="auto" w:sz="6" w:space="1"/>
        <w:bottom w:val="single" w:color="auto" w:sz="6" w:space="1"/>
        <w:right w:val="single" w:color="auto" w:sz="6" w:space="1"/>
      </w:pBdr>
      <w:shd w:val="pct20" w:color="auto" w:fill="auto"/>
      <w:spacing w:line="240" w:lineRule="auto"/>
      <w:ind w:left="1080" w:leftChars="500" w:hanging="1080" w:hangingChars="500"/>
    </w:pPr>
    <w:rPr>
      <w:rFonts w:ascii="Arial" w:hAnsi="Arial" w:cs="Times New Roman"/>
      <w:kern w:val="0"/>
      <w:shd w:val="pct20" w:color="auto" w:fill="auto"/>
    </w:rPr>
  </w:style>
  <w:style w:type="paragraph" w:styleId="63">
    <w:name w:val="HTML Preformatted"/>
    <w:basedOn w:val="1"/>
    <w:link w:val="545"/>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cs="Times New Roman"/>
      <w:color w:val="000000"/>
      <w:kern w:val="0"/>
      <w:sz w:val="20"/>
      <w:szCs w:val="21"/>
    </w:rPr>
  </w:style>
  <w:style w:type="paragraph" w:styleId="64">
    <w:name w:val="Normal (Web)"/>
    <w:basedOn w:val="1"/>
    <w:link w:val="104"/>
    <w:autoRedefine/>
    <w:qFormat/>
    <w:uiPriority w:val="99"/>
    <w:pPr>
      <w:widowControl/>
      <w:spacing w:before="100" w:beforeAutospacing="1" w:after="100" w:afterAutospacing="1" w:line="240" w:lineRule="auto"/>
      <w:jc w:val="left"/>
    </w:pPr>
    <w:rPr>
      <w:rFonts w:cs="Times New Roman"/>
      <w:kern w:val="0"/>
    </w:rPr>
  </w:style>
  <w:style w:type="paragraph" w:styleId="65">
    <w:name w:val="List Continue 3"/>
    <w:basedOn w:val="1"/>
    <w:autoRedefine/>
    <w:qFormat/>
    <w:uiPriority w:val="0"/>
    <w:pPr>
      <w:spacing w:after="120" w:line="240" w:lineRule="auto"/>
      <w:ind w:left="1260" w:leftChars="600"/>
    </w:pPr>
    <w:rPr>
      <w:rFonts w:cs="Times New Roman"/>
      <w:sz w:val="21"/>
      <w:szCs w:val="20"/>
    </w:rPr>
  </w:style>
  <w:style w:type="paragraph" w:styleId="66">
    <w:name w:val="Title"/>
    <w:next w:val="67"/>
    <w:link w:val="247"/>
    <w:autoRedefine/>
    <w:qFormat/>
    <w:uiPriority w:val="0"/>
    <w:pPr>
      <w:keepLines/>
      <w:pageBreakBefore/>
      <w:widowControl w:val="0"/>
      <w:spacing w:before="240" w:after="120"/>
      <w:jc w:val="center"/>
      <w:outlineLvl w:val="0"/>
    </w:pPr>
    <w:rPr>
      <w:rFonts w:ascii="Times New Roman" w:hAnsi="Times New Roman" w:eastAsia="黑体" w:cs="Times New Roman"/>
      <w:b/>
      <w:kern w:val="2"/>
      <w:sz w:val="36"/>
      <w:lang w:val="en-US" w:eastAsia="zh-CN" w:bidi="ar-SA"/>
    </w:rPr>
  </w:style>
  <w:style w:type="paragraph" w:styleId="67">
    <w:name w:val="Body Text First Indent"/>
    <w:basedOn w:val="26"/>
    <w:link w:val="142"/>
    <w:autoRedefine/>
    <w:qFormat/>
    <w:uiPriority w:val="99"/>
    <w:pPr>
      <w:spacing w:after="120"/>
      <w:ind w:firstLine="420"/>
    </w:pPr>
    <w:rPr>
      <w:rFonts w:ascii="Times New Roman" w:hAnsi="Times New Roman" w:eastAsia="新宋体" w:cstheme="minorBidi"/>
      <w:lang w:val="en-US" w:bidi="ar-SA"/>
    </w:rPr>
  </w:style>
  <w:style w:type="paragraph" w:styleId="68">
    <w:name w:val="annotation subject"/>
    <w:basedOn w:val="21"/>
    <w:next w:val="21"/>
    <w:link w:val="138"/>
    <w:autoRedefine/>
    <w:qFormat/>
    <w:uiPriority w:val="0"/>
    <w:rPr>
      <w:b/>
      <w:bCs/>
    </w:rPr>
  </w:style>
  <w:style w:type="paragraph" w:styleId="69">
    <w:name w:val="Body Text First Indent 2"/>
    <w:basedOn w:val="27"/>
    <w:next w:val="1"/>
    <w:link w:val="204"/>
    <w:autoRedefine/>
    <w:qFormat/>
    <w:uiPriority w:val="0"/>
    <w:pPr>
      <w:spacing w:line="240" w:lineRule="auto"/>
      <w:ind w:left="0" w:leftChars="0" w:firstLine="0" w:firstLineChars="0"/>
    </w:pPr>
    <w:rPr>
      <w:rFonts w:eastAsia="仿宋_GB2312" w:cs="Times New Roman"/>
      <w:snapToGrid w:val="0"/>
      <w:color w:val="000000"/>
      <w:sz w:val="28"/>
      <w:szCs w:val="32"/>
    </w:rPr>
  </w:style>
  <w:style w:type="table" w:styleId="71">
    <w:name w:val="Table Grid"/>
    <w:basedOn w:val="70"/>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72">
    <w:name w:val="Table Theme"/>
    <w:basedOn w:val="7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73">
    <w:name w:val="Table Colorful 3"/>
    <w:basedOn w:val="70"/>
    <w:autoRedefine/>
    <w:qFormat/>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CellMar>
        <w:top w:w="0" w:type="dxa"/>
        <w:left w:w="108" w:type="dxa"/>
        <w:bottom w:w="0" w:type="dxa"/>
        <w:right w:w="108" w:type="dxa"/>
      </w:tblCellMar>
    </w:tblPr>
    <w:tcPr>
      <w:shd w:val="pct25" w:color="008080" w:fill="FFFFFF"/>
    </w:tcPr>
    <w:tblStylePr w:type="firstRow">
      <w:tblPr/>
      <w:tcPr>
        <w:tcBorders>
          <w:top w:val="nil"/>
          <w:left w:val="nil"/>
          <w:bottom w:val="single" w:color="000000" w:sz="6" w:space="0"/>
          <w:right w:val="nil"/>
          <w:insideH w:val="nil"/>
          <w:insideV w:val="nil"/>
          <w:tl2br w:val="nil"/>
          <w:tr2bl w:val="nil"/>
        </w:tcBorders>
        <w:shd w:val="solid" w:color="008080" w:fill="FFFFFF"/>
      </w:tcPr>
    </w:tblStylePr>
    <w:tblStylePr w:type="firstCol">
      <w:tblPr/>
      <w:tcPr>
        <w:tcBorders>
          <w:top w:val="nil"/>
          <w:left w:val="single" w:color="000000" w:sz="36" w:space="0"/>
          <w:bottom w:val="nil"/>
          <w:right w:val="single" w:color="000000" w:sz="6" w:space="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74">
    <w:name w:val="Table Classic 1"/>
    <w:basedOn w:val="70"/>
    <w:autoRedefine/>
    <w:qFormat/>
    <w:uiPriority w:val="0"/>
    <w:pPr>
      <w:widowControl w:val="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iCs/>
      </w:rPr>
      <w:tblPr/>
      <w:tcPr>
        <w:tcBorders>
          <w:top w:val="nil"/>
          <w:left w:val="nil"/>
          <w:bottom w:val="single" w:color="000000" w:sz="6" w:space="0"/>
          <w:right w:val="nil"/>
          <w:insideH w:val="nil"/>
          <w:insideV w:val="nil"/>
          <w:tl2br w:val="nil"/>
          <w:tr2bl w:val="nil"/>
        </w:tcBorders>
      </w:tcPr>
    </w:tblStylePr>
    <w:tblStylePr w:type="lastRow">
      <w:rPr>
        <w:color w:val="auto"/>
      </w:rPr>
      <w:tblPr/>
      <w:tcPr>
        <w:tcBorders>
          <w:top w:val="single" w:color="000000" w:sz="6" w:space="0"/>
          <w:left w:val="nil"/>
          <w:bottom w:val="nil"/>
          <w:right w:val="nil"/>
          <w:insideH w:val="nil"/>
          <w:insideV w:val="nil"/>
          <w:tl2br w:val="nil"/>
          <w:tr2bl w:val="nil"/>
        </w:tcBorders>
      </w:tcPr>
    </w:tblStylePr>
    <w:tblStylePr w:type="firstCol">
      <w:tblPr/>
      <w:tcPr>
        <w:tcBorders>
          <w:top w:val="nil"/>
          <w:left w:val="nil"/>
          <w:bottom w:val="nil"/>
          <w:right w:val="single" w:color="000000"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75">
    <w:name w:val="Table Grid 2"/>
    <w:basedOn w:val="70"/>
    <w:autoRedefine/>
    <w:qFormat/>
    <w:uiPriority w:val="0"/>
    <w:pPr>
      <w:spacing w:line="520" w:lineRule="exact"/>
      <w:ind w:firstLine="700" w:firstLineChars="250"/>
      <w:jc w:val="both"/>
    </w:pPr>
    <w:tblPr>
      <w:tblBorders>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character" w:styleId="77">
    <w:name w:val="Strong"/>
    <w:autoRedefine/>
    <w:qFormat/>
    <w:uiPriority w:val="0"/>
    <w:rPr>
      <w:rFonts w:ascii="Times New Roman" w:hAnsi="Times New Roman" w:eastAsia="宋体" w:cs="Times New Roman"/>
      <w:b/>
      <w:bCs/>
    </w:rPr>
  </w:style>
  <w:style w:type="character" w:styleId="78">
    <w:name w:val="page number"/>
    <w:basedOn w:val="76"/>
    <w:autoRedefine/>
    <w:qFormat/>
    <w:uiPriority w:val="0"/>
  </w:style>
  <w:style w:type="character" w:styleId="79">
    <w:name w:val="FollowedHyperlink"/>
    <w:autoRedefine/>
    <w:qFormat/>
    <w:uiPriority w:val="99"/>
    <w:rPr>
      <w:color w:val="800080"/>
      <w:u w:val="single"/>
    </w:rPr>
  </w:style>
  <w:style w:type="character" w:styleId="80">
    <w:name w:val="Emphasis"/>
    <w:autoRedefine/>
    <w:qFormat/>
    <w:uiPriority w:val="20"/>
    <w:rPr>
      <w:rFonts w:ascii="Times New Roman" w:hAnsi="Times New Roman" w:eastAsia="宋体" w:cs="Times New Roman"/>
      <w:color w:val="CC0033"/>
    </w:rPr>
  </w:style>
  <w:style w:type="character" w:styleId="81">
    <w:name w:val="HTML Definition"/>
    <w:autoRedefine/>
    <w:unhideWhenUsed/>
    <w:qFormat/>
    <w:uiPriority w:val="99"/>
  </w:style>
  <w:style w:type="character" w:styleId="82">
    <w:name w:val="HTML Variable"/>
    <w:autoRedefine/>
    <w:unhideWhenUsed/>
    <w:qFormat/>
    <w:uiPriority w:val="99"/>
  </w:style>
  <w:style w:type="character" w:styleId="83">
    <w:name w:val="Hyperlink"/>
    <w:basedOn w:val="76"/>
    <w:autoRedefine/>
    <w:unhideWhenUsed/>
    <w:qFormat/>
    <w:uiPriority w:val="99"/>
    <w:rPr>
      <w:color w:val="0563C1" w:themeColor="hyperlink"/>
      <w:u w:val="single"/>
      <w14:textFill>
        <w14:solidFill>
          <w14:schemeClr w14:val="hlink"/>
        </w14:solidFill>
      </w14:textFill>
    </w:rPr>
  </w:style>
  <w:style w:type="character" w:styleId="84">
    <w:name w:val="HTML Code"/>
    <w:autoRedefine/>
    <w:unhideWhenUsed/>
    <w:qFormat/>
    <w:uiPriority w:val="0"/>
    <w:rPr>
      <w:rFonts w:hint="default" w:ascii="PingFang SC" w:hAnsi="PingFang SC" w:eastAsia="PingFang SC" w:cs="PingFang SC"/>
      <w:sz w:val="20"/>
    </w:rPr>
  </w:style>
  <w:style w:type="character" w:styleId="85">
    <w:name w:val="annotation reference"/>
    <w:basedOn w:val="76"/>
    <w:autoRedefine/>
    <w:qFormat/>
    <w:uiPriority w:val="0"/>
    <w:rPr>
      <w:sz w:val="21"/>
      <w:szCs w:val="21"/>
    </w:rPr>
  </w:style>
  <w:style w:type="character" w:styleId="86">
    <w:name w:val="HTML Cite"/>
    <w:autoRedefine/>
    <w:qFormat/>
    <w:uiPriority w:val="99"/>
    <w:rPr>
      <w:rFonts w:ascii="Times New Roman" w:hAnsi="Times New Roman" w:eastAsia="宋体" w:cs="Times New Roman"/>
    </w:rPr>
  </w:style>
  <w:style w:type="character" w:styleId="87">
    <w:name w:val="HTML Keyboard"/>
    <w:autoRedefine/>
    <w:unhideWhenUsed/>
    <w:qFormat/>
    <w:uiPriority w:val="99"/>
    <w:rPr>
      <w:rFonts w:hint="default" w:ascii="PingFang SC" w:hAnsi="PingFang SC" w:eastAsia="PingFang SC" w:cs="PingFang SC"/>
      <w:sz w:val="20"/>
    </w:rPr>
  </w:style>
  <w:style w:type="character" w:styleId="88">
    <w:name w:val="HTML Sample"/>
    <w:autoRedefine/>
    <w:unhideWhenUsed/>
    <w:qFormat/>
    <w:uiPriority w:val="99"/>
    <w:rPr>
      <w:rFonts w:hint="eastAsia" w:ascii="PingFang SC" w:hAnsi="PingFang SC" w:eastAsia="PingFang SC" w:cs="PingFang SC"/>
    </w:rPr>
  </w:style>
  <w:style w:type="paragraph" w:customStyle="1" w:styleId="89">
    <w:name w:val="Normal (Web)1"/>
    <w:basedOn w:val="1"/>
    <w:next w:val="90"/>
    <w:autoRedefine/>
    <w:qFormat/>
    <w:uiPriority w:val="0"/>
    <w:pPr>
      <w:widowControl/>
      <w:jc w:val="left"/>
    </w:pPr>
    <w:rPr>
      <w:rFonts w:cs="Times New Roman"/>
      <w:kern w:val="0"/>
      <w:szCs w:val="21"/>
    </w:rPr>
  </w:style>
  <w:style w:type="paragraph" w:customStyle="1" w:styleId="90">
    <w:name w:val="Date1"/>
    <w:basedOn w:val="1"/>
    <w:next w:val="1"/>
    <w:autoRedefine/>
    <w:qFormat/>
    <w:uiPriority w:val="0"/>
    <w:pPr>
      <w:adjustRightInd w:val="0"/>
      <w:spacing w:line="240" w:lineRule="auto"/>
      <w:textAlignment w:val="baseline"/>
    </w:pPr>
    <w:rPr>
      <w:rFonts w:cs="Times New Roman"/>
      <w:sz w:val="21"/>
      <w:szCs w:val="20"/>
    </w:rPr>
  </w:style>
  <w:style w:type="paragraph" w:customStyle="1" w:styleId="91">
    <w:name w:val="缩进2"/>
    <w:basedOn w:val="1"/>
    <w:link w:val="94"/>
    <w:autoRedefine/>
    <w:qFormat/>
    <w:uiPriority w:val="0"/>
    <w:pPr>
      <w:ind w:firstLine="476" w:firstLineChars="200"/>
    </w:pPr>
  </w:style>
  <w:style w:type="paragraph" w:customStyle="1" w:styleId="92">
    <w:name w:val="表头"/>
    <w:basedOn w:val="91"/>
    <w:link w:val="362"/>
    <w:autoRedefine/>
    <w:qFormat/>
    <w:uiPriority w:val="0"/>
    <w:pPr>
      <w:ind w:firstLine="0" w:firstLineChars="0"/>
    </w:pPr>
    <w:rPr>
      <w:b/>
      <w:sz w:val="21"/>
    </w:rPr>
  </w:style>
  <w:style w:type="paragraph" w:customStyle="1" w:styleId="93">
    <w:name w:val="表字"/>
    <w:basedOn w:val="92"/>
    <w:autoRedefine/>
    <w:qFormat/>
    <w:uiPriority w:val="0"/>
    <w:pPr>
      <w:spacing w:line="240" w:lineRule="auto"/>
    </w:pPr>
    <w:rPr>
      <w:b w:val="0"/>
    </w:rPr>
  </w:style>
  <w:style w:type="character" w:customStyle="1" w:styleId="94">
    <w:name w:val="缩进2 Char"/>
    <w:link w:val="91"/>
    <w:autoRedefine/>
    <w:qFormat/>
    <w:uiPriority w:val="0"/>
  </w:style>
  <w:style w:type="paragraph" w:customStyle="1" w:styleId="95">
    <w:name w:val="Default"/>
    <w:link w:val="117"/>
    <w:autoRedefine/>
    <w:qFormat/>
    <w:uiPriority w:val="0"/>
    <w:pPr>
      <w:widowControl w:val="0"/>
      <w:autoSpaceDE w:val="0"/>
      <w:autoSpaceDN w:val="0"/>
      <w:adjustRightInd w:val="0"/>
    </w:pPr>
    <w:rPr>
      <w:rFonts w:ascii="仿宋_GB2312" w:hAnsi="Times New Roman" w:eastAsia="仿宋_GB2312" w:cs="Times New Roman"/>
      <w:color w:val="000000"/>
      <w:sz w:val="24"/>
      <w:szCs w:val="24"/>
      <w:lang w:val="en-US" w:eastAsia="zh-CN" w:bidi="ar-SA"/>
    </w:rPr>
  </w:style>
  <w:style w:type="paragraph" w:customStyle="1" w:styleId="96">
    <w:name w:val="正文1"/>
    <w:link w:val="130"/>
    <w:autoRedefine/>
    <w:qFormat/>
    <w:uiPriority w:val="0"/>
    <w:pPr>
      <w:widowControl w:val="0"/>
      <w:adjustRightInd w:val="0"/>
      <w:spacing w:line="360" w:lineRule="atLeast"/>
    </w:pPr>
    <w:rPr>
      <w:rFonts w:ascii="宋体" w:hAnsi="Times New Roman" w:eastAsia="宋体" w:cs="Times New Roman"/>
      <w:kern w:val="2"/>
      <w:sz w:val="24"/>
      <w:szCs w:val="22"/>
      <w:lang w:val="en-US" w:eastAsia="zh-CN" w:bidi="ar-SA"/>
    </w:rPr>
  </w:style>
  <w:style w:type="paragraph" w:styleId="97">
    <w:name w:val="List Paragraph"/>
    <w:basedOn w:val="1"/>
    <w:link w:val="1374"/>
    <w:autoRedefine/>
    <w:qFormat/>
    <w:uiPriority w:val="0"/>
    <w:pPr>
      <w:ind w:left="828" w:hanging="667"/>
    </w:pPr>
  </w:style>
  <w:style w:type="paragraph" w:customStyle="1" w:styleId="98">
    <w:name w:val="Table Paragraph"/>
    <w:basedOn w:val="1"/>
    <w:autoRedefine/>
    <w:qFormat/>
    <w:uiPriority w:val="1"/>
  </w:style>
  <w:style w:type="paragraph" w:customStyle="1" w:styleId="99">
    <w:name w:val="正文+首缩2"/>
    <w:basedOn w:val="1"/>
    <w:autoRedefine/>
    <w:qFormat/>
    <w:uiPriority w:val="0"/>
    <w:pPr>
      <w:ind w:firstLine="200" w:firstLineChars="200"/>
    </w:pPr>
    <w:rPr>
      <w:spacing w:val="12"/>
    </w:rPr>
  </w:style>
  <w:style w:type="character" w:customStyle="1" w:styleId="100">
    <w:name w:val="批注框文本 Char"/>
    <w:basedOn w:val="76"/>
    <w:link w:val="43"/>
    <w:autoRedefine/>
    <w:qFormat/>
    <w:uiPriority w:val="99"/>
    <w:rPr>
      <w:rFonts w:eastAsia="新宋体" w:cstheme="minorBidi"/>
      <w:kern w:val="2"/>
      <w:sz w:val="18"/>
      <w:szCs w:val="18"/>
    </w:rPr>
  </w:style>
  <w:style w:type="paragraph" w:customStyle="1" w:styleId="101">
    <w:name w:val="TOC 标题1"/>
    <w:basedOn w:val="3"/>
    <w:next w:val="1"/>
    <w:autoRedefine/>
    <w:unhideWhenUsed/>
    <w:qFormat/>
    <w:uiPriority w:val="39"/>
    <w:pPr>
      <w:widowControl/>
      <w:spacing w:before="480" w:line="276" w:lineRule="auto"/>
      <w:jc w:val="left"/>
      <w:outlineLvl w:val="9"/>
    </w:pPr>
    <w:rPr>
      <w:rFonts w:asciiTheme="majorHAnsi" w:hAnsiTheme="majorHAnsi" w:eastAsiaTheme="majorEastAsia" w:cstheme="majorBidi"/>
      <w:bCs/>
      <w:color w:val="2E75B6" w:themeColor="accent1" w:themeShade="BF"/>
      <w:kern w:val="0"/>
      <w:sz w:val="28"/>
      <w:szCs w:val="28"/>
    </w:rPr>
  </w:style>
  <w:style w:type="paragraph" w:customStyle="1" w:styleId="102">
    <w:name w:val="正文13"/>
    <w:autoRedefine/>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103">
    <w:name w:val="Char Char Char1 Char"/>
    <w:basedOn w:val="1"/>
    <w:autoRedefine/>
    <w:semiHidden/>
    <w:qFormat/>
    <w:uiPriority w:val="0"/>
    <w:pPr>
      <w:spacing w:line="240" w:lineRule="auto"/>
    </w:pPr>
    <w:rPr>
      <w:rFonts w:cs="Times New Roman"/>
      <w:sz w:val="21"/>
    </w:rPr>
  </w:style>
  <w:style w:type="character" w:customStyle="1" w:styleId="104">
    <w:name w:val="普通(网站) Char"/>
    <w:link w:val="64"/>
    <w:autoRedefine/>
    <w:qFormat/>
    <w:locked/>
    <w:uiPriority w:val="99"/>
    <w:rPr>
      <w:rFonts w:ascii="宋体" w:hAnsi="宋体"/>
      <w:sz w:val="24"/>
      <w:szCs w:val="24"/>
      <w:lang w:val="zh-CN" w:eastAsia="zh-CN"/>
    </w:rPr>
  </w:style>
  <w:style w:type="paragraph" w:customStyle="1" w:styleId="105">
    <w:name w:val="表格及图件"/>
    <w:basedOn w:val="1"/>
    <w:link w:val="106"/>
    <w:autoRedefine/>
    <w:qFormat/>
    <w:uiPriority w:val="0"/>
    <w:pPr>
      <w:tabs>
        <w:tab w:val="left" w:pos="4440"/>
      </w:tabs>
      <w:autoSpaceDE w:val="0"/>
      <w:autoSpaceDN w:val="0"/>
      <w:adjustRightInd w:val="0"/>
      <w:spacing w:line="460" w:lineRule="exact"/>
      <w:textAlignment w:val="bottom"/>
    </w:pPr>
    <w:rPr>
      <w:rFonts w:eastAsia="黑体" w:cs="Times New Roman"/>
      <w:spacing w:val="16"/>
      <w:kern w:val="0"/>
      <w:szCs w:val="20"/>
    </w:rPr>
  </w:style>
  <w:style w:type="character" w:customStyle="1" w:styleId="106">
    <w:name w:val="表格及图件 Char"/>
    <w:link w:val="105"/>
    <w:autoRedefine/>
    <w:qFormat/>
    <w:uiPriority w:val="0"/>
    <w:rPr>
      <w:rFonts w:eastAsia="黑体"/>
      <w:spacing w:val="16"/>
      <w:sz w:val="24"/>
      <w:lang w:val="zh-CN" w:eastAsia="zh-CN"/>
    </w:rPr>
  </w:style>
  <w:style w:type="paragraph" w:customStyle="1" w:styleId="107">
    <w:name w:val="报告样式"/>
    <w:basedOn w:val="1"/>
    <w:link w:val="108"/>
    <w:autoRedefine/>
    <w:qFormat/>
    <w:uiPriority w:val="0"/>
    <w:pPr>
      <w:spacing w:line="460" w:lineRule="exact"/>
      <w:ind w:firstLine="200" w:firstLineChars="200"/>
      <w:jc w:val="left"/>
    </w:pPr>
    <w:rPr>
      <w:rFonts w:cs="Times New Roman"/>
      <w:spacing w:val="20"/>
    </w:rPr>
  </w:style>
  <w:style w:type="character" w:customStyle="1" w:styleId="108">
    <w:name w:val="报告样式 Char"/>
    <w:link w:val="107"/>
    <w:autoRedefine/>
    <w:qFormat/>
    <w:uiPriority w:val="0"/>
    <w:rPr>
      <w:spacing w:val="20"/>
      <w:kern w:val="2"/>
      <w:sz w:val="24"/>
      <w:szCs w:val="24"/>
      <w:lang w:val="zh-CN" w:eastAsia="zh-CN"/>
    </w:rPr>
  </w:style>
  <w:style w:type="character" w:customStyle="1" w:styleId="109">
    <w:name w:val="页眉 Char"/>
    <w:link w:val="45"/>
    <w:autoRedefine/>
    <w:qFormat/>
    <w:uiPriority w:val="99"/>
    <w:rPr>
      <w:rFonts w:eastAsia="新宋体" w:cstheme="minorBidi"/>
      <w:kern w:val="2"/>
      <w:sz w:val="18"/>
      <w:szCs w:val="24"/>
    </w:rPr>
  </w:style>
  <w:style w:type="character" w:customStyle="1" w:styleId="110">
    <w:name w:val="正文缩进 Char"/>
    <w:link w:val="17"/>
    <w:autoRedefine/>
    <w:qFormat/>
    <w:uiPriority w:val="0"/>
    <w:rPr>
      <w:color w:val="000000"/>
      <w:sz w:val="24"/>
      <w:szCs w:val="18"/>
      <w:lang w:val="zh-CN" w:eastAsia="zh-CN"/>
    </w:rPr>
  </w:style>
  <w:style w:type="character" w:customStyle="1" w:styleId="111">
    <w:name w:val="标题 1 + 段前: 0.5 行 段后: 0.5 行1 Char"/>
    <w:link w:val="112"/>
    <w:autoRedefine/>
    <w:qFormat/>
    <w:uiPriority w:val="0"/>
    <w:rPr>
      <w:rFonts w:ascii="宋体" w:hAnsi="宋体"/>
      <w:kern w:val="44"/>
      <w:sz w:val="36"/>
      <w:szCs w:val="36"/>
    </w:rPr>
  </w:style>
  <w:style w:type="paragraph" w:customStyle="1" w:styleId="112">
    <w:name w:val="标题 1 + 段前: 0.5 行 段后: 0.5 行1"/>
    <w:basedOn w:val="1"/>
    <w:link w:val="111"/>
    <w:autoRedefine/>
    <w:qFormat/>
    <w:uiPriority w:val="0"/>
    <w:pPr>
      <w:spacing w:before="600" w:after="480" w:line="460" w:lineRule="exact"/>
      <w:ind w:left="-178" w:leftChars="-85" w:right="-88" w:rightChars="-42"/>
      <w:outlineLvl w:val="0"/>
    </w:pPr>
    <w:rPr>
      <w:rFonts w:cs="Times New Roman"/>
      <w:kern w:val="44"/>
      <w:sz w:val="36"/>
      <w:szCs w:val="36"/>
    </w:rPr>
  </w:style>
  <w:style w:type="character" w:customStyle="1" w:styleId="113">
    <w:name w:val="3zw1"/>
    <w:autoRedefine/>
    <w:qFormat/>
    <w:uiPriority w:val="0"/>
    <w:rPr>
      <w:color w:val="000000"/>
      <w:sz w:val="21"/>
      <w:szCs w:val="21"/>
    </w:rPr>
  </w:style>
  <w:style w:type="character" w:styleId="114">
    <w:name w:val="Placeholder Text"/>
    <w:basedOn w:val="76"/>
    <w:autoRedefine/>
    <w:unhideWhenUsed/>
    <w:qFormat/>
    <w:uiPriority w:val="99"/>
    <w:rPr>
      <w:color w:val="808080"/>
    </w:rPr>
  </w:style>
  <w:style w:type="character" w:customStyle="1" w:styleId="115">
    <w:name w:val="【表头】 Char"/>
    <w:link w:val="116"/>
    <w:autoRedefine/>
    <w:qFormat/>
    <w:uiPriority w:val="0"/>
    <w:rPr>
      <w:rFonts w:eastAsia="黑体"/>
      <w:sz w:val="24"/>
    </w:rPr>
  </w:style>
  <w:style w:type="paragraph" w:customStyle="1" w:styleId="116">
    <w:name w:val="【表头】"/>
    <w:basedOn w:val="1"/>
    <w:link w:val="115"/>
    <w:autoRedefine/>
    <w:qFormat/>
    <w:uiPriority w:val="0"/>
    <w:pPr>
      <w:spacing w:line="460" w:lineRule="exact"/>
    </w:pPr>
    <w:rPr>
      <w:rFonts w:eastAsia="黑体" w:cs="Times New Roman"/>
      <w:kern w:val="0"/>
      <w:szCs w:val="20"/>
    </w:rPr>
  </w:style>
  <w:style w:type="character" w:customStyle="1" w:styleId="117">
    <w:name w:val="Default Char Char"/>
    <w:link w:val="95"/>
    <w:autoRedefine/>
    <w:qFormat/>
    <w:uiPriority w:val="0"/>
    <w:rPr>
      <w:rFonts w:ascii="仿宋_GB2312" w:eastAsia="仿宋_GB2312"/>
      <w:color w:val="000000"/>
      <w:sz w:val="24"/>
      <w:szCs w:val="24"/>
    </w:rPr>
  </w:style>
  <w:style w:type="character" w:customStyle="1" w:styleId="118">
    <w:name w:val="正文文本缩进 Char"/>
    <w:basedOn w:val="76"/>
    <w:link w:val="27"/>
    <w:autoRedefine/>
    <w:qFormat/>
    <w:uiPriority w:val="0"/>
    <w:rPr>
      <w:rFonts w:eastAsia="新宋体" w:cstheme="minorBidi"/>
      <w:kern w:val="2"/>
      <w:sz w:val="24"/>
      <w:szCs w:val="24"/>
    </w:rPr>
  </w:style>
  <w:style w:type="paragraph" w:customStyle="1" w:styleId="119">
    <w:name w:val="正文(首行缩进)"/>
    <w:basedOn w:val="1"/>
    <w:link w:val="120"/>
    <w:autoRedefine/>
    <w:qFormat/>
    <w:uiPriority w:val="0"/>
    <w:pPr>
      <w:ind w:firstLine="540" w:firstLineChars="225"/>
    </w:pPr>
    <w:rPr>
      <w:rFonts w:cs="Times New Roman"/>
      <w:snapToGrid w:val="0"/>
      <w:color w:val="000000"/>
      <w:kern w:val="0"/>
    </w:rPr>
  </w:style>
  <w:style w:type="character" w:customStyle="1" w:styleId="120">
    <w:name w:val="正文(首行缩进) Char1"/>
    <w:link w:val="119"/>
    <w:autoRedefine/>
    <w:qFormat/>
    <w:uiPriority w:val="0"/>
    <w:rPr>
      <w:snapToGrid w:val="0"/>
      <w:color w:val="000000"/>
      <w:sz w:val="24"/>
      <w:szCs w:val="24"/>
      <w:lang w:val="zh-CN" w:eastAsia="zh-CN"/>
    </w:rPr>
  </w:style>
  <w:style w:type="paragraph" w:customStyle="1" w:styleId="121">
    <w:name w:val="【正文】"/>
    <w:basedOn w:val="1"/>
    <w:next w:val="62"/>
    <w:link w:val="122"/>
    <w:autoRedefine/>
    <w:qFormat/>
    <w:uiPriority w:val="0"/>
    <w:pPr>
      <w:spacing w:line="440" w:lineRule="exact"/>
      <w:ind w:firstLine="544" w:firstLineChars="200"/>
    </w:pPr>
    <w:rPr>
      <w:rFonts w:cs="Times New Roman"/>
      <w:spacing w:val="16"/>
      <w:szCs w:val="20"/>
    </w:rPr>
  </w:style>
  <w:style w:type="character" w:customStyle="1" w:styleId="122">
    <w:name w:val="【正文】 Char"/>
    <w:link w:val="121"/>
    <w:autoRedefine/>
    <w:qFormat/>
    <w:uiPriority w:val="0"/>
    <w:rPr>
      <w:spacing w:val="16"/>
      <w:kern w:val="2"/>
      <w:sz w:val="24"/>
      <w:lang w:val="zh-CN" w:eastAsia="zh-CN"/>
    </w:rPr>
  </w:style>
  <w:style w:type="paragraph" w:customStyle="1" w:styleId="123">
    <w:name w:val="表格"/>
    <w:basedOn w:val="1"/>
    <w:autoRedefine/>
    <w:qFormat/>
    <w:uiPriority w:val="0"/>
    <w:pPr>
      <w:spacing w:line="400" w:lineRule="exact"/>
    </w:pPr>
    <w:rPr>
      <w:rFonts w:cs="Times New Roman"/>
      <w:color w:val="000000"/>
      <w:sz w:val="21"/>
      <w:szCs w:val="21"/>
    </w:rPr>
  </w:style>
  <w:style w:type="character" w:customStyle="1" w:styleId="124">
    <w:name w:val="批注文字 Char"/>
    <w:basedOn w:val="76"/>
    <w:link w:val="21"/>
    <w:autoRedefine/>
    <w:qFormat/>
    <w:uiPriority w:val="0"/>
    <w:rPr>
      <w:rFonts w:eastAsia="新宋体" w:cstheme="minorBidi"/>
      <w:kern w:val="2"/>
      <w:sz w:val="24"/>
      <w:szCs w:val="24"/>
    </w:rPr>
  </w:style>
  <w:style w:type="character" w:customStyle="1" w:styleId="125">
    <w:name w:val="正文 New New Char"/>
    <w:link w:val="126"/>
    <w:autoRedefine/>
    <w:qFormat/>
    <w:uiPriority w:val="99"/>
    <w:rPr>
      <w:kern w:val="2"/>
      <w:sz w:val="21"/>
      <w:szCs w:val="24"/>
    </w:rPr>
  </w:style>
  <w:style w:type="paragraph" w:customStyle="1" w:styleId="126">
    <w:name w:val="正文 New New"/>
    <w:link w:val="125"/>
    <w:autoRedefine/>
    <w:qFormat/>
    <w:uiPriority w:val="99"/>
    <w:pPr>
      <w:widowControl w:val="0"/>
      <w:jc w:val="both"/>
    </w:pPr>
    <w:rPr>
      <w:rFonts w:ascii="Times New Roman" w:hAnsi="Times New Roman" w:eastAsia="宋体" w:cs="Times New Roman"/>
      <w:kern w:val="2"/>
      <w:sz w:val="21"/>
      <w:szCs w:val="24"/>
      <w:lang w:val="en-US" w:eastAsia="zh-CN" w:bidi="ar-SA"/>
    </w:rPr>
  </w:style>
  <w:style w:type="character" w:customStyle="1" w:styleId="127">
    <w:name w:val="正文文本 2 Char"/>
    <w:basedOn w:val="76"/>
    <w:link w:val="60"/>
    <w:autoRedefine/>
    <w:qFormat/>
    <w:uiPriority w:val="0"/>
    <w:rPr>
      <w:rFonts w:eastAsia="新宋体" w:cstheme="minorBidi"/>
      <w:kern w:val="2"/>
      <w:sz w:val="24"/>
      <w:szCs w:val="24"/>
    </w:rPr>
  </w:style>
  <w:style w:type="character" w:customStyle="1" w:styleId="128">
    <w:name w:val="样式 首行缩进:  2 字符1 Char Char"/>
    <w:link w:val="129"/>
    <w:autoRedefine/>
    <w:qFormat/>
    <w:uiPriority w:val="0"/>
    <w:rPr>
      <w:rFonts w:cs="宋体"/>
      <w:kern w:val="2"/>
      <w:sz w:val="24"/>
    </w:rPr>
  </w:style>
  <w:style w:type="paragraph" w:customStyle="1" w:styleId="129">
    <w:name w:val="样式 首行缩进:  2 字符1"/>
    <w:basedOn w:val="1"/>
    <w:link w:val="128"/>
    <w:autoRedefine/>
    <w:qFormat/>
    <w:uiPriority w:val="0"/>
    <w:pPr>
      <w:adjustRightInd w:val="0"/>
      <w:snapToGrid w:val="0"/>
      <w:ind w:firstLine="480" w:firstLineChars="200"/>
    </w:pPr>
    <w:rPr>
      <w:szCs w:val="20"/>
    </w:rPr>
  </w:style>
  <w:style w:type="character" w:customStyle="1" w:styleId="130">
    <w:name w:val="正文1 Char"/>
    <w:link w:val="96"/>
    <w:autoRedefine/>
    <w:qFormat/>
    <w:uiPriority w:val="0"/>
    <w:rPr>
      <w:rFonts w:ascii="宋体"/>
      <w:kern w:val="2"/>
      <w:sz w:val="24"/>
      <w:szCs w:val="22"/>
    </w:rPr>
  </w:style>
  <w:style w:type="paragraph" w:customStyle="1" w:styleId="131">
    <w:name w:val="样式 (中文) 仿宋_GB2312 四号 加粗 行距: 最小值 26 磅"/>
    <w:basedOn w:val="1"/>
    <w:link w:val="132"/>
    <w:autoRedefine/>
    <w:qFormat/>
    <w:uiPriority w:val="0"/>
    <w:pPr>
      <w:spacing w:line="520" w:lineRule="atLeast"/>
    </w:pPr>
    <w:rPr>
      <w:rFonts w:eastAsia="仿宋_GB2312"/>
      <w:b/>
      <w:bCs/>
      <w:sz w:val="28"/>
      <w:szCs w:val="20"/>
    </w:rPr>
  </w:style>
  <w:style w:type="character" w:customStyle="1" w:styleId="132">
    <w:name w:val="样式 (中文) 仿宋_GB2312 四号 加粗 行距: 最小值 26 磅 Char"/>
    <w:link w:val="131"/>
    <w:autoRedefine/>
    <w:qFormat/>
    <w:uiPriority w:val="0"/>
    <w:rPr>
      <w:rFonts w:eastAsia="仿宋_GB2312" w:cs="宋体"/>
      <w:b/>
      <w:bCs/>
      <w:kern w:val="2"/>
      <w:sz w:val="28"/>
    </w:rPr>
  </w:style>
  <w:style w:type="character" w:customStyle="1" w:styleId="133">
    <w:name w:val="正文00 Char"/>
    <w:link w:val="134"/>
    <w:autoRedefine/>
    <w:qFormat/>
    <w:uiPriority w:val="0"/>
    <w:rPr>
      <w:rFonts w:cs="宋体"/>
      <w:sz w:val="24"/>
      <w:szCs w:val="24"/>
    </w:rPr>
  </w:style>
  <w:style w:type="paragraph" w:customStyle="1" w:styleId="134">
    <w:name w:val="正文00"/>
    <w:basedOn w:val="1"/>
    <w:link w:val="133"/>
    <w:autoRedefine/>
    <w:qFormat/>
    <w:uiPriority w:val="0"/>
    <w:pPr>
      <w:ind w:firstLine="480" w:firstLineChars="200"/>
      <w:jc w:val="left"/>
    </w:pPr>
    <w:rPr>
      <w:kern w:val="0"/>
    </w:rPr>
  </w:style>
  <w:style w:type="paragraph" w:customStyle="1" w:styleId="135">
    <w:name w:val="样式 标题 2h2l22nd levelTitre22Header 2H2sect 1.2DO NOT USE..."/>
    <w:basedOn w:val="4"/>
    <w:autoRedefine/>
    <w:qFormat/>
    <w:uiPriority w:val="0"/>
    <w:pPr>
      <w:spacing w:before="120" w:after="120" w:line="480" w:lineRule="atLeast"/>
    </w:pPr>
    <w:rPr>
      <w:rFonts w:ascii="Times New Roman" w:hAnsi="Times New Roman"/>
      <w:b w:val="0"/>
      <w:sz w:val="30"/>
      <w:szCs w:val="20"/>
    </w:rPr>
  </w:style>
  <w:style w:type="paragraph" w:customStyle="1" w:styleId="136">
    <w:name w:val="图头"/>
    <w:basedOn w:val="1"/>
    <w:link w:val="137"/>
    <w:autoRedefine/>
    <w:qFormat/>
    <w:uiPriority w:val="0"/>
    <w:rPr>
      <w:rFonts w:ascii="黑体" w:eastAsia="黑体" w:cs="Times New Roman"/>
      <w:sz w:val="28"/>
      <w:szCs w:val="28"/>
    </w:rPr>
  </w:style>
  <w:style w:type="character" w:customStyle="1" w:styleId="137">
    <w:name w:val="图头 Char"/>
    <w:link w:val="136"/>
    <w:autoRedefine/>
    <w:qFormat/>
    <w:uiPriority w:val="0"/>
    <w:rPr>
      <w:rFonts w:ascii="黑体" w:eastAsia="黑体"/>
      <w:kern w:val="2"/>
      <w:sz w:val="28"/>
      <w:szCs w:val="28"/>
      <w:lang w:val="zh-CN" w:eastAsia="zh-CN"/>
    </w:rPr>
  </w:style>
  <w:style w:type="character" w:customStyle="1" w:styleId="138">
    <w:name w:val="批注主题 Char"/>
    <w:basedOn w:val="124"/>
    <w:link w:val="68"/>
    <w:autoRedefine/>
    <w:qFormat/>
    <w:uiPriority w:val="0"/>
    <w:rPr>
      <w:rFonts w:eastAsia="新宋体" w:cstheme="minorBidi"/>
      <w:b/>
      <w:bCs/>
      <w:kern w:val="2"/>
      <w:sz w:val="24"/>
      <w:szCs w:val="24"/>
    </w:rPr>
  </w:style>
  <w:style w:type="paragraph" w:customStyle="1" w:styleId="139">
    <w:name w:val="表内格式"/>
    <w:basedOn w:val="1"/>
    <w:link w:val="140"/>
    <w:autoRedefine/>
    <w:qFormat/>
    <w:uiPriority w:val="0"/>
    <w:pPr>
      <w:spacing w:line="240" w:lineRule="auto"/>
    </w:pPr>
    <w:rPr>
      <w:rFonts w:cs="Times New Roman"/>
      <w:szCs w:val="20"/>
    </w:rPr>
  </w:style>
  <w:style w:type="character" w:customStyle="1" w:styleId="140">
    <w:name w:val="表内格式 Char1"/>
    <w:link w:val="139"/>
    <w:autoRedefine/>
    <w:qFormat/>
    <w:uiPriority w:val="0"/>
    <w:rPr>
      <w:kern w:val="2"/>
      <w:sz w:val="18"/>
      <w:lang w:val="zh-CN" w:eastAsia="zh-CN"/>
    </w:rPr>
  </w:style>
  <w:style w:type="character" w:customStyle="1" w:styleId="141">
    <w:name w:val="正文文本 Char"/>
    <w:basedOn w:val="76"/>
    <w:link w:val="26"/>
    <w:autoRedefine/>
    <w:qFormat/>
    <w:uiPriority w:val="0"/>
    <w:rPr>
      <w:rFonts w:ascii="宋体" w:hAnsi="宋体" w:cs="宋体"/>
      <w:kern w:val="2"/>
      <w:sz w:val="24"/>
      <w:szCs w:val="24"/>
      <w:lang w:val="zh-CN" w:bidi="zh-CN"/>
    </w:rPr>
  </w:style>
  <w:style w:type="character" w:customStyle="1" w:styleId="142">
    <w:name w:val="正文首行缩进 Char"/>
    <w:basedOn w:val="141"/>
    <w:link w:val="67"/>
    <w:autoRedefine/>
    <w:qFormat/>
    <w:uiPriority w:val="99"/>
    <w:rPr>
      <w:rFonts w:ascii="宋体" w:hAnsi="宋体" w:eastAsia="新宋体" w:cstheme="minorBidi"/>
      <w:kern w:val="2"/>
      <w:sz w:val="24"/>
      <w:szCs w:val="24"/>
      <w:lang w:val="zh-CN" w:bidi="zh-CN"/>
    </w:rPr>
  </w:style>
  <w:style w:type="character" w:customStyle="1" w:styleId="143">
    <w:name w:val="标题 6 Char"/>
    <w:basedOn w:val="76"/>
    <w:link w:val="8"/>
    <w:autoRedefine/>
    <w:qFormat/>
    <w:uiPriority w:val="0"/>
    <w:rPr>
      <w:kern w:val="2"/>
      <w:sz w:val="24"/>
      <w:szCs w:val="24"/>
    </w:rPr>
  </w:style>
  <w:style w:type="character" w:customStyle="1" w:styleId="144">
    <w:name w:val="标题 7 Char"/>
    <w:basedOn w:val="76"/>
    <w:link w:val="9"/>
    <w:autoRedefine/>
    <w:qFormat/>
    <w:uiPriority w:val="0"/>
    <w:rPr>
      <w:bCs/>
      <w:kern w:val="2"/>
      <w:sz w:val="21"/>
      <w:szCs w:val="28"/>
    </w:rPr>
  </w:style>
  <w:style w:type="character" w:customStyle="1" w:styleId="145">
    <w:name w:val="标题 8 Char"/>
    <w:basedOn w:val="76"/>
    <w:link w:val="10"/>
    <w:autoRedefine/>
    <w:qFormat/>
    <w:uiPriority w:val="0"/>
    <w:rPr>
      <w:rFonts w:ascii="Arial" w:hAnsi="Arial" w:eastAsia="黑体"/>
      <w:kern w:val="2"/>
      <w:sz w:val="24"/>
      <w:szCs w:val="24"/>
    </w:rPr>
  </w:style>
  <w:style w:type="character" w:customStyle="1" w:styleId="146">
    <w:name w:val="标题 9 Char"/>
    <w:basedOn w:val="76"/>
    <w:link w:val="11"/>
    <w:autoRedefine/>
    <w:qFormat/>
    <w:uiPriority w:val="0"/>
    <w:rPr>
      <w:rFonts w:ascii="Arial" w:hAnsi="Arial" w:eastAsia="黑体"/>
      <w:kern w:val="2"/>
      <w:sz w:val="21"/>
      <w:szCs w:val="21"/>
    </w:rPr>
  </w:style>
  <w:style w:type="character" w:customStyle="1" w:styleId="147">
    <w:name w:val="标题 1 Char"/>
    <w:link w:val="3"/>
    <w:autoRedefine/>
    <w:qFormat/>
    <w:uiPriority w:val="0"/>
    <w:rPr>
      <w:rFonts w:eastAsia="新宋体" w:cstheme="minorBidi"/>
      <w:b/>
      <w:kern w:val="44"/>
      <w:sz w:val="44"/>
      <w:szCs w:val="24"/>
    </w:rPr>
  </w:style>
  <w:style w:type="character" w:customStyle="1" w:styleId="148">
    <w:name w:val="标题 2 Char"/>
    <w:link w:val="4"/>
    <w:autoRedefine/>
    <w:qFormat/>
    <w:uiPriority w:val="0"/>
    <w:rPr>
      <w:rFonts w:ascii="Arial" w:hAnsi="Arial" w:eastAsia="黑体" w:cstheme="minorBidi"/>
      <w:b/>
      <w:kern w:val="2"/>
      <w:sz w:val="32"/>
      <w:szCs w:val="24"/>
    </w:rPr>
  </w:style>
  <w:style w:type="character" w:customStyle="1" w:styleId="149">
    <w:name w:val="标题 3 Char"/>
    <w:link w:val="5"/>
    <w:autoRedefine/>
    <w:qFormat/>
    <w:uiPriority w:val="9"/>
    <w:rPr>
      <w:rFonts w:eastAsia="新宋体" w:cstheme="minorBidi"/>
      <w:b/>
      <w:color w:val="FF0000"/>
      <w:kern w:val="2"/>
      <w:sz w:val="32"/>
      <w:szCs w:val="24"/>
    </w:rPr>
  </w:style>
  <w:style w:type="character" w:customStyle="1" w:styleId="150">
    <w:name w:val="标题 4 Char"/>
    <w:link w:val="6"/>
    <w:autoRedefine/>
    <w:qFormat/>
    <w:uiPriority w:val="0"/>
    <w:rPr>
      <w:rFonts w:eastAsia="黑体" w:cstheme="minorBidi"/>
      <w:kern w:val="2"/>
      <w:sz w:val="24"/>
      <w:szCs w:val="24"/>
    </w:rPr>
  </w:style>
  <w:style w:type="character" w:customStyle="1" w:styleId="151">
    <w:name w:val="标题 5 Char"/>
    <w:link w:val="7"/>
    <w:autoRedefine/>
    <w:qFormat/>
    <w:uiPriority w:val="0"/>
    <w:rPr>
      <w:rFonts w:ascii="宋体" w:hAnsi="宋体" w:cs="宋体"/>
      <w:b/>
      <w:bCs/>
      <w:kern w:val="2"/>
      <w:sz w:val="24"/>
      <w:szCs w:val="24"/>
      <w:lang w:val="zh-CN" w:bidi="zh-CN"/>
    </w:rPr>
  </w:style>
  <w:style w:type="character" w:customStyle="1" w:styleId="152">
    <w:name w:val="正文文本缩进B Char Char"/>
    <w:autoRedefine/>
    <w:qFormat/>
    <w:uiPriority w:val="0"/>
    <w:rPr>
      <w:rFonts w:ascii="宋体" w:hAnsi="宋体" w:eastAsia="宋体" w:cs="Times New Roman"/>
      <w:kern w:val="2"/>
      <w:sz w:val="24"/>
      <w:szCs w:val="24"/>
      <w:lang w:val="en-US" w:eastAsia="zh-CN" w:bidi="ar-SA"/>
    </w:rPr>
  </w:style>
  <w:style w:type="character" w:customStyle="1" w:styleId="153">
    <w:name w:val="目录 3 Char"/>
    <w:autoRedefine/>
    <w:qFormat/>
    <w:uiPriority w:val="0"/>
    <w:rPr>
      <w:rFonts w:ascii="楷体_GB2312" w:hAnsi="Times New Roman" w:eastAsia="楷体_GB2312" w:cs="Times New Roman"/>
      <w:b/>
      <w:smallCaps/>
      <w:kern w:val="2"/>
      <w:sz w:val="32"/>
      <w:szCs w:val="32"/>
      <w:lang w:val="en-US" w:eastAsia="zh-CN" w:bidi="ar-SA"/>
    </w:rPr>
  </w:style>
  <w:style w:type="character" w:customStyle="1" w:styleId="154">
    <w:name w:val="666666-表下正文 Char"/>
    <w:link w:val="155"/>
    <w:autoRedefine/>
    <w:qFormat/>
    <w:uiPriority w:val="0"/>
    <w:rPr>
      <w:rFonts w:eastAsia="Times New Roman"/>
      <w:kern w:val="2"/>
      <w:sz w:val="24"/>
      <w:szCs w:val="24"/>
    </w:rPr>
  </w:style>
  <w:style w:type="paragraph" w:customStyle="1" w:styleId="155">
    <w:name w:val="666666-表下正文"/>
    <w:link w:val="154"/>
    <w:autoRedefine/>
    <w:qFormat/>
    <w:uiPriority w:val="0"/>
    <w:pPr>
      <w:spacing w:beforeLines="50" w:line="360" w:lineRule="auto"/>
      <w:ind w:firstLine="200" w:firstLineChars="200"/>
      <w:jc w:val="both"/>
    </w:pPr>
    <w:rPr>
      <w:rFonts w:ascii="Times New Roman" w:hAnsi="Times New Roman" w:eastAsia="Times New Roman" w:cs="Times New Roman"/>
      <w:kern w:val="2"/>
      <w:sz w:val="24"/>
      <w:szCs w:val="24"/>
      <w:lang w:val="en-US" w:eastAsia="zh-CN" w:bidi="ar-SA"/>
    </w:rPr>
  </w:style>
  <w:style w:type="character" w:customStyle="1" w:styleId="156">
    <w:name w:val="无间隔 Char"/>
    <w:link w:val="157"/>
    <w:autoRedefine/>
    <w:qFormat/>
    <w:uiPriority w:val="1"/>
    <w:rPr>
      <w:rFonts w:eastAsia="Times New Roman"/>
      <w:kern w:val="2"/>
      <w:sz w:val="24"/>
      <w:szCs w:val="24"/>
    </w:rPr>
  </w:style>
  <w:style w:type="paragraph" w:customStyle="1" w:styleId="157">
    <w:name w:val="无间隔1"/>
    <w:link w:val="156"/>
    <w:autoRedefine/>
    <w:qFormat/>
    <w:uiPriority w:val="1"/>
    <w:pPr>
      <w:widowControl w:val="0"/>
      <w:adjustRightInd w:val="0"/>
      <w:spacing w:line="360" w:lineRule="atLeast"/>
      <w:jc w:val="both"/>
      <w:textAlignment w:val="baseline"/>
    </w:pPr>
    <w:rPr>
      <w:rFonts w:ascii="Times New Roman" w:hAnsi="Times New Roman" w:eastAsia="Times New Roman" w:cs="Times New Roman"/>
      <w:kern w:val="2"/>
      <w:sz w:val="24"/>
      <w:szCs w:val="24"/>
      <w:lang w:val="en-US" w:eastAsia="zh-CN" w:bidi="ar-SA"/>
    </w:rPr>
  </w:style>
  <w:style w:type="character" w:customStyle="1" w:styleId="158">
    <w:name w:val="正文文本缩进 Char2"/>
    <w:autoRedefine/>
    <w:qFormat/>
    <w:uiPriority w:val="0"/>
    <w:rPr>
      <w:rFonts w:ascii="宋体" w:hAnsi="宋体" w:eastAsia="宋体" w:cs="Times New Roman"/>
      <w:kern w:val="2"/>
      <w:sz w:val="28"/>
      <w:szCs w:val="24"/>
      <w:lang w:val="en-US" w:eastAsia="zh-CN" w:bidi="ar-SA"/>
    </w:rPr>
  </w:style>
  <w:style w:type="character" w:customStyle="1" w:styleId="159">
    <w:name w:val="open-answer-bar1"/>
    <w:autoRedefine/>
    <w:qFormat/>
    <w:uiPriority w:val="0"/>
    <w:rPr>
      <w:rFonts w:ascii="Times New Roman" w:hAnsi="Times New Roman" w:eastAsia="宋体" w:cs="Times New Roman"/>
      <w:color w:val="2D64B3"/>
      <w:sz w:val="24"/>
      <w:szCs w:val="24"/>
    </w:rPr>
  </w:style>
  <w:style w:type="character" w:customStyle="1" w:styleId="160">
    <w:name w:val="样式 样式 宋体 四号 行距: 固定值 32 磅 + 首行缩进:  2 字符3 Char"/>
    <w:link w:val="161"/>
    <w:autoRedefine/>
    <w:qFormat/>
    <w:uiPriority w:val="0"/>
    <w:rPr>
      <w:rFonts w:ascii="宋体" w:hAnsi="宋体"/>
      <w:sz w:val="24"/>
    </w:rPr>
  </w:style>
  <w:style w:type="paragraph" w:customStyle="1" w:styleId="161">
    <w:name w:val="样式 样式 宋体 四号 行距: 固定值 32 磅 + 首行缩进:  2 字符3"/>
    <w:basedOn w:val="1"/>
    <w:link w:val="160"/>
    <w:autoRedefine/>
    <w:qFormat/>
    <w:uiPriority w:val="0"/>
    <w:pPr>
      <w:spacing w:line="500" w:lineRule="exact"/>
      <w:ind w:firstLine="200" w:firstLineChars="200"/>
    </w:pPr>
    <w:rPr>
      <w:rFonts w:cs="Times New Roman"/>
      <w:kern w:val="0"/>
      <w:szCs w:val="20"/>
    </w:rPr>
  </w:style>
  <w:style w:type="character" w:customStyle="1" w:styleId="162">
    <w:name w:val="5级正文 Char"/>
    <w:link w:val="163"/>
    <w:autoRedefine/>
    <w:qFormat/>
    <w:uiPriority w:val="0"/>
    <w:rPr>
      <w:b/>
      <w:kern w:val="2"/>
      <w:sz w:val="24"/>
      <w:szCs w:val="24"/>
    </w:rPr>
  </w:style>
  <w:style w:type="paragraph" w:customStyle="1" w:styleId="163">
    <w:name w:val="5级正文"/>
    <w:basedOn w:val="1"/>
    <w:link w:val="162"/>
    <w:autoRedefine/>
    <w:qFormat/>
    <w:uiPriority w:val="0"/>
    <w:pPr>
      <w:tabs>
        <w:tab w:val="left" w:pos="420"/>
      </w:tabs>
      <w:ind w:firstLine="200" w:firstLineChars="200"/>
      <w:outlineLvl w:val="4"/>
    </w:pPr>
    <w:rPr>
      <w:rFonts w:cs="Times New Roman"/>
      <w:b/>
    </w:rPr>
  </w:style>
  <w:style w:type="character" w:customStyle="1" w:styleId="164">
    <w:name w:val="【标题4】 Char"/>
    <w:link w:val="165"/>
    <w:autoRedefine/>
    <w:qFormat/>
    <w:uiPriority w:val="0"/>
    <w:rPr>
      <w:b/>
      <w:bCs/>
      <w:kern w:val="2"/>
      <w:sz w:val="28"/>
    </w:rPr>
  </w:style>
  <w:style w:type="paragraph" w:customStyle="1" w:styleId="165">
    <w:name w:val="【标题4】"/>
    <w:basedOn w:val="1"/>
    <w:link w:val="164"/>
    <w:autoRedefine/>
    <w:qFormat/>
    <w:uiPriority w:val="0"/>
    <w:pPr>
      <w:keepLines/>
      <w:spacing w:before="120" w:after="120" w:line="240" w:lineRule="auto"/>
      <w:jc w:val="left"/>
      <w:outlineLvl w:val="3"/>
    </w:pPr>
    <w:rPr>
      <w:rFonts w:cs="Times New Roman"/>
      <w:b/>
      <w:bCs/>
      <w:sz w:val="28"/>
      <w:szCs w:val="20"/>
    </w:rPr>
  </w:style>
  <w:style w:type="character" w:customStyle="1" w:styleId="166">
    <w:name w:val="图题 Char"/>
    <w:link w:val="167"/>
    <w:autoRedefine/>
    <w:qFormat/>
    <w:uiPriority w:val="0"/>
    <w:rPr>
      <w:rFonts w:ascii="黑体" w:hAnsi="宋体" w:eastAsia="黑体"/>
      <w:b/>
      <w:bCs/>
      <w:sz w:val="24"/>
      <w:szCs w:val="24"/>
    </w:rPr>
  </w:style>
  <w:style w:type="paragraph" w:customStyle="1" w:styleId="167">
    <w:name w:val="图题"/>
    <w:basedOn w:val="168"/>
    <w:next w:val="168"/>
    <w:link w:val="166"/>
    <w:autoRedefine/>
    <w:qFormat/>
    <w:uiPriority w:val="0"/>
    <w:pPr>
      <w:ind w:firstLine="0"/>
    </w:pPr>
    <w:rPr>
      <w:rFonts w:ascii="黑体" w:eastAsia="黑体"/>
      <w:b/>
      <w:bCs/>
      <w:lang w:val="en-US"/>
    </w:rPr>
  </w:style>
  <w:style w:type="paragraph" w:customStyle="1" w:styleId="168">
    <w:name w:val="正文格式"/>
    <w:basedOn w:val="1"/>
    <w:link w:val="169"/>
    <w:autoRedefine/>
    <w:qFormat/>
    <w:uiPriority w:val="0"/>
    <w:pPr>
      <w:ind w:firstLine="482"/>
    </w:pPr>
    <w:rPr>
      <w:rFonts w:cs="Times New Roman"/>
      <w:kern w:val="0"/>
    </w:rPr>
  </w:style>
  <w:style w:type="character" w:customStyle="1" w:styleId="169">
    <w:name w:val="正文格式 Char"/>
    <w:link w:val="168"/>
    <w:autoRedefine/>
    <w:qFormat/>
    <w:uiPriority w:val="0"/>
    <w:rPr>
      <w:rFonts w:ascii="宋体" w:hAnsi="宋体"/>
      <w:sz w:val="24"/>
      <w:szCs w:val="24"/>
      <w:lang w:val="zh-CN" w:eastAsia="zh-CN"/>
    </w:rPr>
  </w:style>
  <w:style w:type="character" w:customStyle="1" w:styleId="170">
    <w:name w:val="正文文本缩进 2 Char"/>
    <w:link w:val="41"/>
    <w:autoRedefine/>
    <w:qFormat/>
    <w:uiPriority w:val="0"/>
    <w:rPr>
      <w:szCs w:val="24"/>
    </w:rPr>
  </w:style>
  <w:style w:type="character" w:customStyle="1" w:styleId="171">
    <w:name w:val="正文文本缩进 2 Char1"/>
    <w:basedOn w:val="76"/>
    <w:autoRedefine/>
    <w:qFormat/>
    <w:uiPriority w:val="0"/>
    <w:rPr>
      <w:rFonts w:eastAsia="新宋体" w:cstheme="minorBidi"/>
      <w:kern w:val="2"/>
      <w:sz w:val="24"/>
      <w:szCs w:val="24"/>
    </w:rPr>
  </w:style>
  <w:style w:type="character" w:customStyle="1" w:styleId="172">
    <w:name w:val="我的正文 Char"/>
    <w:link w:val="173"/>
    <w:autoRedefine/>
    <w:qFormat/>
    <w:uiPriority w:val="0"/>
    <w:rPr>
      <w:sz w:val="28"/>
      <w:szCs w:val="24"/>
    </w:rPr>
  </w:style>
  <w:style w:type="paragraph" w:customStyle="1" w:styleId="173">
    <w:name w:val="我的正文"/>
    <w:basedOn w:val="1"/>
    <w:link w:val="172"/>
    <w:autoRedefine/>
    <w:qFormat/>
    <w:uiPriority w:val="0"/>
    <w:pPr>
      <w:spacing w:line="520" w:lineRule="exact"/>
      <w:ind w:firstLine="200" w:firstLineChars="200"/>
      <w:jc w:val="left"/>
    </w:pPr>
    <w:rPr>
      <w:rFonts w:cs="Times New Roman"/>
      <w:kern w:val="0"/>
      <w:sz w:val="28"/>
    </w:rPr>
  </w:style>
  <w:style w:type="character" w:customStyle="1" w:styleId="174">
    <w:name w:val="text1"/>
    <w:autoRedefine/>
    <w:qFormat/>
    <w:uiPriority w:val="0"/>
    <w:rPr>
      <w:rFonts w:ascii="Times New Roman" w:hAnsi="Times New Roman" w:eastAsia="宋体" w:cs="Times New Roman"/>
      <w:sz w:val="28"/>
      <w:szCs w:val="28"/>
    </w:rPr>
  </w:style>
  <w:style w:type="character" w:customStyle="1" w:styleId="175">
    <w:name w:val="中文报告书样式 Char"/>
    <w:link w:val="176"/>
    <w:autoRedefine/>
    <w:qFormat/>
    <w:uiPriority w:val="0"/>
    <w:rPr>
      <w:rFonts w:ascii="宋体" w:hAnsi="宋体"/>
      <w:snapToGrid w:val="0"/>
      <w:sz w:val="24"/>
      <w:szCs w:val="24"/>
    </w:rPr>
  </w:style>
  <w:style w:type="paragraph" w:customStyle="1" w:styleId="176">
    <w:name w:val="中文报告书样式"/>
    <w:basedOn w:val="1"/>
    <w:link w:val="175"/>
    <w:autoRedefine/>
    <w:qFormat/>
    <w:uiPriority w:val="0"/>
    <w:pPr>
      <w:adjustRightInd w:val="0"/>
      <w:snapToGrid w:val="0"/>
      <w:ind w:firstLine="480" w:firstLineChars="200"/>
      <w:jc w:val="left"/>
      <w:textAlignment w:val="baseline"/>
    </w:pPr>
    <w:rPr>
      <w:rFonts w:cs="Times New Roman"/>
      <w:snapToGrid w:val="0"/>
      <w:kern w:val="0"/>
    </w:rPr>
  </w:style>
  <w:style w:type="character" w:customStyle="1" w:styleId="177">
    <w:name w:val="列表 Char"/>
    <w:link w:val="52"/>
    <w:autoRedefine/>
    <w:qFormat/>
    <w:uiPriority w:val="0"/>
    <w:rPr>
      <w:kern w:val="2"/>
      <w:sz w:val="21"/>
      <w:szCs w:val="24"/>
    </w:rPr>
  </w:style>
  <w:style w:type="character" w:customStyle="1" w:styleId="178">
    <w:name w:val="样式 表内小5 + 黑体 加粗 倾斜 下划线 Char"/>
    <w:link w:val="179"/>
    <w:autoRedefine/>
    <w:qFormat/>
    <w:uiPriority w:val="0"/>
    <w:rPr>
      <w:rFonts w:ascii="黑体" w:hAnsi="黑体" w:eastAsia="黑体"/>
      <w:b/>
      <w:bCs/>
      <w:i/>
      <w:iCs/>
      <w:szCs w:val="21"/>
      <w:u w:val="single"/>
    </w:rPr>
  </w:style>
  <w:style w:type="paragraph" w:customStyle="1" w:styleId="179">
    <w:name w:val="样式 表内小5 + 黑体 加粗 倾斜 下划线"/>
    <w:basedOn w:val="180"/>
    <w:link w:val="178"/>
    <w:autoRedefine/>
    <w:qFormat/>
    <w:uiPriority w:val="0"/>
    <w:pPr>
      <w:ind w:left="0"/>
    </w:pPr>
    <w:rPr>
      <w:rFonts w:ascii="黑体" w:hAnsi="黑体" w:eastAsia="黑体"/>
      <w:b/>
      <w:bCs/>
      <w:i/>
      <w:iCs/>
      <w:u w:val="single"/>
      <w:lang w:val="en-US"/>
    </w:rPr>
  </w:style>
  <w:style w:type="paragraph" w:customStyle="1" w:styleId="180">
    <w:name w:val="表内小5"/>
    <w:basedOn w:val="1"/>
    <w:link w:val="181"/>
    <w:autoRedefine/>
    <w:qFormat/>
    <w:uiPriority w:val="0"/>
    <w:pPr>
      <w:adjustRightInd w:val="0"/>
      <w:snapToGrid w:val="0"/>
      <w:spacing w:line="300" w:lineRule="auto"/>
      <w:ind w:left="176"/>
    </w:pPr>
    <w:rPr>
      <w:rFonts w:cs="Times New Roman"/>
      <w:kern w:val="0"/>
      <w:sz w:val="20"/>
      <w:szCs w:val="21"/>
    </w:rPr>
  </w:style>
  <w:style w:type="character" w:customStyle="1" w:styleId="181">
    <w:name w:val="表内小5 Char"/>
    <w:link w:val="180"/>
    <w:autoRedefine/>
    <w:qFormat/>
    <w:uiPriority w:val="0"/>
    <w:rPr>
      <w:rFonts w:ascii="宋体" w:hAnsi="宋体"/>
      <w:szCs w:val="21"/>
      <w:lang w:val="zh-CN" w:eastAsia="zh-CN"/>
    </w:rPr>
  </w:style>
  <w:style w:type="character" w:customStyle="1" w:styleId="182">
    <w:name w:val="unnamed9"/>
    <w:autoRedefine/>
    <w:qFormat/>
    <w:uiPriority w:val="0"/>
    <w:rPr>
      <w:rFonts w:ascii="Times New Roman" w:hAnsi="Times New Roman" w:eastAsia="宋体" w:cs="Times New Roman"/>
    </w:rPr>
  </w:style>
  <w:style w:type="character" w:customStyle="1" w:styleId="183">
    <w:name w:val="样式 标题 3 + 宋体 Char Char Char"/>
    <w:link w:val="184"/>
    <w:autoRedefine/>
    <w:qFormat/>
    <w:uiPriority w:val="0"/>
    <w:rPr>
      <w:b/>
      <w:bCs/>
      <w:sz w:val="32"/>
      <w:szCs w:val="32"/>
    </w:rPr>
  </w:style>
  <w:style w:type="paragraph" w:customStyle="1" w:styleId="184">
    <w:name w:val="样式 标题 3 + 宋体 Char Char"/>
    <w:basedOn w:val="5"/>
    <w:link w:val="183"/>
    <w:autoRedefine/>
    <w:qFormat/>
    <w:uiPriority w:val="0"/>
    <w:pPr>
      <w:spacing w:before="200" w:line="420" w:lineRule="auto"/>
    </w:pPr>
    <w:rPr>
      <w:rFonts w:cs="Times New Roman"/>
      <w:bCs/>
      <w:kern w:val="0"/>
      <w:szCs w:val="32"/>
    </w:rPr>
  </w:style>
  <w:style w:type="character" w:customStyle="1" w:styleId="185">
    <w:name w:val="样式1 Char"/>
    <w:link w:val="186"/>
    <w:autoRedefine/>
    <w:qFormat/>
    <w:uiPriority w:val="0"/>
    <w:rPr>
      <w:sz w:val="24"/>
    </w:rPr>
  </w:style>
  <w:style w:type="paragraph" w:customStyle="1" w:styleId="186">
    <w:name w:val="样式1"/>
    <w:basedOn w:val="1"/>
    <w:link w:val="185"/>
    <w:autoRedefine/>
    <w:qFormat/>
    <w:uiPriority w:val="0"/>
    <w:pPr>
      <w:adjustRightInd w:val="0"/>
      <w:spacing w:line="480" w:lineRule="atLeast"/>
      <w:ind w:firstLine="567"/>
      <w:textAlignment w:val="baseline"/>
    </w:pPr>
    <w:rPr>
      <w:rFonts w:cs="Times New Roman"/>
      <w:kern w:val="0"/>
      <w:szCs w:val="20"/>
    </w:rPr>
  </w:style>
  <w:style w:type="character" w:customStyle="1" w:styleId="187">
    <w:name w:val="样式 正文缩进正文（首行缩进两字） Char标题四 + (西文) 宋体 小四1 Char"/>
    <w:link w:val="188"/>
    <w:autoRedefine/>
    <w:qFormat/>
    <w:uiPriority w:val="0"/>
    <w:rPr>
      <w:rFonts w:ascii="宋体" w:hAnsi="宋体" w:eastAsia="仿宋_GB2312"/>
      <w:color w:val="000000"/>
      <w:sz w:val="28"/>
      <w:szCs w:val="28"/>
    </w:rPr>
  </w:style>
  <w:style w:type="paragraph" w:customStyle="1" w:styleId="188">
    <w:name w:val="样式 正文缩进正文（首行缩进两字） Char标题四 + (西文) 宋体 小四1"/>
    <w:basedOn w:val="17"/>
    <w:link w:val="187"/>
    <w:autoRedefine/>
    <w:qFormat/>
    <w:uiPriority w:val="0"/>
    <w:pPr>
      <w:snapToGrid w:val="0"/>
      <w:spacing w:line="312" w:lineRule="auto"/>
      <w:ind w:firstLine="560"/>
    </w:pPr>
    <w:rPr>
      <w:rFonts w:eastAsia="仿宋_GB2312"/>
      <w:sz w:val="28"/>
      <w:szCs w:val="28"/>
      <w:lang w:val="en-US"/>
    </w:rPr>
  </w:style>
  <w:style w:type="character" w:customStyle="1" w:styleId="189">
    <w:name w:val="样式 题注实德题注题注 Char Char Char题注 Char Char Char Char Char Char题注... Char"/>
    <w:link w:val="190"/>
    <w:autoRedefine/>
    <w:qFormat/>
    <w:uiPriority w:val="0"/>
    <w:rPr>
      <w:rFonts w:ascii="Arial" w:hAnsi="Arial" w:eastAsia="黑体"/>
      <w:sz w:val="24"/>
    </w:rPr>
  </w:style>
  <w:style w:type="paragraph" w:customStyle="1" w:styleId="190">
    <w:name w:val="样式 题注实德题注题注 Char Char Char题注 Char Char Char Char Char Char题注..."/>
    <w:basedOn w:val="18"/>
    <w:link w:val="189"/>
    <w:autoRedefine/>
    <w:qFormat/>
    <w:uiPriority w:val="0"/>
    <w:pPr>
      <w:spacing w:line="360" w:lineRule="auto"/>
      <w:ind w:firstLine="400" w:firstLineChars="200"/>
    </w:pPr>
    <w:rPr>
      <w:sz w:val="24"/>
      <w:lang w:val="en-US"/>
    </w:rPr>
  </w:style>
  <w:style w:type="character" w:customStyle="1" w:styleId="191">
    <w:name w:val="题注 Char"/>
    <w:link w:val="18"/>
    <w:autoRedefine/>
    <w:qFormat/>
    <w:uiPriority w:val="0"/>
    <w:rPr>
      <w:rFonts w:ascii="Arial" w:hAnsi="Arial" w:eastAsia="黑体"/>
      <w:lang w:val="zh-CN" w:eastAsia="zh-CN"/>
    </w:rPr>
  </w:style>
  <w:style w:type="character" w:customStyle="1" w:styleId="192">
    <w:name w:val="m1"/>
    <w:autoRedefine/>
    <w:qFormat/>
    <w:uiPriority w:val="0"/>
    <w:rPr>
      <w:rFonts w:ascii="Times New Roman" w:hAnsi="Times New Roman" w:eastAsia="宋体" w:cs="Times New Roman"/>
      <w:color w:val="666666"/>
    </w:rPr>
  </w:style>
  <w:style w:type="character" w:customStyle="1" w:styleId="193">
    <w:name w:val="样式 仿宋_GB2312 小三 黑色"/>
    <w:autoRedefine/>
    <w:qFormat/>
    <w:uiPriority w:val="0"/>
    <w:rPr>
      <w:rFonts w:hint="eastAsia" w:ascii="仿宋_GB2312" w:hAnsi="仿宋_GB2312" w:eastAsia="仿宋" w:cs="Times New Roman"/>
      <w:color w:val="000000"/>
      <w:sz w:val="30"/>
    </w:rPr>
  </w:style>
  <w:style w:type="character" w:customStyle="1" w:styleId="194">
    <w:name w:val="大纲正文 Char"/>
    <w:link w:val="195"/>
    <w:autoRedefine/>
    <w:qFormat/>
    <w:uiPriority w:val="0"/>
    <w:rPr>
      <w:sz w:val="24"/>
    </w:rPr>
  </w:style>
  <w:style w:type="paragraph" w:customStyle="1" w:styleId="195">
    <w:name w:val="大纲正文"/>
    <w:basedOn w:val="1"/>
    <w:link w:val="194"/>
    <w:autoRedefine/>
    <w:qFormat/>
    <w:uiPriority w:val="0"/>
    <w:pPr>
      <w:widowControl/>
      <w:adjustRightInd w:val="0"/>
      <w:snapToGrid w:val="0"/>
      <w:spacing w:afterLines="50" w:line="300" w:lineRule="auto"/>
      <w:ind w:firstLine="480" w:firstLineChars="200"/>
    </w:pPr>
    <w:rPr>
      <w:rFonts w:cs="Times New Roman"/>
      <w:kern w:val="0"/>
      <w:szCs w:val="20"/>
    </w:rPr>
  </w:style>
  <w:style w:type="character" w:customStyle="1" w:styleId="196">
    <w:name w:val="number"/>
    <w:autoRedefine/>
    <w:qFormat/>
    <w:uiPriority w:val="0"/>
    <w:rPr>
      <w:rFonts w:ascii="Times New Roman" w:hAnsi="Times New Roman" w:eastAsia="宋体" w:cs="Times New Roman"/>
    </w:rPr>
  </w:style>
  <w:style w:type="character" w:customStyle="1" w:styleId="197">
    <w:name w:val="正文规定 Char Char Char"/>
    <w:link w:val="198"/>
    <w:autoRedefine/>
    <w:qFormat/>
    <w:uiPriority w:val="0"/>
    <w:rPr>
      <w:rFonts w:ascii="宋体" w:hAnsi="宋体"/>
      <w:b/>
      <w:sz w:val="24"/>
      <w:szCs w:val="24"/>
    </w:rPr>
  </w:style>
  <w:style w:type="paragraph" w:customStyle="1" w:styleId="198">
    <w:name w:val="正文规定 Char Char"/>
    <w:basedOn w:val="17"/>
    <w:link w:val="197"/>
    <w:autoRedefine/>
    <w:qFormat/>
    <w:uiPriority w:val="0"/>
    <w:pPr>
      <w:widowControl/>
      <w:spacing w:line="0" w:lineRule="atLeast"/>
      <w:ind w:firstLine="0" w:firstLineChars="0"/>
    </w:pPr>
    <w:rPr>
      <w:b/>
      <w:color w:val="auto"/>
      <w:szCs w:val="24"/>
      <w:lang w:val="en-US"/>
    </w:rPr>
  </w:style>
  <w:style w:type="character" w:customStyle="1" w:styleId="199">
    <w:name w:val="unnamed113"/>
    <w:autoRedefine/>
    <w:qFormat/>
    <w:uiPriority w:val="0"/>
    <w:rPr>
      <w:rFonts w:ascii="Times New Roman" w:hAnsi="Times New Roman" w:eastAsia="宋体" w:cs="Times New Roman"/>
      <w:sz w:val="24"/>
      <w:szCs w:val="24"/>
      <w:u w:val="none"/>
    </w:rPr>
  </w:style>
  <w:style w:type="character" w:customStyle="1" w:styleId="200">
    <w:name w:val="正文文本缩进B Char"/>
    <w:autoRedefine/>
    <w:qFormat/>
    <w:uiPriority w:val="0"/>
    <w:rPr>
      <w:rFonts w:ascii="宋体" w:hAnsi="宋体" w:eastAsia="宋体" w:cs="Times New Roman"/>
      <w:kern w:val="2"/>
      <w:sz w:val="24"/>
      <w:szCs w:val="24"/>
      <w:lang w:val="en-US" w:eastAsia="zh-CN" w:bidi="ar-SA"/>
    </w:rPr>
  </w:style>
  <w:style w:type="character" w:customStyle="1" w:styleId="201">
    <w:name w:val="样式 正文文字 + 首行缩进:  2 字符 行距: 最小值 24 磅 Char"/>
    <w:link w:val="202"/>
    <w:autoRedefine/>
    <w:qFormat/>
    <w:uiPriority w:val="0"/>
    <w:rPr>
      <w:kern w:val="2"/>
      <w:sz w:val="24"/>
    </w:rPr>
  </w:style>
  <w:style w:type="paragraph" w:customStyle="1" w:styleId="202">
    <w:name w:val="样式 正文文字 + 首行缩进:  2 字符 行距: 最小值 24 磅"/>
    <w:basedOn w:val="1"/>
    <w:link w:val="201"/>
    <w:autoRedefine/>
    <w:qFormat/>
    <w:uiPriority w:val="0"/>
    <w:pPr>
      <w:adjustRightInd w:val="0"/>
      <w:snapToGrid w:val="0"/>
      <w:spacing w:line="480" w:lineRule="atLeast"/>
      <w:ind w:firstLine="480" w:firstLineChars="200"/>
    </w:pPr>
    <w:rPr>
      <w:rFonts w:cs="Times New Roman"/>
      <w:szCs w:val="20"/>
    </w:rPr>
  </w:style>
  <w:style w:type="character" w:customStyle="1" w:styleId="203">
    <w:name w:val="正文文本缩进b Char"/>
    <w:autoRedefine/>
    <w:qFormat/>
    <w:uiPriority w:val="0"/>
    <w:rPr>
      <w:rFonts w:ascii="宋体" w:hAnsi="BankGothic Lt BT" w:eastAsia="宋体" w:cs="Times New Roman"/>
      <w:kern w:val="2"/>
      <w:sz w:val="24"/>
      <w:szCs w:val="24"/>
      <w:lang w:val="en-US" w:eastAsia="zh-CN" w:bidi="ar-SA"/>
    </w:rPr>
  </w:style>
  <w:style w:type="character" w:customStyle="1" w:styleId="204">
    <w:name w:val="正文首行缩进 2 Char"/>
    <w:link w:val="69"/>
    <w:autoRedefine/>
    <w:qFormat/>
    <w:uiPriority w:val="0"/>
    <w:rPr>
      <w:rFonts w:ascii="宋体" w:hAnsi="宋体" w:eastAsia="仿宋_GB2312"/>
      <w:snapToGrid w:val="0"/>
      <w:color w:val="000000"/>
      <w:kern w:val="2"/>
      <w:sz w:val="28"/>
      <w:szCs w:val="32"/>
      <w:lang w:val="zh-CN" w:bidi="zh-CN"/>
    </w:rPr>
  </w:style>
  <w:style w:type="character" w:customStyle="1" w:styleId="205">
    <w:name w:val="正文首行缩进 2 Char1"/>
    <w:basedOn w:val="118"/>
    <w:autoRedefine/>
    <w:qFormat/>
    <w:uiPriority w:val="0"/>
    <w:rPr>
      <w:rFonts w:eastAsia="新宋体" w:cstheme="minorBidi"/>
      <w:kern w:val="2"/>
      <w:sz w:val="24"/>
      <w:szCs w:val="24"/>
    </w:rPr>
  </w:style>
  <w:style w:type="character" w:customStyle="1" w:styleId="206">
    <w:name w:val="chl Char"/>
    <w:link w:val="207"/>
    <w:autoRedefine/>
    <w:qFormat/>
    <w:uiPriority w:val="0"/>
    <w:rPr>
      <w:color w:val="000000"/>
      <w:sz w:val="24"/>
      <w:szCs w:val="28"/>
    </w:rPr>
  </w:style>
  <w:style w:type="paragraph" w:customStyle="1" w:styleId="207">
    <w:name w:val="chl"/>
    <w:basedOn w:val="1"/>
    <w:link w:val="206"/>
    <w:autoRedefine/>
    <w:qFormat/>
    <w:uiPriority w:val="0"/>
    <w:pPr>
      <w:spacing w:before="105" w:after="105"/>
      <w:ind w:firstLine="200" w:firstLineChars="200"/>
    </w:pPr>
    <w:rPr>
      <w:rFonts w:cs="Times New Roman"/>
      <w:color w:val="000000"/>
      <w:kern w:val="0"/>
      <w:szCs w:val="28"/>
    </w:rPr>
  </w:style>
  <w:style w:type="character" w:customStyle="1" w:styleId="208">
    <w:name w:val="888-正文 Char"/>
    <w:link w:val="209"/>
    <w:autoRedefine/>
    <w:qFormat/>
    <w:uiPriority w:val="0"/>
    <w:rPr>
      <w:kern w:val="2"/>
      <w:sz w:val="24"/>
      <w:szCs w:val="24"/>
    </w:rPr>
  </w:style>
  <w:style w:type="paragraph" w:customStyle="1" w:styleId="209">
    <w:name w:val="888-正文"/>
    <w:basedOn w:val="31"/>
    <w:link w:val="208"/>
    <w:autoRedefine/>
    <w:qFormat/>
    <w:uiPriority w:val="0"/>
    <w:pPr>
      <w:autoSpaceDE/>
      <w:autoSpaceDN/>
      <w:adjustRightInd/>
      <w:spacing w:line="360" w:lineRule="auto"/>
      <w:ind w:left="0" w:right="0" w:rightChars="0" w:firstLine="200" w:firstLineChars="200"/>
      <w:jc w:val="both"/>
    </w:pPr>
    <w:rPr>
      <w:sz w:val="24"/>
      <w:szCs w:val="24"/>
    </w:rPr>
  </w:style>
  <w:style w:type="character" w:customStyle="1" w:styleId="210">
    <w:name w:val="论文正文 Char"/>
    <w:link w:val="211"/>
    <w:autoRedefine/>
    <w:qFormat/>
    <w:uiPriority w:val="0"/>
    <w:rPr>
      <w:sz w:val="24"/>
    </w:rPr>
  </w:style>
  <w:style w:type="paragraph" w:customStyle="1" w:styleId="211">
    <w:name w:val="论文正文"/>
    <w:basedOn w:val="1"/>
    <w:link w:val="210"/>
    <w:autoRedefine/>
    <w:qFormat/>
    <w:uiPriority w:val="0"/>
    <w:pPr>
      <w:spacing w:line="400" w:lineRule="exact"/>
      <w:ind w:firstLine="200" w:firstLineChars="200"/>
    </w:pPr>
    <w:rPr>
      <w:rFonts w:cs="Times New Roman"/>
      <w:kern w:val="0"/>
      <w:szCs w:val="20"/>
    </w:rPr>
  </w:style>
  <w:style w:type="character" w:customStyle="1" w:styleId="212">
    <w:name w:val="ared"/>
    <w:autoRedefine/>
    <w:qFormat/>
    <w:uiPriority w:val="0"/>
    <w:rPr>
      <w:rFonts w:ascii="Times New Roman" w:hAnsi="Times New Roman" w:eastAsia="宋体" w:cs="Times New Roman"/>
    </w:rPr>
  </w:style>
  <w:style w:type="character" w:customStyle="1" w:styleId="213">
    <w:name w:val="1正文段落 Char"/>
    <w:link w:val="214"/>
    <w:autoRedefine/>
    <w:qFormat/>
    <w:uiPriority w:val="0"/>
    <w:rPr>
      <w:snapToGrid w:val="0"/>
      <w:sz w:val="24"/>
      <w:szCs w:val="24"/>
    </w:rPr>
  </w:style>
  <w:style w:type="paragraph" w:customStyle="1" w:styleId="214">
    <w:name w:val="1正文段落"/>
    <w:basedOn w:val="1"/>
    <w:link w:val="213"/>
    <w:autoRedefine/>
    <w:qFormat/>
    <w:uiPriority w:val="0"/>
    <w:pPr>
      <w:ind w:firstLine="200" w:firstLineChars="200"/>
      <w:jc w:val="left"/>
    </w:pPr>
    <w:rPr>
      <w:rFonts w:cs="Times New Roman"/>
      <w:snapToGrid w:val="0"/>
      <w:kern w:val="0"/>
    </w:rPr>
  </w:style>
  <w:style w:type="character" w:customStyle="1" w:styleId="215">
    <w:name w:val="font31"/>
    <w:autoRedefine/>
    <w:qFormat/>
    <w:uiPriority w:val="0"/>
    <w:rPr>
      <w:rFonts w:hint="eastAsia" w:ascii="宋体" w:hAnsi="宋体" w:eastAsia="宋体"/>
      <w:color w:val="FF0000"/>
      <w:sz w:val="21"/>
      <w:szCs w:val="21"/>
      <w:u w:val="none"/>
    </w:rPr>
  </w:style>
  <w:style w:type="character" w:customStyle="1" w:styleId="216">
    <w:name w:val="t_tag"/>
    <w:autoRedefine/>
    <w:qFormat/>
    <w:uiPriority w:val="0"/>
    <w:rPr>
      <w:rFonts w:ascii="Times New Roman" w:hAnsi="Times New Roman" w:eastAsia="宋体" w:cs="Times New Roman"/>
    </w:rPr>
  </w:style>
  <w:style w:type="character" w:customStyle="1" w:styleId="217">
    <w:name w:val="正文文本缩进a Char"/>
    <w:link w:val="218"/>
    <w:autoRedefine/>
    <w:qFormat/>
    <w:uiPriority w:val="0"/>
    <w:rPr>
      <w:rFonts w:ascii="黑体" w:hAnsi="宋体" w:eastAsia="黑体"/>
      <w:b/>
      <w:bCs/>
      <w:kern w:val="2"/>
      <w:sz w:val="24"/>
      <w:szCs w:val="24"/>
    </w:rPr>
  </w:style>
  <w:style w:type="paragraph" w:customStyle="1" w:styleId="218">
    <w:name w:val="正文文本缩进a"/>
    <w:basedOn w:val="27"/>
    <w:link w:val="217"/>
    <w:autoRedefine/>
    <w:qFormat/>
    <w:uiPriority w:val="0"/>
    <w:pPr>
      <w:spacing w:after="0"/>
      <w:ind w:left="0" w:leftChars="0" w:firstLine="480" w:firstLineChars="200"/>
    </w:pPr>
    <w:rPr>
      <w:rFonts w:ascii="黑体" w:eastAsia="黑体" w:cs="Times New Roman"/>
      <w:b/>
      <w:bCs/>
    </w:rPr>
  </w:style>
  <w:style w:type="character" w:customStyle="1" w:styleId="219">
    <w:name w:val="bititle"/>
    <w:basedOn w:val="76"/>
    <w:autoRedefine/>
    <w:qFormat/>
    <w:uiPriority w:val="0"/>
  </w:style>
  <w:style w:type="character" w:customStyle="1" w:styleId="220">
    <w:name w:val="Char Char1 Char Char Char Char Char Char Char Char Char Char Char Char Char Char Char Char Char Char Char Char1 Char Char"/>
    <w:link w:val="221"/>
    <w:autoRedefine/>
    <w:qFormat/>
    <w:uiPriority w:val="0"/>
    <w:rPr>
      <w:rFonts w:ascii="宋体" w:hAnsi="宋体"/>
      <w:kern w:val="2"/>
      <w:sz w:val="24"/>
    </w:rPr>
  </w:style>
  <w:style w:type="paragraph" w:customStyle="1" w:styleId="221">
    <w:name w:val="Char Char1 Char Char Char Char Char Char Char Char Char Char Char Char Char Char Char Char Char Char Char Char1 Char"/>
    <w:basedOn w:val="1"/>
    <w:link w:val="220"/>
    <w:autoRedefine/>
    <w:qFormat/>
    <w:uiPriority w:val="0"/>
    <w:pPr>
      <w:ind w:firstLine="200" w:firstLineChars="200"/>
    </w:pPr>
    <w:rPr>
      <w:rFonts w:cs="Times New Roman"/>
      <w:szCs w:val="20"/>
    </w:rPr>
  </w:style>
  <w:style w:type="character" w:customStyle="1" w:styleId="222">
    <w:name w:val="环 5级 1 Char"/>
    <w:link w:val="223"/>
    <w:autoRedefine/>
    <w:qFormat/>
    <w:uiPriority w:val="0"/>
    <w:rPr>
      <w:rFonts w:ascii="宋体" w:hAnsi="宋体"/>
      <w:b/>
      <w:snapToGrid w:val="0"/>
      <w:kern w:val="2"/>
      <w:sz w:val="28"/>
      <w:szCs w:val="28"/>
    </w:rPr>
  </w:style>
  <w:style w:type="paragraph" w:customStyle="1" w:styleId="223">
    <w:name w:val="环 5级 1"/>
    <w:basedOn w:val="1"/>
    <w:link w:val="222"/>
    <w:autoRedefine/>
    <w:qFormat/>
    <w:uiPriority w:val="0"/>
    <w:pPr>
      <w:spacing w:line="240" w:lineRule="auto"/>
      <w:ind w:firstLine="200" w:firstLineChars="200"/>
    </w:pPr>
    <w:rPr>
      <w:rFonts w:cs="Times New Roman"/>
      <w:b/>
      <w:snapToGrid w:val="0"/>
      <w:sz w:val="28"/>
      <w:szCs w:val="28"/>
    </w:rPr>
  </w:style>
  <w:style w:type="character" w:customStyle="1" w:styleId="224">
    <w:name w:val="font21"/>
    <w:autoRedefine/>
    <w:qFormat/>
    <w:uiPriority w:val="0"/>
    <w:rPr>
      <w:rFonts w:hint="default" w:ascii="Times New Roman" w:hAnsi="Times New Roman" w:cs="Times New Roman"/>
      <w:color w:val="FF0000"/>
      <w:sz w:val="21"/>
      <w:szCs w:val="21"/>
      <w:u w:val="none"/>
      <w:vertAlign w:val="subscript"/>
    </w:rPr>
  </w:style>
  <w:style w:type="character" w:customStyle="1" w:styleId="225">
    <w:name w:val="Char Char22"/>
    <w:autoRedefine/>
    <w:qFormat/>
    <w:uiPriority w:val="0"/>
    <w:rPr>
      <w:rFonts w:ascii="Times New Roman" w:hAnsi="Times New Roman" w:eastAsia="宋体" w:cs="Times New Roman"/>
      <w:b/>
      <w:bCs/>
      <w:kern w:val="44"/>
      <w:sz w:val="44"/>
      <w:szCs w:val="44"/>
    </w:rPr>
  </w:style>
  <w:style w:type="character" w:customStyle="1" w:styleId="226">
    <w:name w:val="a01"/>
    <w:autoRedefine/>
    <w:qFormat/>
    <w:uiPriority w:val="0"/>
    <w:rPr>
      <w:rFonts w:ascii="Times New Roman" w:hAnsi="Times New Roman" w:eastAsia="宋体" w:cs="Times New Roman"/>
    </w:rPr>
  </w:style>
  <w:style w:type="character" w:customStyle="1" w:styleId="227">
    <w:name w:val="texts"/>
    <w:autoRedefine/>
    <w:qFormat/>
    <w:uiPriority w:val="0"/>
    <w:rPr>
      <w:rFonts w:ascii="Times New Roman" w:hAnsi="Times New Roman" w:eastAsia="宋体" w:cs="Times New Roman"/>
    </w:rPr>
  </w:style>
  <w:style w:type="character" w:customStyle="1" w:styleId="228">
    <w:name w:val="Char Char1"/>
    <w:autoRedefine/>
    <w:qFormat/>
    <w:uiPriority w:val="0"/>
    <w:rPr>
      <w:rFonts w:ascii="宋体" w:hAnsi="宋体" w:eastAsia="宋体" w:cs="Times New Roman"/>
      <w:kern w:val="2"/>
      <w:sz w:val="28"/>
      <w:szCs w:val="24"/>
      <w:lang w:val="en-US" w:eastAsia="zh-CN" w:bidi="ar-SA"/>
    </w:rPr>
  </w:style>
  <w:style w:type="character" w:customStyle="1" w:styleId="229">
    <w:name w:val="样式15 Char"/>
    <w:link w:val="230"/>
    <w:autoRedefine/>
    <w:qFormat/>
    <w:uiPriority w:val="0"/>
    <w:rPr>
      <w:rFonts w:ascii="宋体" w:hAnsi="宋体"/>
      <w:color w:val="000000"/>
      <w:sz w:val="28"/>
      <w:szCs w:val="28"/>
    </w:rPr>
  </w:style>
  <w:style w:type="paragraph" w:customStyle="1" w:styleId="230">
    <w:name w:val="样式15"/>
    <w:basedOn w:val="1"/>
    <w:link w:val="229"/>
    <w:autoRedefine/>
    <w:qFormat/>
    <w:uiPriority w:val="0"/>
    <w:pPr>
      <w:tabs>
        <w:tab w:val="left" w:pos="720"/>
        <w:tab w:val="left" w:pos="840"/>
      </w:tabs>
      <w:adjustRightInd w:val="0"/>
      <w:snapToGrid w:val="0"/>
      <w:spacing w:line="480" w:lineRule="exact"/>
      <w:ind w:left="425" w:firstLine="200" w:firstLineChars="200"/>
      <w:jc w:val="left"/>
    </w:pPr>
    <w:rPr>
      <w:rFonts w:cs="Times New Roman"/>
      <w:color w:val="000000"/>
      <w:kern w:val="0"/>
      <w:sz w:val="28"/>
      <w:szCs w:val="28"/>
    </w:rPr>
  </w:style>
  <w:style w:type="character" w:customStyle="1" w:styleId="231">
    <w:name w:val="初设正文 Char1"/>
    <w:link w:val="232"/>
    <w:autoRedefine/>
    <w:qFormat/>
    <w:uiPriority w:val="0"/>
    <w:rPr>
      <w:rFonts w:ascii="Arial" w:hAnsi="Arial"/>
      <w:sz w:val="24"/>
    </w:rPr>
  </w:style>
  <w:style w:type="paragraph" w:customStyle="1" w:styleId="232">
    <w:name w:val="初设正文"/>
    <w:basedOn w:val="1"/>
    <w:link w:val="231"/>
    <w:autoRedefine/>
    <w:qFormat/>
    <w:uiPriority w:val="0"/>
    <w:pPr>
      <w:spacing w:after="120" w:line="440" w:lineRule="exact"/>
      <w:ind w:left="425" w:firstLine="425"/>
    </w:pPr>
    <w:rPr>
      <w:rFonts w:ascii="Arial" w:hAnsi="Arial" w:cs="Times New Roman"/>
      <w:kern w:val="0"/>
      <w:szCs w:val="20"/>
    </w:rPr>
  </w:style>
  <w:style w:type="character" w:customStyle="1" w:styleId="233">
    <w:name w:val="表格注释 Char"/>
    <w:link w:val="234"/>
    <w:autoRedefine/>
    <w:qFormat/>
    <w:uiPriority w:val="0"/>
    <w:rPr>
      <w:rFonts w:ascii="楷体_GB2312" w:hAnsi="Arial" w:eastAsia="楷体_GB2312"/>
      <w:sz w:val="18"/>
      <w:szCs w:val="18"/>
    </w:rPr>
  </w:style>
  <w:style w:type="paragraph" w:customStyle="1" w:styleId="234">
    <w:name w:val="表格注释"/>
    <w:basedOn w:val="1"/>
    <w:link w:val="233"/>
    <w:autoRedefine/>
    <w:qFormat/>
    <w:uiPriority w:val="0"/>
    <w:pPr>
      <w:adjustRightInd w:val="0"/>
      <w:snapToGrid w:val="0"/>
      <w:spacing w:line="240" w:lineRule="atLeast"/>
      <w:ind w:firstLine="200" w:firstLineChars="200"/>
    </w:pPr>
    <w:rPr>
      <w:rFonts w:ascii="楷体_GB2312" w:hAnsi="Arial" w:eastAsia="楷体_GB2312" w:cs="Times New Roman"/>
      <w:kern w:val="0"/>
    </w:rPr>
  </w:style>
  <w:style w:type="character" w:customStyle="1" w:styleId="235">
    <w:name w:val="陆晶 正文 Char Char"/>
    <w:link w:val="236"/>
    <w:autoRedefine/>
    <w:qFormat/>
    <w:uiPriority w:val="0"/>
    <w:rPr>
      <w:rFonts w:ascii="黑体" w:eastAsia="黑体"/>
      <w:bCs/>
      <w:szCs w:val="21"/>
      <w:lang w:val="zh-CN"/>
    </w:rPr>
  </w:style>
  <w:style w:type="paragraph" w:customStyle="1" w:styleId="236">
    <w:name w:val="陆晶 正文"/>
    <w:basedOn w:val="1"/>
    <w:link w:val="235"/>
    <w:autoRedefine/>
    <w:qFormat/>
    <w:uiPriority w:val="0"/>
    <w:pPr>
      <w:tabs>
        <w:tab w:val="left" w:pos="5580"/>
      </w:tabs>
      <w:spacing w:line="460" w:lineRule="exact"/>
      <w:ind w:firstLine="420" w:firstLineChars="200"/>
    </w:pPr>
    <w:rPr>
      <w:rFonts w:ascii="黑体" w:eastAsia="黑体" w:cs="Times New Roman"/>
      <w:bCs/>
      <w:kern w:val="0"/>
      <w:sz w:val="20"/>
      <w:szCs w:val="21"/>
    </w:rPr>
  </w:style>
  <w:style w:type="character" w:customStyle="1" w:styleId="237">
    <w:name w:val="样式12q Char"/>
    <w:link w:val="238"/>
    <w:autoRedefine/>
    <w:qFormat/>
    <w:uiPriority w:val="0"/>
    <w:rPr>
      <w:kern w:val="2"/>
      <w:sz w:val="28"/>
      <w:szCs w:val="28"/>
    </w:rPr>
  </w:style>
  <w:style w:type="paragraph" w:customStyle="1" w:styleId="238">
    <w:name w:val="样式12q"/>
    <w:basedOn w:val="1"/>
    <w:link w:val="237"/>
    <w:autoRedefine/>
    <w:qFormat/>
    <w:uiPriority w:val="0"/>
    <w:pPr>
      <w:ind w:firstLine="560" w:firstLineChars="200"/>
    </w:pPr>
    <w:rPr>
      <w:rFonts w:cs="Times New Roman"/>
      <w:sz w:val="28"/>
      <w:szCs w:val="28"/>
    </w:rPr>
  </w:style>
  <w:style w:type="character" w:customStyle="1" w:styleId="239">
    <w:name w:val="正文文本 3 Char"/>
    <w:link w:val="23"/>
    <w:autoRedefine/>
    <w:qFormat/>
    <w:uiPriority w:val="0"/>
    <w:rPr>
      <w:sz w:val="16"/>
      <w:szCs w:val="16"/>
    </w:rPr>
  </w:style>
  <w:style w:type="character" w:customStyle="1" w:styleId="240">
    <w:name w:val="正文文本 3 Char1"/>
    <w:basedOn w:val="76"/>
    <w:autoRedefine/>
    <w:qFormat/>
    <w:uiPriority w:val="0"/>
    <w:rPr>
      <w:rFonts w:eastAsia="新宋体" w:cstheme="minorBidi"/>
      <w:kern w:val="2"/>
      <w:sz w:val="16"/>
      <w:szCs w:val="16"/>
    </w:rPr>
  </w:style>
  <w:style w:type="character" w:customStyle="1" w:styleId="241">
    <w:name w:val="信息标题 Char"/>
    <w:link w:val="62"/>
    <w:autoRedefine/>
    <w:qFormat/>
    <w:uiPriority w:val="0"/>
    <w:rPr>
      <w:rFonts w:ascii="Arial" w:hAnsi="Arial"/>
      <w:sz w:val="24"/>
      <w:szCs w:val="24"/>
      <w:shd w:val="pct20" w:color="auto" w:fill="auto"/>
    </w:rPr>
  </w:style>
  <w:style w:type="character" w:customStyle="1" w:styleId="242">
    <w:name w:val="信息标题 Char1"/>
    <w:basedOn w:val="76"/>
    <w:autoRedefine/>
    <w:qFormat/>
    <w:uiPriority w:val="99"/>
    <w:rPr>
      <w:rFonts w:asciiTheme="majorHAnsi" w:hAnsiTheme="majorHAnsi" w:eastAsiaTheme="majorEastAsia" w:cstheme="majorBidi"/>
      <w:kern w:val="2"/>
      <w:sz w:val="24"/>
      <w:szCs w:val="24"/>
      <w:shd w:val="pct20" w:color="auto" w:fill="auto"/>
    </w:rPr>
  </w:style>
  <w:style w:type="character" w:customStyle="1" w:styleId="243">
    <w:name w:val="answer-title h2 grid"/>
    <w:autoRedefine/>
    <w:qFormat/>
    <w:uiPriority w:val="0"/>
    <w:rPr>
      <w:rFonts w:ascii="Times New Roman" w:hAnsi="Times New Roman" w:eastAsia="宋体" w:cs="Times New Roman"/>
    </w:rPr>
  </w:style>
  <w:style w:type="character" w:customStyle="1" w:styleId="244">
    <w:name w:val="style5"/>
    <w:autoRedefine/>
    <w:qFormat/>
    <w:uiPriority w:val="0"/>
    <w:rPr>
      <w:rFonts w:ascii="Times New Roman" w:hAnsi="Times New Roman" w:eastAsia="宋体" w:cs="Times New Roman"/>
    </w:rPr>
  </w:style>
  <w:style w:type="character" w:customStyle="1" w:styleId="245">
    <w:name w:val="报告书正文 Char"/>
    <w:link w:val="246"/>
    <w:autoRedefine/>
    <w:qFormat/>
    <w:uiPriority w:val="0"/>
    <w:rPr>
      <w:sz w:val="24"/>
      <w:szCs w:val="24"/>
    </w:rPr>
  </w:style>
  <w:style w:type="paragraph" w:customStyle="1" w:styleId="246">
    <w:name w:val="报告书正文"/>
    <w:basedOn w:val="1"/>
    <w:link w:val="245"/>
    <w:autoRedefine/>
    <w:qFormat/>
    <w:uiPriority w:val="0"/>
    <w:pPr>
      <w:ind w:firstLine="480" w:firstLineChars="200"/>
    </w:pPr>
    <w:rPr>
      <w:rFonts w:cs="Times New Roman"/>
      <w:kern w:val="0"/>
    </w:rPr>
  </w:style>
  <w:style w:type="character" w:customStyle="1" w:styleId="247">
    <w:name w:val="标题 Char"/>
    <w:link w:val="66"/>
    <w:autoRedefine/>
    <w:qFormat/>
    <w:uiPriority w:val="10"/>
    <w:rPr>
      <w:rFonts w:eastAsia="黑体"/>
      <w:b/>
      <w:kern w:val="2"/>
      <w:sz w:val="36"/>
    </w:rPr>
  </w:style>
  <w:style w:type="character" w:customStyle="1" w:styleId="248">
    <w:name w:val="标题 Char1"/>
    <w:basedOn w:val="76"/>
    <w:autoRedefine/>
    <w:qFormat/>
    <w:uiPriority w:val="10"/>
    <w:rPr>
      <w:rFonts w:asciiTheme="majorHAnsi" w:hAnsiTheme="majorHAnsi" w:cstheme="majorBidi"/>
      <w:b/>
      <w:bCs/>
      <w:kern w:val="2"/>
      <w:sz w:val="32"/>
      <w:szCs w:val="32"/>
    </w:rPr>
  </w:style>
  <w:style w:type="character" w:customStyle="1" w:styleId="249">
    <w:name w:val="2标题 Char"/>
    <w:link w:val="250"/>
    <w:autoRedefine/>
    <w:qFormat/>
    <w:uiPriority w:val="0"/>
    <w:rPr>
      <w:b/>
      <w:kern w:val="2"/>
      <w:sz w:val="24"/>
    </w:rPr>
  </w:style>
  <w:style w:type="paragraph" w:customStyle="1" w:styleId="250">
    <w:name w:val="2标题"/>
    <w:basedOn w:val="4"/>
    <w:link w:val="249"/>
    <w:autoRedefine/>
    <w:qFormat/>
    <w:uiPriority w:val="0"/>
    <w:pPr>
      <w:adjustRightInd w:val="0"/>
      <w:snapToGrid w:val="0"/>
      <w:spacing w:beforeLines="150" w:afterLines="100" w:line="480" w:lineRule="auto"/>
      <w:ind w:firstLine="482" w:firstLineChars="200"/>
      <w:jc w:val="left"/>
      <w:textAlignment w:val="baseline"/>
    </w:pPr>
    <w:rPr>
      <w:rFonts w:ascii="Times New Roman" w:hAnsi="Times New Roman" w:eastAsia="宋体" w:cs="Times New Roman"/>
      <w:sz w:val="24"/>
      <w:szCs w:val="20"/>
    </w:rPr>
  </w:style>
  <w:style w:type="character" w:customStyle="1" w:styleId="251">
    <w:name w:val="改性沥青正文 Char"/>
    <w:link w:val="252"/>
    <w:autoRedefine/>
    <w:qFormat/>
    <w:uiPriority w:val="0"/>
    <w:rPr>
      <w:rFonts w:ascii="宋体" w:hAnsi="宋体"/>
      <w:color w:val="FF0000"/>
      <w:sz w:val="24"/>
      <w:szCs w:val="24"/>
    </w:rPr>
  </w:style>
  <w:style w:type="paragraph" w:customStyle="1" w:styleId="252">
    <w:name w:val="改性沥青正文"/>
    <w:basedOn w:val="1"/>
    <w:link w:val="251"/>
    <w:autoRedefine/>
    <w:qFormat/>
    <w:uiPriority w:val="0"/>
    <w:pPr>
      <w:adjustRightInd w:val="0"/>
      <w:snapToGrid w:val="0"/>
      <w:spacing w:line="560" w:lineRule="exact"/>
      <w:ind w:firstLine="482"/>
      <w:jc w:val="left"/>
      <w:textAlignment w:val="baseline"/>
    </w:pPr>
    <w:rPr>
      <w:rFonts w:cs="Times New Roman"/>
      <w:color w:val="FF0000"/>
      <w:kern w:val="0"/>
    </w:rPr>
  </w:style>
  <w:style w:type="character" w:customStyle="1" w:styleId="253">
    <w:name w:val="style121"/>
    <w:autoRedefine/>
    <w:qFormat/>
    <w:uiPriority w:val="0"/>
    <w:rPr>
      <w:b/>
      <w:bCs/>
      <w:sz w:val="21"/>
      <w:szCs w:val="21"/>
    </w:rPr>
  </w:style>
  <w:style w:type="character" w:customStyle="1" w:styleId="254">
    <w:name w:val="hb3 Char"/>
    <w:link w:val="255"/>
    <w:autoRedefine/>
    <w:qFormat/>
    <w:uiPriority w:val="0"/>
    <w:rPr>
      <w:rFonts w:ascii="宋体" w:hAnsi="宋体"/>
      <w:b/>
      <w:bCs/>
      <w:sz w:val="24"/>
      <w:szCs w:val="32"/>
    </w:rPr>
  </w:style>
  <w:style w:type="paragraph" w:customStyle="1" w:styleId="255">
    <w:name w:val="hb3"/>
    <w:basedOn w:val="5"/>
    <w:link w:val="254"/>
    <w:autoRedefine/>
    <w:qFormat/>
    <w:uiPriority w:val="0"/>
    <w:pPr>
      <w:spacing w:before="360" w:after="360"/>
      <w:jc w:val="left"/>
      <w:textAlignment w:val="baseline"/>
    </w:pPr>
    <w:rPr>
      <w:rFonts w:cs="Times New Roman"/>
      <w:bCs/>
      <w:kern w:val="0"/>
      <w:sz w:val="24"/>
      <w:szCs w:val="32"/>
    </w:rPr>
  </w:style>
  <w:style w:type="character" w:customStyle="1" w:styleId="256">
    <w:name w:val="apple-converted-space"/>
    <w:autoRedefine/>
    <w:qFormat/>
    <w:uiPriority w:val="0"/>
    <w:rPr>
      <w:rFonts w:ascii="Times New Roman" w:hAnsi="Times New Roman" w:eastAsia="宋体" w:cs="Times New Roman"/>
    </w:rPr>
  </w:style>
  <w:style w:type="character" w:customStyle="1" w:styleId="257">
    <w:name w:val="Char Char"/>
    <w:autoRedefine/>
    <w:qFormat/>
    <w:uiPriority w:val="0"/>
    <w:rPr>
      <w:rFonts w:ascii="Times New Roman" w:hAnsi="Times New Roman" w:eastAsia="宋体" w:cs="Times New Roman"/>
      <w:kern w:val="2"/>
      <w:sz w:val="18"/>
      <w:szCs w:val="18"/>
      <w:lang w:val="en-US" w:eastAsia="zh-CN" w:bidi="ar-SA"/>
    </w:rPr>
  </w:style>
  <w:style w:type="character" w:customStyle="1" w:styleId="258">
    <w:name w:val="报告正文 Char"/>
    <w:link w:val="259"/>
    <w:autoRedefine/>
    <w:qFormat/>
    <w:uiPriority w:val="0"/>
    <w:rPr>
      <w:sz w:val="24"/>
      <w:szCs w:val="24"/>
    </w:rPr>
  </w:style>
  <w:style w:type="paragraph" w:customStyle="1" w:styleId="259">
    <w:name w:val="报告正文"/>
    <w:basedOn w:val="1"/>
    <w:link w:val="258"/>
    <w:autoRedefine/>
    <w:qFormat/>
    <w:uiPriority w:val="0"/>
    <w:pPr>
      <w:spacing w:before="50"/>
      <w:ind w:firstLine="540"/>
    </w:pPr>
    <w:rPr>
      <w:rFonts w:cs="Times New Roman"/>
      <w:kern w:val="0"/>
    </w:rPr>
  </w:style>
  <w:style w:type="character" w:customStyle="1" w:styleId="260">
    <w:name w:val="图表目录 Char"/>
    <w:link w:val="57"/>
    <w:autoRedefine/>
    <w:qFormat/>
    <w:uiPriority w:val="0"/>
    <w:rPr>
      <w:szCs w:val="24"/>
    </w:rPr>
  </w:style>
  <w:style w:type="character" w:customStyle="1" w:styleId="261">
    <w:name w:val="01 Char"/>
    <w:link w:val="262"/>
    <w:autoRedefine/>
    <w:qFormat/>
    <w:uiPriority w:val="0"/>
    <w:rPr>
      <w:sz w:val="24"/>
      <w:szCs w:val="24"/>
    </w:rPr>
  </w:style>
  <w:style w:type="paragraph" w:customStyle="1" w:styleId="262">
    <w:name w:val="01"/>
    <w:basedOn w:val="1"/>
    <w:link w:val="261"/>
    <w:autoRedefine/>
    <w:qFormat/>
    <w:uiPriority w:val="0"/>
    <w:pPr>
      <w:ind w:firstLine="480" w:firstLineChars="200"/>
    </w:pPr>
    <w:rPr>
      <w:rFonts w:cs="Times New Roman"/>
      <w:kern w:val="0"/>
    </w:rPr>
  </w:style>
  <w:style w:type="character" w:customStyle="1" w:styleId="263">
    <w:name w:val="样式 样式 居中 左侧:  0.85 厘米 + 居中 左侧:  0 厘米 Char"/>
    <w:link w:val="264"/>
    <w:autoRedefine/>
    <w:qFormat/>
    <w:uiPriority w:val="0"/>
  </w:style>
  <w:style w:type="paragraph" w:customStyle="1" w:styleId="264">
    <w:name w:val="样式 样式 居中 左侧:  0.85 厘米 + 居中 左侧:  0 厘米"/>
    <w:basedOn w:val="265"/>
    <w:link w:val="263"/>
    <w:autoRedefine/>
    <w:qFormat/>
    <w:uiPriority w:val="0"/>
    <w:pPr>
      <w:spacing w:line="240" w:lineRule="auto"/>
      <w:ind w:left="0"/>
    </w:pPr>
    <w:rPr>
      <w:rFonts w:cs="Times New Roman"/>
      <w:kern w:val="0"/>
      <w:sz w:val="20"/>
    </w:rPr>
  </w:style>
  <w:style w:type="paragraph" w:customStyle="1" w:styleId="265">
    <w:name w:val="样式 居中 左侧:  0.85 厘米"/>
    <w:basedOn w:val="1"/>
    <w:autoRedefine/>
    <w:qFormat/>
    <w:uiPriority w:val="0"/>
    <w:pPr>
      <w:ind w:left="480"/>
    </w:pPr>
    <w:rPr>
      <w:sz w:val="21"/>
      <w:szCs w:val="20"/>
    </w:rPr>
  </w:style>
  <w:style w:type="character" w:customStyle="1" w:styleId="266">
    <w:name w:val="正文样板 Char"/>
    <w:link w:val="267"/>
    <w:autoRedefine/>
    <w:qFormat/>
    <w:uiPriority w:val="0"/>
    <w:rPr>
      <w:rFonts w:ascii="宋体" w:hAnsi="宋体"/>
      <w:snapToGrid w:val="0"/>
      <w:spacing w:val="6"/>
      <w:sz w:val="24"/>
      <w:szCs w:val="24"/>
    </w:rPr>
  </w:style>
  <w:style w:type="paragraph" w:customStyle="1" w:styleId="267">
    <w:name w:val="正文样板"/>
    <w:basedOn w:val="1"/>
    <w:link w:val="266"/>
    <w:autoRedefine/>
    <w:qFormat/>
    <w:uiPriority w:val="0"/>
    <w:pPr>
      <w:adjustRightInd w:val="0"/>
      <w:snapToGrid w:val="0"/>
      <w:ind w:firstLine="504" w:firstLineChars="200"/>
    </w:pPr>
    <w:rPr>
      <w:rFonts w:cs="Times New Roman"/>
      <w:snapToGrid w:val="0"/>
      <w:spacing w:val="6"/>
      <w:kern w:val="0"/>
    </w:rPr>
  </w:style>
  <w:style w:type="character" w:customStyle="1" w:styleId="268">
    <w:name w:val="正文0 Char Char"/>
    <w:link w:val="269"/>
    <w:autoRedefine/>
    <w:qFormat/>
    <w:uiPriority w:val="0"/>
    <w:rPr>
      <w:sz w:val="24"/>
      <w:szCs w:val="24"/>
    </w:rPr>
  </w:style>
  <w:style w:type="paragraph" w:customStyle="1" w:styleId="269">
    <w:name w:val="正文0"/>
    <w:basedOn w:val="1"/>
    <w:next w:val="1"/>
    <w:link w:val="268"/>
    <w:autoRedefine/>
    <w:qFormat/>
    <w:uiPriority w:val="0"/>
    <w:pPr>
      <w:ind w:firstLine="200" w:firstLineChars="200"/>
    </w:pPr>
    <w:rPr>
      <w:rFonts w:cs="Times New Roman"/>
      <w:kern w:val="0"/>
    </w:rPr>
  </w:style>
  <w:style w:type="character" w:customStyle="1" w:styleId="270">
    <w:name w:val="段落1 Char1"/>
    <w:link w:val="271"/>
    <w:autoRedefine/>
    <w:qFormat/>
    <w:uiPriority w:val="0"/>
    <w:rPr>
      <w:iCs/>
      <w:color w:val="000000"/>
      <w:spacing w:val="6"/>
      <w:kern w:val="2"/>
      <w:sz w:val="24"/>
      <w:szCs w:val="24"/>
    </w:rPr>
  </w:style>
  <w:style w:type="paragraph" w:customStyle="1" w:styleId="271">
    <w:name w:val="段落1"/>
    <w:basedOn w:val="1"/>
    <w:link w:val="270"/>
    <w:autoRedefine/>
    <w:qFormat/>
    <w:uiPriority w:val="0"/>
    <w:pPr>
      <w:adjustRightInd w:val="0"/>
      <w:ind w:firstLine="504" w:firstLineChars="200"/>
    </w:pPr>
    <w:rPr>
      <w:rFonts w:cs="Times New Roman"/>
      <w:iCs/>
      <w:color w:val="000000"/>
      <w:spacing w:val="6"/>
    </w:rPr>
  </w:style>
  <w:style w:type="character" w:customStyle="1" w:styleId="272">
    <w:name w:val="3标题(治) Char"/>
    <w:link w:val="273"/>
    <w:autoRedefine/>
    <w:qFormat/>
    <w:uiPriority w:val="0"/>
    <w:rPr>
      <w:rFonts w:eastAsia="黑体"/>
      <w:b/>
      <w:sz w:val="28"/>
    </w:rPr>
  </w:style>
  <w:style w:type="paragraph" w:customStyle="1" w:styleId="273">
    <w:name w:val="3标题(治)"/>
    <w:basedOn w:val="5"/>
    <w:link w:val="272"/>
    <w:autoRedefine/>
    <w:qFormat/>
    <w:uiPriority w:val="0"/>
    <w:pPr>
      <w:spacing w:line="360" w:lineRule="auto"/>
      <w:textAlignment w:val="baseline"/>
    </w:pPr>
    <w:rPr>
      <w:rFonts w:eastAsia="黑体" w:cs="Times New Roman"/>
      <w:kern w:val="0"/>
      <w:sz w:val="28"/>
      <w:szCs w:val="20"/>
    </w:rPr>
  </w:style>
  <w:style w:type="character" w:customStyle="1" w:styleId="274">
    <w:name w:val="表小4 Char"/>
    <w:link w:val="275"/>
    <w:autoRedefine/>
    <w:qFormat/>
    <w:uiPriority w:val="0"/>
    <w:rPr>
      <w:rFonts w:ascii="宋体" w:hAnsi="宋体"/>
      <w:kern w:val="2"/>
      <w:sz w:val="28"/>
    </w:rPr>
  </w:style>
  <w:style w:type="paragraph" w:customStyle="1" w:styleId="275">
    <w:name w:val="表小4"/>
    <w:basedOn w:val="1"/>
    <w:link w:val="274"/>
    <w:autoRedefine/>
    <w:qFormat/>
    <w:uiPriority w:val="0"/>
    <w:pPr>
      <w:widowControl/>
      <w:tabs>
        <w:tab w:val="left" w:pos="0"/>
      </w:tabs>
      <w:adjustRightInd w:val="0"/>
      <w:spacing w:line="0" w:lineRule="atLeast"/>
    </w:pPr>
    <w:rPr>
      <w:rFonts w:cs="Times New Roman"/>
      <w:sz w:val="28"/>
      <w:szCs w:val="20"/>
    </w:rPr>
  </w:style>
  <w:style w:type="character" w:customStyle="1" w:styleId="276">
    <w:name w:val="dandan6-13四级以下 Char"/>
    <w:link w:val="277"/>
    <w:autoRedefine/>
    <w:qFormat/>
    <w:uiPriority w:val="0"/>
    <w:rPr>
      <w:rFonts w:eastAsia="仿宋_GB2312"/>
      <w:b/>
      <w:sz w:val="24"/>
      <w:szCs w:val="24"/>
    </w:rPr>
  </w:style>
  <w:style w:type="paragraph" w:customStyle="1" w:styleId="277">
    <w:name w:val="dandan6-13四级以下"/>
    <w:basedOn w:val="1"/>
    <w:link w:val="276"/>
    <w:autoRedefine/>
    <w:qFormat/>
    <w:uiPriority w:val="0"/>
    <w:pPr>
      <w:spacing w:line="240" w:lineRule="auto"/>
      <w:outlineLvl w:val="3"/>
    </w:pPr>
    <w:rPr>
      <w:rFonts w:eastAsia="仿宋_GB2312" w:cs="Times New Roman"/>
      <w:b/>
      <w:kern w:val="0"/>
    </w:rPr>
  </w:style>
  <w:style w:type="character" w:customStyle="1" w:styleId="278">
    <w:name w:val="表号 Char2"/>
    <w:link w:val="279"/>
    <w:autoRedefine/>
    <w:qFormat/>
    <w:uiPriority w:val="0"/>
    <w:rPr>
      <w:rFonts w:ascii="黑体" w:eastAsia="黑体"/>
    </w:rPr>
  </w:style>
  <w:style w:type="paragraph" w:customStyle="1" w:styleId="279">
    <w:name w:val="表号"/>
    <w:basedOn w:val="280"/>
    <w:next w:val="280"/>
    <w:link w:val="278"/>
    <w:autoRedefine/>
    <w:qFormat/>
    <w:uiPriority w:val="0"/>
    <w:pPr>
      <w:tabs>
        <w:tab w:val="left" w:pos="360"/>
      </w:tabs>
      <w:spacing w:line="240" w:lineRule="atLeast"/>
      <w:ind w:left="360" w:hanging="360" w:hangingChars="200"/>
      <w:jc w:val="right"/>
    </w:pPr>
    <w:rPr>
      <w:rFonts w:ascii="黑体" w:eastAsia="黑体"/>
      <w:color w:val="auto"/>
      <w:kern w:val="0"/>
      <w:sz w:val="20"/>
      <w:szCs w:val="20"/>
    </w:rPr>
  </w:style>
  <w:style w:type="paragraph" w:customStyle="1" w:styleId="280">
    <w:name w:val="表内字"/>
    <w:link w:val="281"/>
    <w:autoRedefine/>
    <w:qFormat/>
    <w:uiPriority w:val="0"/>
    <w:pPr>
      <w:spacing w:line="312" w:lineRule="auto"/>
      <w:jc w:val="center"/>
    </w:pPr>
    <w:rPr>
      <w:rFonts w:ascii="Times New Roman" w:hAnsi="Times New Roman" w:eastAsia="Times New Roman" w:cs="Times New Roman"/>
      <w:color w:val="000000"/>
      <w:kern w:val="2"/>
      <w:sz w:val="21"/>
      <w:szCs w:val="22"/>
      <w:lang w:val="en-US" w:eastAsia="zh-CN" w:bidi="ar-SA"/>
    </w:rPr>
  </w:style>
  <w:style w:type="character" w:customStyle="1" w:styleId="281">
    <w:name w:val="表内字 Char1"/>
    <w:link w:val="280"/>
    <w:autoRedefine/>
    <w:qFormat/>
    <w:uiPriority w:val="0"/>
    <w:rPr>
      <w:rFonts w:eastAsia="Times New Roman"/>
      <w:color w:val="000000"/>
      <w:kern w:val="2"/>
      <w:sz w:val="21"/>
      <w:szCs w:val="22"/>
    </w:rPr>
  </w:style>
  <w:style w:type="character" w:customStyle="1" w:styleId="282">
    <w:name w:val="headline-content2"/>
    <w:autoRedefine/>
    <w:qFormat/>
    <w:uiPriority w:val="0"/>
    <w:rPr>
      <w:rFonts w:ascii="Times New Roman" w:hAnsi="Times New Roman" w:eastAsia="宋体" w:cs="Times New Roman"/>
    </w:rPr>
  </w:style>
  <w:style w:type="character" w:customStyle="1" w:styleId="283">
    <w:name w:val="+ 首行缩进:  2 字符 Char"/>
    <w:link w:val="284"/>
    <w:autoRedefine/>
    <w:qFormat/>
    <w:uiPriority w:val="0"/>
    <w:rPr>
      <w:rFonts w:ascii="宋体" w:hAnsi="Courier New"/>
    </w:rPr>
  </w:style>
  <w:style w:type="paragraph" w:customStyle="1" w:styleId="284">
    <w:name w:val="+ 首行缩进:  2 字符"/>
    <w:basedOn w:val="37"/>
    <w:link w:val="283"/>
    <w:autoRedefine/>
    <w:qFormat/>
    <w:uiPriority w:val="0"/>
    <w:pPr>
      <w:adjustRightInd/>
      <w:snapToGrid/>
      <w:spacing w:line="360" w:lineRule="auto"/>
      <w:ind w:firstLine="480" w:firstLineChars="200"/>
      <w:jc w:val="both"/>
    </w:pPr>
    <w:rPr>
      <w:rFonts w:hAnsi="Courier New"/>
      <w:sz w:val="20"/>
      <w:szCs w:val="20"/>
      <w:lang w:val="en-US"/>
    </w:rPr>
  </w:style>
  <w:style w:type="character" w:customStyle="1" w:styleId="285">
    <w:name w:val="纯文本 Char"/>
    <w:basedOn w:val="76"/>
    <w:link w:val="37"/>
    <w:autoRedefine/>
    <w:qFormat/>
    <w:uiPriority w:val="0"/>
    <w:rPr>
      <w:rFonts w:ascii="宋体" w:hAnsi="宋体"/>
      <w:sz w:val="18"/>
      <w:szCs w:val="18"/>
      <w:lang w:val="zh-CN" w:eastAsia="zh-CN"/>
    </w:rPr>
  </w:style>
  <w:style w:type="character" w:customStyle="1" w:styleId="286">
    <w:name w:val="表名 Char"/>
    <w:link w:val="287"/>
    <w:autoRedefine/>
    <w:qFormat/>
    <w:uiPriority w:val="0"/>
    <w:rPr>
      <w:rFonts w:ascii="黑体" w:eastAsia="黑体"/>
      <w:kern w:val="24"/>
      <w:sz w:val="24"/>
    </w:rPr>
  </w:style>
  <w:style w:type="paragraph" w:customStyle="1" w:styleId="287">
    <w:name w:val="表名"/>
    <w:basedOn w:val="1"/>
    <w:link w:val="286"/>
    <w:autoRedefine/>
    <w:qFormat/>
    <w:uiPriority w:val="0"/>
    <w:pPr>
      <w:keepNext/>
      <w:overflowPunct w:val="0"/>
      <w:adjustRightInd w:val="0"/>
      <w:spacing w:before="240" w:line="240" w:lineRule="auto"/>
      <w:textAlignment w:val="baseline"/>
    </w:pPr>
    <w:rPr>
      <w:rFonts w:ascii="黑体" w:eastAsia="黑体" w:cs="Times New Roman"/>
      <w:kern w:val="24"/>
      <w:szCs w:val="20"/>
    </w:rPr>
  </w:style>
  <w:style w:type="character" w:customStyle="1" w:styleId="288">
    <w:name w:val="样式 样式 初设正文 + 左侧:  0 厘米 段后: 0 磅 + 宋体 Char"/>
    <w:link w:val="289"/>
    <w:autoRedefine/>
    <w:qFormat/>
    <w:uiPriority w:val="0"/>
    <w:rPr>
      <w:rFonts w:ascii="Arial Unicode MS" w:hAnsi="Arial Unicode MS"/>
      <w:sz w:val="24"/>
    </w:rPr>
  </w:style>
  <w:style w:type="paragraph" w:customStyle="1" w:styleId="289">
    <w:name w:val="样式 样式 初设正文 + 左侧:  0 厘米 段后: 0 磅 + 宋体"/>
    <w:basedOn w:val="1"/>
    <w:link w:val="288"/>
    <w:autoRedefine/>
    <w:qFormat/>
    <w:uiPriority w:val="0"/>
    <w:pPr>
      <w:spacing w:line="440" w:lineRule="exact"/>
      <w:ind w:firstLine="425"/>
    </w:pPr>
    <w:rPr>
      <w:rFonts w:ascii="Arial Unicode MS" w:hAnsi="Arial Unicode MS" w:cs="Times New Roman"/>
      <w:kern w:val="0"/>
      <w:szCs w:val="20"/>
    </w:rPr>
  </w:style>
  <w:style w:type="character" w:customStyle="1" w:styleId="290">
    <w:name w:val="表头1 Char"/>
    <w:link w:val="291"/>
    <w:autoRedefine/>
    <w:qFormat/>
    <w:uiPriority w:val="0"/>
    <w:rPr>
      <w:rFonts w:eastAsia="黑体"/>
      <w:szCs w:val="21"/>
    </w:rPr>
  </w:style>
  <w:style w:type="paragraph" w:customStyle="1" w:styleId="291">
    <w:name w:val="表头1"/>
    <w:basedOn w:val="1"/>
    <w:next w:val="1"/>
    <w:link w:val="290"/>
    <w:autoRedefine/>
    <w:qFormat/>
    <w:uiPriority w:val="0"/>
    <w:pPr>
      <w:tabs>
        <w:tab w:val="left" w:pos="605"/>
      </w:tabs>
      <w:adjustRightInd w:val="0"/>
      <w:snapToGrid w:val="0"/>
      <w:spacing w:line="240" w:lineRule="auto"/>
    </w:pPr>
    <w:rPr>
      <w:rFonts w:eastAsia="黑体" w:cs="Times New Roman"/>
      <w:kern w:val="0"/>
      <w:sz w:val="20"/>
      <w:szCs w:val="21"/>
    </w:rPr>
  </w:style>
  <w:style w:type="character" w:customStyle="1" w:styleId="292">
    <w:name w:val="正文. Char"/>
    <w:link w:val="293"/>
    <w:autoRedefine/>
    <w:qFormat/>
    <w:uiPriority w:val="0"/>
    <w:rPr>
      <w:rFonts w:ascii="Times New Roman;Symbol;Arial;婼" w:eastAsia="Times New Roman;Symbol;Arial;婼"/>
      <w:sz w:val="21"/>
      <w:szCs w:val="21"/>
    </w:rPr>
  </w:style>
  <w:style w:type="paragraph" w:customStyle="1" w:styleId="293">
    <w:name w:val="正文."/>
    <w:link w:val="292"/>
    <w:autoRedefine/>
    <w:qFormat/>
    <w:uiPriority w:val="0"/>
    <w:pPr>
      <w:widowControl w:val="0"/>
      <w:autoSpaceDE w:val="0"/>
      <w:autoSpaceDN w:val="0"/>
      <w:adjustRightInd w:val="0"/>
      <w:jc w:val="both"/>
    </w:pPr>
    <w:rPr>
      <w:rFonts w:ascii="Times New Roman;Symbol;Arial;婼" w:hAnsi="Times New Roman" w:eastAsia="Times New Roman;Symbol;Arial;婼" w:cs="Times New Roman"/>
      <w:sz w:val="21"/>
      <w:szCs w:val="21"/>
      <w:lang w:val="en-US" w:eastAsia="zh-CN" w:bidi="ar-SA"/>
    </w:rPr>
  </w:style>
  <w:style w:type="character" w:customStyle="1" w:styleId="294">
    <w:name w:val="g1"/>
    <w:autoRedefine/>
    <w:qFormat/>
    <w:uiPriority w:val="0"/>
    <w:rPr>
      <w:rFonts w:ascii="Times New Roman" w:hAnsi="Times New Roman" w:eastAsia="宋体" w:cs="Times New Roman"/>
      <w:color w:val="008000"/>
    </w:rPr>
  </w:style>
  <w:style w:type="character" w:customStyle="1" w:styleId="295">
    <w:name w:val="正文样式 Char"/>
    <w:link w:val="296"/>
    <w:autoRedefine/>
    <w:qFormat/>
    <w:uiPriority w:val="0"/>
    <w:rPr>
      <w:rFonts w:ascii="宋体" w:hAnsi="宋体"/>
      <w:sz w:val="24"/>
      <w:szCs w:val="24"/>
    </w:rPr>
  </w:style>
  <w:style w:type="paragraph" w:customStyle="1" w:styleId="296">
    <w:name w:val="正文样式"/>
    <w:basedOn w:val="1"/>
    <w:link w:val="295"/>
    <w:autoRedefine/>
    <w:qFormat/>
    <w:uiPriority w:val="0"/>
    <w:pPr>
      <w:ind w:firstLine="480" w:firstLineChars="200"/>
    </w:pPr>
    <w:rPr>
      <w:rFonts w:cs="Times New Roman"/>
      <w:kern w:val="0"/>
    </w:rPr>
  </w:style>
  <w:style w:type="character" w:customStyle="1" w:styleId="297">
    <w:name w:val="蒲标题3 Char"/>
    <w:link w:val="298"/>
    <w:autoRedefine/>
    <w:qFormat/>
    <w:uiPriority w:val="0"/>
    <w:rPr>
      <w:b/>
      <w:bCs/>
      <w:color w:val="000000"/>
      <w:sz w:val="24"/>
      <w:szCs w:val="24"/>
    </w:rPr>
  </w:style>
  <w:style w:type="paragraph" w:customStyle="1" w:styleId="298">
    <w:name w:val="蒲标题3"/>
    <w:basedOn w:val="5"/>
    <w:link w:val="297"/>
    <w:autoRedefine/>
    <w:qFormat/>
    <w:uiPriority w:val="0"/>
    <w:pPr>
      <w:autoSpaceDE w:val="0"/>
      <w:autoSpaceDN w:val="0"/>
      <w:snapToGrid w:val="0"/>
      <w:spacing w:line="360" w:lineRule="auto"/>
      <w:outlineLvl w:val="0"/>
    </w:pPr>
    <w:rPr>
      <w:rFonts w:cs="Times New Roman"/>
      <w:bCs/>
      <w:color w:val="000000"/>
      <w:kern w:val="0"/>
      <w:sz w:val="24"/>
    </w:rPr>
  </w:style>
  <w:style w:type="character" w:customStyle="1" w:styleId="299">
    <w:name w:val="自定义标题3 Char"/>
    <w:link w:val="300"/>
    <w:autoRedefine/>
    <w:qFormat/>
    <w:uiPriority w:val="0"/>
    <w:rPr>
      <w:color w:val="0000FF"/>
      <w:sz w:val="28"/>
    </w:rPr>
  </w:style>
  <w:style w:type="paragraph" w:customStyle="1" w:styleId="300">
    <w:name w:val="自定义标题3"/>
    <w:basedOn w:val="1"/>
    <w:next w:val="1"/>
    <w:link w:val="299"/>
    <w:autoRedefine/>
    <w:qFormat/>
    <w:uiPriority w:val="0"/>
    <w:pPr>
      <w:widowControl/>
      <w:tabs>
        <w:tab w:val="left" w:pos="1134"/>
        <w:tab w:val="left" w:pos="1290"/>
      </w:tabs>
      <w:adjustRightInd w:val="0"/>
      <w:spacing w:before="100" w:line="480" w:lineRule="atLeast"/>
      <w:ind w:left="210"/>
      <w:textAlignment w:val="bottom"/>
    </w:pPr>
    <w:rPr>
      <w:rFonts w:cs="Times New Roman"/>
      <w:color w:val="0000FF"/>
      <w:kern w:val="0"/>
      <w:sz w:val="28"/>
      <w:szCs w:val="20"/>
    </w:rPr>
  </w:style>
  <w:style w:type="character" w:customStyle="1" w:styleId="301">
    <w:name w:val="样式 居中 首行缩进:  0 字符 Char Char Char"/>
    <w:link w:val="302"/>
    <w:autoRedefine/>
    <w:qFormat/>
    <w:uiPriority w:val="0"/>
    <w:rPr>
      <w:rFonts w:ascii="宋体" w:hAnsi="宋体"/>
      <w:color w:val="000000"/>
      <w:sz w:val="18"/>
      <w:szCs w:val="18"/>
    </w:rPr>
  </w:style>
  <w:style w:type="paragraph" w:customStyle="1" w:styleId="302">
    <w:name w:val="样式 居中 首行缩进:  0 字符 Char Char"/>
    <w:basedOn w:val="1"/>
    <w:next w:val="1"/>
    <w:link w:val="301"/>
    <w:autoRedefine/>
    <w:qFormat/>
    <w:uiPriority w:val="0"/>
    <w:pPr>
      <w:tabs>
        <w:tab w:val="left" w:pos="9128"/>
      </w:tabs>
      <w:snapToGrid w:val="0"/>
      <w:spacing w:line="240" w:lineRule="auto"/>
    </w:pPr>
    <w:rPr>
      <w:rFonts w:cs="Times New Roman"/>
      <w:color w:val="000000"/>
      <w:kern w:val="0"/>
    </w:rPr>
  </w:style>
  <w:style w:type="character" w:customStyle="1" w:styleId="303">
    <w:name w:val="表题 Char"/>
    <w:link w:val="304"/>
    <w:autoRedefine/>
    <w:qFormat/>
    <w:uiPriority w:val="0"/>
    <w:rPr>
      <w:b/>
      <w:spacing w:val="12"/>
      <w:w w:val="90"/>
      <w:kern w:val="2"/>
      <w:sz w:val="24"/>
      <w:szCs w:val="24"/>
    </w:rPr>
  </w:style>
  <w:style w:type="paragraph" w:customStyle="1" w:styleId="304">
    <w:name w:val="表题"/>
    <w:basedOn w:val="1"/>
    <w:link w:val="303"/>
    <w:autoRedefine/>
    <w:qFormat/>
    <w:uiPriority w:val="0"/>
    <w:pPr>
      <w:keepNext/>
      <w:spacing w:line="460" w:lineRule="atLeast"/>
    </w:pPr>
    <w:rPr>
      <w:rFonts w:cs="Times New Roman"/>
      <w:b/>
      <w:spacing w:val="12"/>
      <w:w w:val="90"/>
    </w:rPr>
  </w:style>
  <w:style w:type="character" w:customStyle="1" w:styleId="305">
    <w:name w:val="apple-style-span"/>
    <w:autoRedefine/>
    <w:qFormat/>
    <w:uiPriority w:val="0"/>
    <w:rPr>
      <w:rFonts w:ascii="Times New Roman" w:hAnsi="Times New Roman" w:eastAsia="宋体" w:cs="Times New Roman"/>
    </w:rPr>
  </w:style>
  <w:style w:type="character" w:customStyle="1" w:styleId="306">
    <w:name w:val="正文wang Char"/>
    <w:link w:val="307"/>
    <w:autoRedefine/>
    <w:qFormat/>
    <w:uiPriority w:val="0"/>
    <w:rPr>
      <w:rFonts w:hAnsi="宋体"/>
      <w:szCs w:val="21"/>
    </w:rPr>
  </w:style>
  <w:style w:type="paragraph" w:customStyle="1" w:styleId="307">
    <w:name w:val="正文wang"/>
    <w:basedOn w:val="1"/>
    <w:link w:val="306"/>
    <w:autoRedefine/>
    <w:qFormat/>
    <w:uiPriority w:val="0"/>
    <w:pPr>
      <w:adjustRightInd w:val="0"/>
      <w:spacing w:beforeLines="25" w:line="240" w:lineRule="auto"/>
      <w:ind w:firstLine="420"/>
    </w:pPr>
    <w:rPr>
      <w:rFonts w:cs="Times New Roman"/>
      <w:kern w:val="0"/>
      <w:sz w:val="20"/>
      <w:szCs w:val="21"/>
    </w:rPr>
  </w:style>
  <w:style w:type="character" w:customStyle="1" w:styleId="308">
    <w:name w:val="表格内字体 Char"/>
    <w:link w:val="309"/>
    <w:autoRedefine/>
    <w:qFormat/>
    <w:uiPriority w:val="0"/>
    <w:rPr>
      <w:szCs w:val="24"/>
    </w:rPr>
  </w:style>
  <w:style w:type="paragraph" w:customStyle="1" w:styleId="309">
    <w:name w:val="表格内字体"/>
    <w:basedOn w:val="168"/>
    <w:next w:val="168"/>
    <w:link w:val="308"/>
    <w:autoRedefine/>
    <w:qFormat/>
    <w:uiPriority w:val="0"/>
    <w:pPr>
      <w:spacing w:line="240" w:lineRule="exact"/>
      <w:ind w:left="-277" w:leftChars="-132" w:firstLine="277" w:firstLineChars="132"/>
    </w:pPr>
    <w:rPr>
      <w:rFonts w:ascii="Times New Roman" w:hAnsi="Times New Roman"/>
      <w:sz w:val="20"/>
      <w:lang w:val="en-US"/>
    </w:rPr>
  </w:style>
  <w:style w:type="character" w:customStyle="1" w:styleId="310">
    <w:name w:val="可研表格 Char"/>
    <w:link w:val="311"/>
    <w:autoRedefine/>
    <w:qFormat/>
    <w:locked/>
    <w:uiPriority w:val="0"/>
    <w:rPr>
      <w:kern w:val="2"/>
      <w:sz w:val="24"/>
      <w:szCs w:val="24"/>
    </w:rPr>
  </w:style>
  <w:style w:type="paragraph" w:customStyle="1" w:styleId="311">
    <w:name w:val="可研表格"/>
    <w:basedOn w:val="1"/>
    <w:next w:val="1"/>
    <w:link w:val="310"/>
    <w:autoRedefine/>
    <w:qFormat/>
    <w:uiPriority w:val="0"/>
    <w:pPr>
      <w:tabs>
        <w:tab w:val="left" w:pos="3686"/>
      </w:tabs>
      <w:spacing w:line="440" w:lineRule="exact"/>
    </w:pPr>
    <w:rPr>
      <w:rFonts w:cs="Times New Roman"/>
    </w:rPr>
  </w:style>
  <w:style w:type="character" w:customStyle="1" w:styleId="312">
    <w:name w:val="正文文字缩进一 Char"/>
    <w:autoRedefine/>
    <w:qFormat/>
    <w:uiPriority w:val="0"/>
    <w:rPr>
      <w:rFonts w:ascii="宋体" w:hAnsi="宋体" w:eastAsia="宋体" w:cs="Times New Roman"/>
      <w:kern w:val="2"/>
      <w:sz w:val="28"/>
      <w:szCs w:val="28"/>
      <w:lang w:val="en-US" w:eastAsia="zh-CN" w:bidi="ar-SA"/>
    </w:rPr>
  </w:style>
  <w:style w:type="character" w:customStyle="1" w:styleId="313">
    <w:name w:val="正文文字进缩 Char"/>
    <w:autoRedefine/>
    <w:qFormat/>
    <w:uiPriority w:val="0"/>
    <w:rPr>
      <w:rFonts w:ascii="宋体" w:hAnsi="宋体" w:eastAsia="宋体" w:cs="Times New Roman"/>
      <w:kern w:val="2"/>
      <w:sz w:val="28"/>
      <w:lang w:val="en-US" w:eastAsia="zh-CN" w:bidi="ar-SA"/>
    </w:rPr>
  </w:style>
  <w:style w:type="character" w:customStyle="1" w:styleId="314">
    <w:name w:val="标准 Char"/>
    <w:link w:val="315"/>
    <w:autoRedefine/>
    <w:qFormat/>
    <w:uiPriority w:val="0"/>
    <w:rPr>
      <w:sz w:val="28"/>
      <w:lang w:val="en-GB"/>
    </w:rPr>
  </w:style>
  <w:style w:type="paragraph" w:customStyle="1" w:styleId="315">
    <w:name w:val="标准"/>
    <w:basedOn w:val="1"/>
    <w:link w:val="314"/>
    <w:autoRedefine/>
    <w:qFormat/>
    <w:uiPriority w:val="0"/>
    <w:pPr>
      <w:adjustRightInd w:val="0"/>
      <w:spacing w:line="480" w:lineRule="exact"/>
      <w:textAlignment w:val="baseline"/>
    </w:pPr>
    <w:rPr>
      <w:rFonts w:cs="Times New Roman"/>
      <w:kern w:val="0"/>
      <w:sz w:val="28"/>
      <w:szCs w:val="20"/>
      <w:lang w:val="en-GB"/>
    </w:rPr>
  </w:style>
  <w:style w:type="character" w:customStyle="1" w:styleId="316">
    <w:name w:val="表后空格 Char"/>
    <w:link w:val="317"/>
    <w:autoRedefine/>
    <w:qFormat/>
    <w:uiPriority w:val="0"/>
    <w:rPr>
      <w:rFonts w:ascii="楷体_GB2312" w:hAnsi="楷体_GB2312" w:eastAsia="楷体_GB2312"/>
      <w:kern w:val="2"/>
      <w:sz w:val="24"/>
      <w:szCs w:val="24"/>
    </w:rPr>
  </w:style>
  <w:style w:type="paragraph" w:customStyle="1" w:styleId="317">
    <w:name w:val="表后空格"/>
    <w:basedOn w:val="318"/>
    <w:link w:val="316"/>
    <w:autoRedefine/>
    <w:qFormat/>
    <w:uiPriority w:val="0"/>
    <w:pPr>
      <w:spacing w:line="240" w:lineRule="exact"/>
      <w:ind w:firstLine="480"/>
    </w:pPr>
    <w:rPr>
      <w:lang w:val="en-US"/>
    </w:rPr>
  </w:style>
  <w:style w:type="paragraph" w:customStyle="1" w:styleId="318">
    <w:name w:val="正文 楷体"/>
    <w:basedOn w:val="1"/>
    <w:link w:val="319"/>
    <w:autoRedefine/>
    <w:qFormat/>
    <w:uiPriority w:val="0"/>
    <w:pPr>
      <w:spacing w:line="500" w:lineRule="exact"/>
      <w:ind w:firstLine="200" w:firstLineChars="200"/>
    </w:pPr>
    <w:rPr>
      <w:rFonts w:ascii="楷体_GB2312" w:hAnsi="楷体_GB2312" w:eastAsia="楷体_GB2312" w:cs="Times New Roman"/>
    </w:rPr>
  </w:style>
  <w:style w:type="character" w:customStyle="1" w:styleId="319">
    <w:name w:val="正文 楷体 Char"/>
    <w:link w:val="318"/>
    <w:autoRedefine/>
    <w:qFormat/>
    <w:uiPriority w:val="0"/>
    <w:rPr>
      <w:rFonts w:ascii="楷体_GB2312" w:hAnsi="楷体_GB2312" w:eastAsia="楷体_GB2312"/>
      <w:kern w:val="2"/>
      <w:sz w:val="24"/>
      <w:szCs w:val="24"/>
      <w:lang w:val="zh-CN" w:eastAsia="zh-CN"/>
    </w:rPr>
  </w:style>
  <w:style w:type="character" w:customStyle="1" w:styleId="320">
    <w:name w:val="headline-content"/>
    <w:autoRedefine/>
    <w:qFormat/>
    <w:uiPriority w:val="0"/>
    <w:rPr>
      <w:rFonts w:ascii="Times New Roman" w:hAnsi="Times New Roman" w:eastAsia="宋体" w:cs="Times New Roman"/>
    </w:rPr>
  </w:style>
  <w:style w:type="character" w:customStyle="1" w:styleId="321">
    <w:name w:val="dandan6-13标题2 Char"/>
    <w:link w:val="322"/>
    <w:autoRedefine/>
    <w:qFormat/>
    <w:uiPriority w:val="0"/>
    <w:rPr>
      <w:rFonts w:eastAsia="黑体"/>
      <w:b/>
      <w:sz w:val="30"/>
      <w:szCs w:val="32"/>
    </w:rPr>
  </w:style>
  <w:style w:type="paragraph" w:customStyle="1" w:styleId="322">
    <w:name w:val="dandan6-13标题2"/>
    <w:basedOn w:val="4"/>
    <w:link w:val="321"/>
    <w:autoRedefine/>
    <w:qFormat/>
    <w:uiPriority w:val="0"/>
    <w:pPr>
      <w:spacing w:before="120" w:after="120" w:line="360" w:lineRule="auto"/>
    </w:pPr>
    <w:rPr>
      <w:rFonts w:ascii="Times New Roman" w:hAnsi="Times New Roman" w:cs="Times New Roman"/>
      <w:kern w:val="0"/>
      <w:sz w:val="30"/>
      <w:szCs w:val="32"/>
    </w:rPr>
  </w:style>
  <w:style w:type="character" w:customStyle="1" w:styleId="323">
    <w:name w:val="样式 dan7-1 + 宋体 Char Char Char"/>
    <w:link w:val="324"/>
    <w:autoRedefine/>
    <w:qFormat/>
    <w:uiPriority w:val="0"/>
    <w:rPr>
      <w:rFonts w:ascii="宋体" w:hAnsi="宋体"/>
      <w:b/>
      <w:sz w:val="24"/>
      <w:szCs w:val="24"/>
    </w:rPr>
  </w:style>
  <w:style w:type="paragraph" w:customStyle="1" w:styleId="324">
    <w:name w:val="样式 dan7-1 + 宋体 Char Char"/>
    <w:basedOn w:val="325"/>
    <w:link w:val="323"/>
    <w:autoRedefine/>
    <w:qFormat/>
    <w:uiPriority w:val="0"/>
    <w:rPr>
      <w:b/>
      <w:lang w:val="en-US"/>
    </w:rPr>
  </w:style>
  <w:style w:type="paragraph" w:customStyle="1" w:styleId="325">
    <w:name w:val="dan7-1"/>
    <w:basedOn w:val="1"/>
    <w:link w:val="326"/>
    <w:autoRedefine/>
    <w:qFormat/>
    <w:uiPriority w:val="0"/>
    <w:pPr>
      <w:spacing w:before="40" w:after="40"/>
      <w:ind w:firstLine="200" w:firstLineChars="200"/>
    </w:pPr>
    <w:rPr>
      <w:rFonts w:cs="Times New Roman"/>
      <w:kern w:val="0"/>
    </w:rPr>
  </w:style>
  <w:style w:type="character" w:customStyle="1" w:styleId="326">
    <w:name w:val="dan7-1 Char"/>
    <w:link w:val="325"/>
    <w:autoRedefine/>
    <w:qFormat/>
    <w:uiPriority w:val="0"/>
    <w:rPr>
      <w:sz w:val="24"/>
      <w:szCs w:val="24"/>
      <w:lang w:val="zh-CN" w:eastAsia="zh-CN"/>
    </w:rPr>
  </w:style>
  <w:style w:type="character" w:customStyle="1" w:styleId="327">
    <w:name w:val="样式6 Char"/>
    <w:link w:val="328"/>
    <w:autoRedefine/>
    <w:qFormat/>
    <w:uiPriority w:val="0"/>
    <w:rPr>
      <w:b/>
      <w:bCs/>
      <w:sz w:val="32"/>
      <w:szCs w:val="32"/>
    </w:rPr>
  </w:style>
  <w:style w:type="paragraph" w:customStyle="1" w:styleId="328">
    <w:name w:val="样式6"/>
    <w:basedOn w:val="5"/>
    <w:link w:val="327"/>
    <w:autoRedefine/>
    <w:qFormat/>
    <w:uiPriority w:val="0"/>
    <w:rPr>
      <w:rFonts w:cs="Times New Roman"/>
      <w:bCs/>
      <w:kern w:val="0"/>
      <w:szCs w:val="32"/>
    </w:rPr>
  </w:style>
  <w:style w:type="character" w:customStyle="1" w:styleId="329">
    <w:name w:val="03 Char"/>
    <w:link w:val="330"/>
    <w:autoRedefine/>
    <w:qFormat/>
    <w:uiPriority w:val="0"/>
    <w:rPr>
      <w:rFonts w:ascii="宋体" w:hAnsi="Courier New"/>
      <w:sz w:val="24"/>
      <w:szCs w:val="24"/>
    </w:rPr>
  </w:style>
  <w:style w:type="paragraph" w:customStyle="1" w:styleId="330">
    <w:name w:val="03"/>
    <w:basedOn w:val="1"/>
    <w:link w:val="329"/>
    <w:autoRedefine/>
    <w:qFormat/>
    <w:uiPriority w:val="0"/>
    <w:pPr>
      <w:ind w:firstLine="480" w:firstLineChars="200"/>
    </w:pPr>
    <w:rPr>
      <w:rFonts w:hAnsi="Courier New" w:cs="Times New Roman"/>
      <w:kern w:val="0"/>
    </w:rPr>
  </w:style>
  <w:style w:type="character" w:customStyle="1" w:styleId="331">
    <w:name w:val="grid-r ask-time"/>
    <w:autoRedefine/>
    <w:qFormat/>
    <w:uiPriority w:val="0"/>
    <w:rPr>
      <w:rFonts w:ascii="Times New Roman" w:hAnsi="Times New Roman" w:eastAsia="宋体" w:cs="Times New Roman"/>
    </w:rPr>
  </w:style>
  <w:style w:type="character" w:customStyle="1" w:styleId="332">
    <w:name w:val="表格内文字 Char1"/>
    <w:link w:val="333"/>
    <w:autoRedefine/>
    <w:qFormat/>
    <w:uiPriority w:val="0"/>
    <w:rPr>
      <w:rFonts w:eastAsia="Times New Roman"/>
      <w:kern w:val="2"/>
      <w:sz w:val="21"/>
      <w:szCs w:val="22"/>
      <w:lang w:val="zh-CN"/>
    </w:rPr>
  </w:style>
  <w:style w:type="paragraph" w:customStyle="1" w:styleId="333">
    <w:name w:val="表格内文字"/>
    <w:next w:val="1"/>
    <w:link w:val="332"/>
    <w:autoRedefine/>
    <w:qFormat/>
    <w:uiPriority w:val="0"/>
    <w:rPr>
      <w:rFonts w:ascii="Times New Roman" w:hAnsi="Times New Roman" w:eastAsia="Times New Roman" w:cs="Times New Roman"/>
      <w:kern w:val="2"/>
      <w:sz w:val="21"/>
      <w:szCs w:val="22"/>
      <w:lang w:val="zh-CN" w:eastAsia="zh-CN" w:bidi="ar-SA"/>
    </w:rPr>
  </w:style>
  <w:style w:type="character" w:customStyle="1" w:styleId="334">
    <w:name w:val="样式4 Char"/>
    <w:link w:val="335"/>
    <w:autoRedefine/>
    <w:qFormat/>
    <w:uiPriority w:val="0"/>
    <w:rPr>
      <w:b/>
      <w:sz w:val="28"/>
      <w:szCs w:val="28"/>
    </w:rPr>
  </w:style>
  <w:style w:type="paragraph" w:customStyle="1" w:styleId="335">
    <w:name w:val="样式4"/>
    <w:basedOn w:val="5"/>
    <w:next w:val="336"/>
    <w:link w:val="334"/>
    <w:autoRedefine/>
    <w:qFormat/>
    <w:uiPriority w:val="0"/>
    <w:pPr>
      <w:spacing w:before="260" w:after="260"/>
    </w:pPr>
    <w:rPr>
      <w:rFonts w:cs="Times New Roman"/>
      <w:kern w:val="0"/>
      <w:sz w:val="28"/>
      <w:szCs w:val="28"/>
    </w:rPr>
  </w:style>
  <w:style w:type="paragraph" w:customStyle="1" w:styleId="336">
    <w:name w:val="样式3"/>
    <w:basedOn w:val="4"/>
    <w:link w:val="337"/>
    <w:autoRedefine/>
    <w:qFormat/>
    <w:uiPriority w:val="0"/>
    <w:pPr>
      <w:spacing w:before="260" w:after="260"/>
    </w:pPr>
    <w:rPr>
      <w:rFonts w:cs="Times New Roman"/>
      <w:b w:val="0"/>
      <w:kern w:val="0"/>
      <w:szCs w:val="20"/>
    </w:rPr>
  </w:style>
  <w:style w:type="character" w:customStyle="1" w:styleId="337">
    <w:name w:val="样式3 Char"/>
    <w:link w:val="336"/>
    <w:autoRedefine/>
    <w:qFormat/>
    <w:uiPriority w:val="0"/>
    <w:rPr>
      <w:rFonts w:ascii="Arial" w:hAnsi="Arial" w:eastAsia="黑体"/>
      <w:sz w:val="32"/>
      <w:lang w:val="zh-CN" w:eastAsia="zh-CN"/>
    </w:rPr>
  </w:style>
  <w:style w:type="character" w:customStyle="1" w:styleId="338">
    <w:name w:val="product-summary1"/>
    <w:autoRedefine/>
    <w:qFormat/>
    <w:uiPriority w:val="0"/>
    <w:rPr>
      <w:rFonts w:ascii="Times New Roman" w:hAnsi="Times New Roman" w:eastAsia="宋体" w:cs="Times New Roman"/>
      <w:color w:val="999999"/>
      <w:sz w:val="28"/>
      <w:szCs w:val="28"/>
    </w:rPr>
  </w:style>
  <w:style w:type="character" w:customStyle="1" w:styleId="339">
    <w:name w:val="图名 Char"/>
    <w:link w:val="340"/>
    <w:autoRedefine/>
    <w:qFormat/>
    <w:uiPriority w:val="0"/>
    <w:rPr>
      <w:rFonts w:eastAsia="黑体"/>
      <w:kern w:val="2"/>
      <w:sz w:val="21"/>
      <w:szCs w:val="24"/>
    </w:rPr>
  </w:style>
  <w:style w:type="paragraph" w:customStyle="1" w:styleId="340">
    <w:name w:val="图名"/>
    <w:basedOn w:val="1"/>
    <w:link w:val="339"/>
    <w:autoRedefine/>
    <w:qFormat/>
    <w:uiPriority w:val="0"/>
    <w:pPr>
      <w:spacing w:line="440" w:lineRule="exact"/>
    </w:pPr>
    <w:rPr>
      <w:rFonts w:eastAsia="黑体" w:cs="Times New Roman"/>
      <w:sz w:val="21"/>
    </w:rPr>
  </w:style>
  <w:style w:type="character" w:customStyle="1" w:styleId="341">
    <w:name w:val="标题 2 + 行距: 标题2+首行缩进 0倍 Char"/>
    <w:link w:val="342"/>
    <w:autoRedefine/>
    <w:qFormat/>
    <w:uiPriority w:val="0"/>
    <w:rPr>
      <w:rFonts w:ascii="黑体" w:eastAsia="黑体"/>
      <w:sz w:val="30"/>
    </w:rPr>
  </w:style>
  <w:style w:type="paragraph" w:customStyle="1" w:styleId="342">
    <w:name w:val="标题 2 + 行距: 标题2+首行缩进 0倍"/>
    <w:basedOn w:val="4"/>
    <w:link w:val="341"/>
    <w:autoRedefine/>
    <w:qFormat/>
    <w:uiPriority w:val="0"/>
    <w:pPr>
      <w:tabs>
        <w:tab w:val="left" w:pos="8140"/>
      </w:tabs>
      <w:spacing w:line="360" w:lineRule="auto"/>
    </w:pPr>
    <w:rPr>
      <w:rFonts w:ascii="黑体" w:hAnsi="Times New Roman" w:cs="Times New Roman"/>
      <w:b w:val="0"/>
      <w:kern w:val="0"/>
      <w:sz w:val="30"/>
      <w:szCs w:val="20"/>
    </w:rPr>
  </w:style>
  <w:style w:type="character" w:customStyle="1" w:styleId="343">
    <w:name w:val="图号S Char"/>
    <w:link w:val="344"/>
    <w:autoRedefine/>
    <w:qFormat/>
    <w:uiPriority w:val="0"/>
    <w:rPr>
      <w:rFonts w:eastAsia="仿宋_GB2312"/>
      <w:b/>
      <w:sz w:val="24"/>
    </w:rPr>
  </w:style>
  <w:style w:type="paragraph" w:customStyle="1" w:styleId="344">
    <w:name w:val="图号S"/>
    <w:basedOn w:val="7"/>
    <w:next w:val="345"/>
    <w:link w:val="343"/>
    <w:autoRedefine/>
    <w:qFormat/>
    <w:uiPriority w:val="0"/>
    <w:pPr>
      <w:keepNext/>
      <w:keepLines/>
      <w:tabs>
        <w:tab w:val="left" w:pos="1008"/>
      </w:tabs>
      <w:spacing w:line="240" w:lineRule="auto"/>
      <w:ind w:left="1008" w:hanging="1008"/>
    </w:pPr>
    <w:rPr>
      <w:rFonts w:ascii="Times New Roman" w:hAnsi="Times New Roman" w:eastAsia="仿宋_GB2312" w:cs="Times New Roman"/>
      <w:bCs w:val="0"/>
      <w:kern w:val="0"/>
      <w:szCs w:val="20"/>
      <w:lang w:val="en-US" w:bidi="ar-SA"/>
    </w:rPr>
  </w:style>
  <w:style w:type="paragraph" w:customStyle="1" w:styleId="345">
    <w:name w:val="正文段落S"/>
    <w:basedOn w:val="1"/>
    <w:autoRedefine/>
    <w:qFormat/>
    <w:uiPriority w:val="0"/>
    <w:pPr>
      <w:ind w:firstLine="420" w:firstLineChars="200"/>
    </w:pPr>
    <w:rPr>
      <w:rFonts w:eastAsia="仿宋_GB2312" w:cs="Times New Roman"/>
      <w:snapToGrid w:val="0"/>
      <w:kern w:val="0"/>
      <w:szCs w:val="20"/>
    </w:rPr>
  </w:style>
  <w:style w:type="character" w:customStyle="1" w:styleId="346">
    <w:name w:val="jczi14"/>
    <w:autoRedefine/>
    <w:qFormat/>
    <w:uiPriority w:val="0"/>
    <w:rPr>
      <w:rFonts w:ascii="Times New Roman" w:hAnsi="Times New Roman" w:eastAsia="宋体" w:cs="Times New Roman"/>
    </w:rPr>
  </w:style>
  <w:style w:type="character" w:customStyle="1" w:styleId="347">
    <w:name w:val="样式 hb3 + Times New Roman Char"/>
    <w:link w:val="348"/>
    <w:autoRedefine/>
    <w:qFormat/>
    <w:uiPriority w:val="0"/>
    <w:rPr>
      <w:rFonts w:ascii="宋体" w:hAnsi="宋体"/>
      <w:b/>
      <w:bCs/>
      <w:sz w:val="24"/>
      <w:szCs w:val="32"/>
    </w:rPr>
  </w:style>
  <w:style w:type="paragraph" w:customStyle="1" w:styleId="348">
    <w:name w:val="样式 hb3 + Times New Roman"/>
    <w:basedOn w:val="255"/>
    <w:next w:val="17"/>
    <w:link w:val="347"/>
    <w:autoRedefine/>
    <w:qFormat/>
    <w:uiPriority w:val="0"/>
  </w:style>
  <w:style w:type="character" w:customStyle="1" w:styleId="349">
    <w:name w:val="改性沥青正文1 Char"/>
    <w:basedOn w:val="251"/>
    <w:link w:val="350"/>
    <w:autoRedefine/>
    <w:qFormat/>
    <w:uiPriority w:val="0"/>
    <w:rPr>
      <w:rFonts w:ascii="宋体" w:hAnsi="宋体"/>
      <w:color w:val="FF0000"/>
      <w:sz w:val="24"/>
      <w:szCs w:val="24"/>
    </w:rPr>
  </w:style>
  <w:style w:type="paragraph" w:customStyle="1" w:styleId="350">
    <w:name w:val="改性沥青正文1"/>
    <w:basedOn w:val="252"/>
    <w:link w:val="349"/>
    <w:autoRedefine/>
    <w:qFormat/>
    <w:uiPriority w:val="0"/>
  </w:style>
  <w:style w:type="character" w:customStyle="1" w:styleId="351">
    <w:name w:val="页脚 Char"/>
    <w:link w:val="44"/>
    <w:autoRedefine/>
    <w:qFormat/>
    <w:uiPriority w:val="99"/>
    <w:rPr>
      <w:rFonts w:eastAsia="新宋体" w:cstheme="minorBidi"/>
      <w:kern w:val="2"/>
      <w:sz w:val="18"/>
      <w:szCs w:val="24"/>
    </w:rPr>
  </w:style>
  <w:style w:type="character" w:customStyle="1" w:styleId="352">
    <w:name w:val="样式9 Char"/>
    <w:link w:val="353"/>
    <w:autoRedefine/>
    <w:qFormat/>
    <w:uiPriority w:val="0"/>
    <w:rPr>
      <w:sz w:val="24"/>
      <w:szCs w:val="24"/>
    </w:rPr>
  </w:style>
  <w:style w:type="paragraph" w:customStyle="1" w:styleId="353">
    <w:name w:val="样式9"/>
    <w:basedOn w:val="1"/>
    <w:link w:val="352"/>
    <w:autoRedefine/>
    <w:qFormat/>
    <w:uiPriority w:val="0"/>
    <w:pPr>
      <w:snapToGrid w:val="0"/>
      <w:ind w:firstLine="480" w:firstLineChars="200"/>
    </w:pPr>
    <w:rPr>
      <w:rFonts w:cs="Times New Roman"/>
      <w:kern w:val="0"/>
    </w:rPr>
  </w:style>
  <w:style w:type="character" w:customStyle="1" w:styleId="354">
    <w:name w:val="14p"/>
    <w:autoRedefine/>
    <w:qFormat/>
    <w:uiPriority w:val="0"/>
    <w:rPr>
      <w:rFonts w:ascii="Times New Roman" w:hAnsi="Times New Roman" w:eastAsia="宋体" w:cs="Times New Roman"/>
    </w:rPr>
  </w:style>
  <w:style w:type="character" w:customStyle="1" w:styleId="355">
    <w:name w:val="样式 dandan6-13四级以下 + Char"/>
    <w:link w:val="356"/>
    <w:autoRedefine/>
    <w:qFormat/>
    <w:uiPriority w:val="0"/>
    <w:rPr>
      <w:rFonts w:eastAsia="仿宋_GB2312"/>
      <w:b/>
      <w:bCs/>
      <w:sz w:val="24"/>
      <w:szCs w:val="24"/>
    </w:rPr>
  </w:style>
  <w:style w:type="paragraph" w:customStyle="1" w:styleId="356">
    <w:name w:val="样式 dandan6-13四级以下 +"/>
    <w:basedOn w:val="277"/>
    <w:link w:val="355"/>
    <w:autoRedefine/>
    <w:qFormat/>
    <w:uiPriority w:val="0"/>
    <w:rPr>
      <w:bCs/>
    </w:rPr>
  </w:style>
  <w:style w:type="character" w:customStyle="1" w:styleId="357">
    <w:name w:val="样式 小四 首行缩进:  1.01 厘米 行距: 1.5 倍行距 Char"/>
    <w:link w:val="358"/>
    <w:autoRedefine/>
    <w:qFormat/>
    <w:uiPriority w:val="0"/>
    <w:rPr>
      <w:sz w:val="24"/>
    </w:rPr>
  </w:style>
  <w:style w:type="paragraph" w:customStyle="1" w:styleId="358">
    <w:name w:val="样式 小四 首行缩进:  1.01 厘米 行距: 1.5 倍行距"/>
    <w:basedOn w:val="1"/>
    <w:link w:val="357"/>
    <w:autoRedefine/>
    <w:qFormat/>
    <w:uiPriority w:val="0"/>
    <w:pPr>
      <w:adjustRightInd w:val="0"/>
      <w:ind w:firstLine="570"/>
      <w:jc w:val="left"/>
      <w:textAlignment w:val="baseline"/>
    </w:pPr>
    <w:rPr>
      <w:rFonts w:cs="Times New Roman"/>
      <w:kern w:val="0"/>
      <w:szCs w:val="20"/>
    </w:rPr>
  </w:style>
  <w:style w:type="character" w:customStyle="1" w:styleId="359">
    <w:name w:val="style11"/>
    <w:autoRedefine/>
    <w:qFormat/>
    <w:uiPriority w:val="0"/>
    <w:rPr>
      <w:rFonts w:ascii="Times New Roman" w:hAnsi="Times New Roman" w:eastAsia="宋体" w:cs="Times New Roman"/>
    </w:rPr>
  </w:style>
  <w:style w:type="character" w:customStyle="1" w:styleId="360">
    <w:name w:val="表体 Char"/>
    <w:link w:val="361"/>
    <w:autoRedefine/>
    <w:qFormat/>
    <w:uiPriority w:val="0"/>
    <w:rPr>
      <w:rFonts w:ascii="黑体" w:eastAsia="黑体"/>
      <w:color w:val="000080"/>
      <w:kern w:val="24"/>
    </w:rPr>
  </w:style>
  <w:style w:type="paragraph" w:customStyle="1" w:styleId="361">
    <w:name w:val="表体"/>
    <w:basedOn w:val="92"/>
    <w:link w:val="360"/>
    <w:autoRedefine/>
    <w:qFormat/>
    <w:uiPriority w:val="0"/>
    <w:pPr>
      <w:overflowPunct w:val="0"/>
      <w:adjustRightInd w:val="0"/>
      <w:spacing w:line="240" w:lineRule="atLeast"/>
      <w:ind w:left="-57" w:right="-57"/>
      <w:textAlignment w:val="baseline"/>
    </w:pPr>
    <w:rPr>
      <w:rFonts w:ascii="黑体" w:eastAsia="黑体" w:cs="Times New Roman"/>
      <w:b w:val="0"/>
      <w:color w:val="000080"/>
      <w:kern w:val="24"/>
      <w:sz w:val="20"/>
      <w:szCs w:val="20"/>
    </w:rPr>
  </w:style>
  <w:style w:type="character" w:customStyle="1" w:styleId="362">
    <w:name w:val="表头 Char"/>
    <w:link w:val="92"/>
    <w:autoRedefine/>
    <w:qFormat/>
    <w:uiPriority w:val="0"/>
    <w:rPr>
      <w:rFonts w:eastAsia="新宋体" w:cstheme="minorBidi"/>
      <w:b/>
      <w:kern w:val="2"/>
      <w:sz w:val="21"/>
      <w:szCs w:val="24"/>
    </w:rPr>
  </w:style>
  <w:style w:type="character" w:customStyle="1" w:styleId="363">
    <w:name w:val="1标题 Char"/>
    <w:link w:val="364"/>
    <w:autoRedefine/>
    <w:qFormat/>
    <w:uiPriority w:val="0"/>
    <w:rPr>
      <w:rFonts w:ascii="宋体" w:hAnsi="宋体"/>
      <w:b/>
      <w:kern w:val="44"/>
      <w:sz w:val="30"/>
      <w:szCs w:val="30"/>
    </w:rPr>
  </w:style>
  <w:style w:type="paragraph" w:customStyle="1" w:styleId="364">
    <w:name w:val="1标题"/>
    <w:basedOn w:val="3"/>
    <w:link w:val="363"/>
    <w:autoRedefine/>
    <w:qFormat/>
    <w:uiPriority w:val="0"/>
    <w:pPr>
      <w:adjustRightInd w:val="0"/>
      <w:snapToGrid w:val="0"/>
      <w:spacing w:beforeLines="150" w:afterLines="100" w:line="480" w:lineRule="auto"/>
      <w:ind w:firstLine="566" w:firstLineChars="188"/>
      <w:jc w:val="left"/>
      <w:textAlignment w:val="baseline"/>
    </w:pPr>
    <w:rPr>
      <w:rFonts w:cs="Times New Roman"/>
      <w:sz w:val="30"/>
      <w:szCs w:val="30"/>
    </w:rPr>
  </w:style>
  <w:style w:type="character" w:customStyle="1" w:styleId="365">
    <w:name w:val="正文 + (中文) 仿宋_GB2312 Char"/>
    <w:link w:val="366"/>
    <w:autoRedefine/>
    <w:qFormat/>
    <w:uiPriority w:val="0"/>
    <w:rPr>
      <w:rFonts w:eastAsia="仿宋_GB2312"/>
      <w:caps/>
      <w:sz w:val="24"/>
      <w:szCs w:val="24"/>
    </w:rPr>
  </w:style>
  <w:style w:type="paragraph" w:customStyle="1" w:styleId="366">
    <w:name w:val="正文 + (中文) 仿宋_GB2312"/>
    <w:basedOn w:val="1"/>
    <w:link w:val="365"/>
    <w:autoRedefine/>
    <w:qFormat/>
    <w:uiPriority w:val="0"/>
    <w:pPr>
      <w:ind w:firstLine="480" w:firstLineChars="200"/>
    </w:pPr>
    <w:rPr>
      <w:rFonts w:eastAsia="仿宋_GB2312" w:cs="Times New Roman"/>
      <w:caps/>
      <w:kern w:val="0"/>
    </w:rPr>
  </w:style>
  <w:style w:type="character" w:customStyle="1" w:styleId="367">
    <w:name w:val="big1"/>
    <w:autoRedefine/>
    <w:qFormat/>
    <w:uiPriority w:val="0"/>
    <w:rPr>
      <w:rFonts w:ascii="Times New Roman" w:hAnsi="Times New Roman" w:eastAsia="宋体" w:cs="Times New Roman"/>
      <w:sz w:val="28"/>
      <w:szCs w:val="28"/>
    </w:rPr>
  </w:style>
  <w:style w:type="character" w:customStyle="1" w:styleId="368">
    <w:name w:val="000 Char"/>
    <w:link w:val="369"/>
    <w:autoRedefine/>
    <w:qFormat/>
    <w:uiPriority w:val="0"/>
    <w:rPr>
      <w:sz w:val="24"/>
      <w:szCs w:val="24"/>
    </w:rPr>
  </w:style>
  <w:style w:type="paragraph" w:customStyle="1" w:styleId="369">
    <w:name w:val="000"/>
    <w:basedOn w:val="1"/>
    <w:link w:val="368"/>
    <w:autoRedefine/>
    <w:qFormat/>
    <w:uiPriority w:val="0"/>
    <w:pPr>
      <w:ind w:firstLine="480" w:firstLineChars="200"/>
    </w:pPr>
    <w:rPr>
      <w:rFonts w:cs="Times New Roman"/>
      <w:kern w:val="0"/>
    </w:rPr>
  </w:style>
  <w:style w:type="character" w:customStyle="1" w:styleId="370">
    <w:name w:val="正文01 Char"/>
    <w:link w:val="371"/>
    <w:autoRedefine/>
    <w:qFormat/>
    <w:locked/>
    <w:uiPriority w:val="0"/>
    <w:rPr>
      <w:sz w:val="24"/>
      <w:szCs w:val="24"/>
    </w:rPr>
  </w:style>
  <w:style w:type="paragraph" w:customStyle="1" w:styleId="371">
    <w:name w:val="正文01"/>
    <w:basedOn w:val="1"/>
    <w:link w:val="370"/>
    <w:autoRedefine/>
    <w:qFormat/>
    <w:uiPriority w:val="0"/>
    <w:pPr>
      <w:spacing w:before="60" w:line="460" w:lineRule="exact"/>
      <w:ind w:firstLine="200" w:firstLineChars="200"/>
    </w:pPr>
    <w:rPr>
      <w:rFonts w:cs="Times New Roman"/>
      <w:kern w:val="0"/>
    </w:rPr>
  </w:style>
  <w:style w:type="character" w:customStyle="1" w:styleId="372">
    <w:name w:val="样式 正文缩进正文（首行缩进两字） Char标题四 + (西文) 宋体 小四 Char"/>
    <w:link w:val="373"/>
    <w:autoRedefine/>
    <w:qFormat/>
    <w:uiPriority w:val="0"/>
    <w:rPr>
      <w:rFonts w:ascii="宋体" w:hAnsi="宋体" w:eastAsia="仿宋_GB2312"/>
      <w:color w:val="000000"/>
      <w:sz w:val="28"/>
      <w:szCs w:val="28"/>
    </w:rPr>
  </w:style>
  <w:style w:type="paragraph" w:customStyle="1" w:styleId="373">
    <w:name w:val="样式 正文缩进正文（首行缩进两字） Char标题四 + (西文) 宋体 小四"/>
    <w:basedOn w:val="17"/>
    <w:link w:val="372"/>
    <w:autoRedefine/>
    <w:qFormat/>
    <w:uiPriority w:val="0"/>
    <w:pPr>
      <w:snapToGrid w:val="0"/>
      <w:spacing w:line="312" w:lineRule="auto"/>
      <w:ind w:firstLine="560"/>
    </w:pPr>
    <w:rPr>
      <w:rFonts w:eastAsia="仿宋_GB2312"/>
      <w:sz w:val="28"/>
      <w:szCs w:val="28"/>
      <w:lang w:val="en-US"/>
    </w:rPr>
  </w:style>
  <w:style w:type="character" w:customStyle="1" w:styleId="374">
    <w:name w:val="样式 标题 3 + 黑色 Char"/>
    <w:link w:val="375"/>
    <w:autoRedefine/>
    <w:qFormat/>
    <w:uiPriority w:val="0"/>
    <w:rPr>
      <w:b/>
      <w:snapToGrid w:val="0"/>
      <w:color w:val="000000"/>
      <w:kern w:val="2"/>
      <w:sz w:val="28"/>
      <w:szCs w:val="32"/>
    </w:rPr>
  </w:style>
  <w:style w:type="paragraph" w:customStyle="1" w:styleId="375">
    <w:name w:val="样式 标题 3 + 黑色"/>
    <w:basedOn w:val="5"/>
    <w:link w:val="374"/>
    <w:autoRedefine/>
    <w:qFormat/>
    <w:uiPriority w:val="0"/>
    <w:pPr>
      <w:snapToGrid w:val="0"/>
      <w:spacing w:line="300" w:lineRule="auto"/>
      <w:ind w:left="1"/>
    </w:pPr>
    <w:rPr>
      <w:rFonts w:cs="Times New Roman"/>
      <w:snapToGrid w:val="0"/>
      <w:color w:val="000000"/>
      <w:sz w:val="28"/>
      <w:szCs w:val="32"/>
    </w:rPr>
  </w:style>
  <w:style w:type="character" w:customStyle="1" w:styleId="376">
    <w:name w:val="headline-content10"/>
    <w:autoRedefine/>
    <w:qFormat/>
    <w:uiPriority w:val="0"/>
    <w:rPr>
      <w:rFonts w:ascii="Times New Roman" w:hAnsi="Times New Roman" w:eastAsia="宋体" w:cs="Times New Roman"/>
    </w:rPr>
  </w:style>
  <w:style w:type="character" w:customStyle="1" w:styleId="377">
    <w:name w:val="Heading 3 Char"/>
    <w:autoRedefine/>
    <w:qFormat/>
    <w:uiPriority w:val="0"/>
    <w:rPr>
      <w:rFonts w:ascii="Times New Roman" w:hAnsi="Times New Roman" w:eastAsia="宋体" w:cs="Times New Roman"/>
      <w:b/>
      <w:bCs/>
      <w:kern w:val="2"/>
      <w:sz w:val="32"/>
      <w:szCs w:val="32"/>
      <w:lang w:val="en-US" w:eastAsia="zh-CN" w:bidi="ar-SA"/>
    </w:rPr>
  </w:style>
  <w:style w:type="character" w:customStyle="1" w:styleId="378">
    <w:name w:val="f-pipe3"/>
    <w:autoRedefine/>
    <w:qFormat/>
    <w:uiPriority w:val="0"/>
    <w:rPr>
      <w:rFonts w:ascii="Times New Roman" w:hAnsi="Times New Roman" w:eastAsia="宋体" w:cs="Times New Roman"/>
      <w:color w:val="C1C1C1"/>
    </w:rPr>
  </w:style>
  <w:style w:type="character" w:customStyle="1" w:styleId="379">
    <w:name w:val="grid-r realname-time"/>
    <w:autoRedefine/>
    <w:qFormat/>
    <w:uiPriority w:val="0"/>
    <w:rPr>
      <w:rFonts w:ascii="Times New Roman" w:hAnsi="Times New Roman" w:eastAsia="宋体" w:cs="Times New Roman"/>
    </w:rPr>
  </w:style>
  <w:style w:type="character" w:customStyle="1" w:styleId="380">
    <w:name w:val="报告书表格题注 Char"/>
    <w:link w:val="381"/>
    <w:autoRedefine/>
    <w:qFormat/>
    <w:uiPriority w:val="0"/>
    <w:rPr>
      <w:rFonts w:eastAsia="黑体"/>
      <w:sz w:val="24"/>
      <w:szCs w:val="24"/>
    </w:rPr>
  </w:style>
  <w:style w:type="paragraph" w:customStyle="1" w:styleId="381">
    <w:name w:val="报告书表格题注"/>
    <w:basedOn w:val="18"/>
    <w:link w:val="380"/>
    <w:autoRedefine/>
    <w:qFormat/>
    <w:uiPriority w:val="0"/>
    <w:pPr>
      <w:keepNext/>
      <w:spacing w:line="360" w:lineRule="auto"/>
      <w:ind w:firstLine="200" w:firstLineChars="200"/>
    </w:pPr>
    <w:rPr>
      <w:rFonts w:ascii="Times New Roman" w:hAnsi="Times New Roman"/>
      <w:sz w:val="24"/>
      <w:szCs w:val="24"/>
      <w:lang w:val="en-US"/>
    </w:rPr>
  </w:style>
  <w:style w:type="character" w:customStyle="1" w:styleId="382">
    <w:name w:val="样式 标题 21标题2H2h2第一层条1.1标题 2节标题 1.11.1标题2节标题 1.1 Char1.1... Char"/>
    <w:link w:val="383"/>
    <w:autoRedefine/>
    <w:qFormat/>
    <w:uiPriority w:val="0"/>
    <w:rPr>
      <w:rFonts w:ascii="Arial" w:hAnsi="Arial"/>
      <w:b/>
      <w:bCs/>
      <w:kern w:val="2"/>
      <w:sz w:val="30"/>
    </w:rPr>
  </w:style>
  <w:style w:type="paragraph" w:customStyle="1" w:styleId="383">
    <w:name w:val="样式 标题 21标题2H2h2第一层条1.1标题 2节标题 1.11.1标题2节标题 1.1 Char1.1..."/>
    <w:basedOn w:val="4"/>
    <w:link w:val="382"/>
    <w:autoRedefine/>
    <w:qFormat/>
    <w:uiPriority w:val="0"/>
    <w:pPr>
      <w:spacing w:line="415" w:lineRule="auto"/>
      <w:ind w:firstLine="420" w:firstLineChars="200"/>
    </w:pPr>
    <w:rPr>
      <w:rFonts w:eastAsia="宋体" w:cs="Times New Roman"/>
      <w:bCs/>
      <w:sz w:val="30"/>
      <w:szCs w:val="20"/>
    </w:rPr>
  </w:style>
  <w:style w:type="character" w:customStyle="1" w:styleId="384">
    <w:name w:val="样式 标题 3h33rd levelH33Head 3level_3PIM 3Level 3 Head二级节名...2 Char"/>
    <w:link w:val="385"/>
    <w:autoRedefine/>
    <w:qFormat/>
    <w:uiPriority w:val="0"/>
    <w:rPr>
      <w:rFonts w:hAnsi="华文中宋" w:eastAsia="华文中宋"/>
      <w:bCs/>
      <w:sz w:val="24"/>
      <w:szCs w:val="28"/>
    </w:rPr>
  </w:style>
  <w:style w:type="paragraph" w:customStyle="1" w:styleId="385">
    <w:name w:val="样式 标题 3h33rd levelH33Head 3level_3PIM 3Level 3 Head二级节名...2"/>
    <w:basedOn w:val="5"/>
    <w:link w:val="384"/>
    <w:autoRedefine/>
    <w:qFormat/>
    <w:uiPriority w:val="0"/>
    <w:pPr>
      <w:tabs>
        <w:tab w:val="left" w:pos="0"/>
      </w:tabs>
      <w:spacing w:before="120" w:after="120"/>
    </w:pPr>
    <w:rPr>
      <w:rFonts w:hAnsi="华文中宋" w:eastAsia="华文中宋" w:cs="Times New Roman"/>
      <w:b w:val="0"/>
      <w:bCs/>
      <w:kern w:val="0"/>
      <w:sz w:val="24"/>
      <w:szCs w:val="28"/>
    </w:rPr>
  </w:style>
  <w:style w:type="character" w:customStyle="1" w:styleId="386">
    <w:name w:val="表注 Char"/>
    <w:link w:val="387"/>
    <w:autoRedefine/>
    <w:qFormat/>
    <w:uiPriority w:val="0"/>
    <w:rPr>
      <w:rFonts w:ascii="宋体" w:hAnsi="宋体"/>
      <w:sz w:val="18"/>
      <w:szCs w:val="21"/>
    </w:rPr>
  </w:style>
  <w:style w:type="paragraph" w:customStyle="1" w:styleId="387">
    <w:name w:val="表注"/>
    <w:basedOn w:val="1"/>
    <w:next w:val="1"/>
    <w:link w:val="386"/>
    <w:autoRedefine/>
    <w:qFormat/>
    <w:uiPriority w:val="0"/>
    <w:pPr>
      <w:keepLines/>
      <w:spacing w:line="240" w:lineRule="atLeast"/>
    </w:pPr>
    <w:rPr>
      <w:rFonts w:cs="Times New Roman"/>
      <w:kern w:val="0"/>
      <w:szCs w:val="21"/>
    </w:rPr>
  </w:style>
  <w:style w:type="character" w:customStyle="1" w:styleId="388">
    <w:name w:val="正文内容 Char"/>
    <w:autoRedefine/>
    <w:qFormat/>
    <w:uiPriority w:val="0"/>
    <w:rPr>
      <w:rFonts w:ascii="Times New Roman" w:hAnsi="Times New Roman" w:eastAsia="宋体" w:cs="Times New Roman"/>
      <w:kern w:val="2"/>
      <w:sz w:val="28"/>
      <w:lang w:val="en-US" w:eastAsia="zh-CN" w:bidi="ar-SA"/>
    </w:rPr>
  </w:style>
  <w:style w:type="character" w:customStyle="1" w:styleId="389">
    <w:name w:val="正文文本缩进一 Char1"/>
    <w:autoRedefine/>
    <w:qFormat/>
    <w:uiPriority w:val="0"/>
    <w:rPr>
      <w:rFonts w:ascii="Times New Roman" w:hAnsi="Times New Roman" w:eastAsia="宋体" w:cs="Times New Roman"/>
      <w:kern w:val="2"/>
      <w:sz w:val="28"/>
      <w:szCs w:val="24"/>
      <w:lang w:val="en-US" w:eastAsia="zh-CN" w:bidi="ar-SA"/>
    </w:rPr>
  </w:style>
  <w:style w:type="character" w:customStyle="1" w:styleId="390">
    <w:name w:val="正文：段落格式 Char"/>
    <w:link w:val="391"/>
    <w:autoRedefine/>
    <w:qFormat/>
    <w:uiPriority w:val="0"/>
    <w:rPr>
      <w:rFonts w:ascii="宋体" w:hAnsi="宋体"/>
      <w:color w:val="000000"/>
      <w:kern w:val="15"/>
      <w:sz w:val="24"/>
      <w:szCs w:val="24"/>
    </w:rPr>
  </w:style>
  <w:style w:type="paragraph" w:customStyle="1" w:styleId="391">
    <w:name w:val="正文：段落格式"/>
    <w:basedOn w:val="1"/>
    <w:link w:val="390"/>
    <w:autoRedefine/>
    <w:qFormat/>
    <w:uiPriority w:val="0"/>
    <w:pPr>
      <w:ind w:left="6" w:leftChars="3" w:right="-91" w:firstLine="480" w:firstLineChars="200"/>
    </w:pPr>
    <w:rPr>
      <w:rFonts w:cs="Times New Roman"/>
      <w:color w:val="000000"/>
      <w:kern w:val="15"/>
    </w:rPr>
  </w:style>
  <w:style w:type="character" w:customStyle="1" w:styleId="392">
    <w:name w:val="正文(首行缩进)宋旭峰 Char Char"/>
    <w:link w:val="393"/>
    <w:autoRedefine/>
    <w:qFormat/>
    <w:uiPriority w:val="0"/>
    <w:rPr>
      <w:snapToGrid w:val="0"/>
      <w:sz w:val="24"/>
      <w:szCs w:val="24"/>
    </w:rPr>
  </w:style>
  <w:style w:type="paragraph" w:customStyle="1" w:styleId="393">
    <w:name w:val="正文(首行缩进)宋旭峰"/>
    <w:basedOn w:val="17"/>
    <w:link w:val="392"/>
    <w:autoRedefine/>
    <w:qFormat/>
    <w:uiPriority w:val="0"/>
    <w:pPr>
      <w:contextualSpacing/>
    </w:pPr>
    <w:rPr>
      <w:snapToGrid w:val="0"/>
      <w:color w:val="auto"/>
      <w:szCs w:val="24"/>
      <w:lang w:val="en-US"/>
    </w:rPr>
  </w:style>
  <w:style w:type="character" w:customStyle="1" w:styleId="394">
    <w:name w:val="样式7 Char"/>
    <w:link w:val="395"/>
    <w:autoRedefine/>
    <w:qFormat/>
    <w:uiPriority w:val="0"/>
    <w:rPr>
      <w:b/>
      <w:sz w:val="28"/>
      <w:szCs w:val="28"/>
    </w:rPr>
  </w:style>
  <w:style w:type="paragraph" w:customStyle="1" w:styleId="395">
    <w:name w:val="样式7"/>
    <w:basedOn w:val="5"/>
    <w:link w:val="394"/>
    <w:autoRedefine/>
    <w:qFormat/>
    <w:uiPriority w:val="0"/>
    <w:pPr>
      <w:spacing w:before="120" w:after="80" w:line="416" w:lineRule="atLeast"/>
      <w:textAlignment w:val="baseline"/>
    </w:pPr>
    <w:rPr>
      <w:rFonts w:cs="Times New Roman"/>
      <w:kern w:val="0"/>
      <w:sz w:val="28"/>
      <w:szCs w:val="28"/>
    </w:rPr>
  </w:style>
  <w:style w:type="character" w:customStyle="1" w:styleId="396">
    <w:name w:val="样式 标题 2 + 黑体 Char"/>
    <w:autoRedefine/>
    <w:qFormat/>
    <w:uiPriority w:val="0"/>
    <w:rPr>
      <w:rFonts w:hint="eastAsia" w:ascii="黑体" w:hAnsi="黑体" w:eastAsia="黑体" w:cs="Times New Roman"/>
      <w:bCs/>
      <w:color w:val="000000"/>
      <w:kern w:val="2"/>
      <w:sz w:val="30"/>
      <w:szCs w:val="30"/>
      <w:lang w:val="zh-CN" w:eastAsia="zh-CN" w:bidi="ar-SA"/>
    </w:rPr>
  </w:style>
  <w:style w:type="character" w:customStyle="1" w:styleId="397">
    <w:name w:val="text_edit editable-title"/>
    <w:autoRedefine/>
    <w:qFormat/>
    <w:uiPriority w:val="0"/>
    <w:rPr>
      <w:rFonts w:ascii="Times New Roman" w:hAnsi="Times New Roman" w:eastAsia="宋体" w:cs="Times New Roman"/>
    </w:rPr>
  </w:style>
  <w:style w:type="character" w:customStyle="1" w:styleId="398">
    <w:name w:val="样式 首行缩进:  2 字符 Char"/>
    <w:link w:val="399"/>
    <w:autoRedefine/>
    <w:qFormat/>
    <w:uiPriority w:val="0"/>
    <w:rPr>
      <w:rFonts w:eastAsia="仿宋_GB2312"/>
      <w:sz w:val="24"/>
    </w:rPr>
  </w:style>
  <w:style w:type="paragraph" w:customStyle="1" w:styleId="399">
    <w:name w:val="样式 首行缩进:  2 字符"/>
    <w:basedOn w:val="1"/>
    <w:link w:val="398"/>
    <w:autoRedefine/>
    <w:qFormat/>
    <w:uiPriority w:val="0"/>
    <w:pPr>
      <w:spacing w:line="520" w:lineRule="exact"/>
      <w:ind w:firstLine="200" w:firstLineChars="200"/>
    </w:pPr>
    <w:rPr>
      <w:rFonts w:eastAsia="仿宋_GB2312" w:cs="Times New Roman"/>
      <w:kern w:val="0"/>
      <w:szCs w:val="20"/>
    </w:rPr>
  </w:style>
  <w:style w:type="character" w:customStyle="1" w:styleId="400">
    <w:name w:val="日期 Char"/>
    <w:link w:val="40"/>
    <w:autoRedefine/>
    <w:qFormat/>
    <w:uiPriority w:val="0"/>
    <w:rPr>
      <w:szCs w:val="24"/>
    </w:rPr>
  </w:style>
  <w:style w:type="character" w:customStyle="1" w:styleId="401">
    <w:name w:val="日期 Char1"/>
    <w:basedOn w:val="76"/>
    <w:autoRedefine/>
    <w:qFormat/>
    <w:uiPriority w:val="0"/>
    <w:rPr>
      <w:rFonts w:eastAsia="新宋体" w:cstheme="minorBidi"/>
      <w:kern w:val="2"/>
      <w:sz w:val="24"/>
      <w:szCs w:val="24"/>
    </w:rPr>
  </w:style>
  <w:style w:type="character" w:customStyle="1" w:styleId="402">
    <w:name w:val="xl26 Char"/>
    <w:link w:val="403"/>
    <w:autoRedefine/>
    <w:qFormat/>
    <w:uiPriority w:val="0"/>
    <w:rPr>
      <w:rFonts w:ascii="宋体" w:hAnsi="宋体"/>
      <w:sz w:val="21"/>
      <w:szCs w:val="21"/>
    </w:rPr>
  </w:style>
  <w:style w:type="paragraph" w:customStyle="1" w:styleId="403">
    <w:name w:val="xl26"/>
    <w:basedOn w:val="1"/>
    <w:link w:val="402"/>
    <w:autoRedefine/>
    <w:qFormat/>
    <w:uiPriority w:val="0"/>
    <w:pPr>
      <w:widowControl/>
      <w:pBdr>
        <w:bottom w:val="single" w:color="auto" w:sz="4" w:space="0"/>
        <w:right w:val="single" w:color="auto" w:sz="4" w:space="0"/>
      </w:pBdr>
      <w:spacing w:before="100" w:beforeAutospacing="1" w:after="100" w:afterAutospacing="1" w:line="240" w:lineRule="auto"/>
      <w:textAlignment w:val="top"/>
    </w:pPr>
    <w:rPr>
      <w:rFonts w:cs="Times New Roman"/>
      <w:kern w:val="0"/>
      <w:sz w:val="21"/>
      <w:szCs w:val="21"/>
    </w:rPr>
  </w:style>
  <w:style w:type="character" w:customStyle="1" w:styleId="404">
    <w:name w:val="样式 标题 2节H2节标题 1.1二级标题标题 lxb21.1h2第一层条二级标题 Char表标题单位名... Char Char"/>
    <w:link w:val="405"/>
    <w:autoRedefine/>
    <w:qFormat/>
    <w:uiPriority w:val="0"/>
    <w:rPr>
      <w:rFonts w:ascii="黑体" w:hAnsi="宋体" w:eastAsia="黑体"/>
      <w:bCs/>
      <w:color w:val="000000"/>
      <w:kern w:val="2"/>
      <w:sz w:val="28"/>
      <w:szCs w:val="28"/>
    </w:rPr>
  </w:style>
  <w:style w:type="paragraph" w:customStyle="1" w:styleId="405">
    <w:name w:val="样式 标题 2节H2节标题 1.1二级标题标题 lxb21.1h2第一层条二级标题 Char表标题单位名... Char"/>
    <w:basedOn w:val="4"/>
    <w:link w:val="404"/>
    <w:autoRedefine/>
    <w:qFormat/>
    <w:uiPriority w:val="0"/>
    <w:pPr>
      <w:keepNext w:val="0"/>
      <w:keepLines w:val="0"/>
      <w:overflowPunct w:val="0"/>
      <w:autoSpaceDE w:val="0"/>
      <w:autoSpaceDN w:val="0"/>
      <w:adjustRightInd w:val="0"/>
      <w:spacing w:line="360" w:lineRule="auto"/>
      <w:ind w:left="314" w:hanging="314"/>
      <w:textAlignment w:val="baseline"/>
    </w:pPr>
    <w:rPr>
      <w:rFonts w:ascii="黑体" w:hAnsi="宋体" w:cs="Times New Roman"/>
      <w:b w:val="0"/>
      <w:bCs/>
      <w:color w:val="000000"/>
      <w:sz w:val="28"/>
      <w:szCs w:val="28"/>
    </w:rPr>
  </w:style>
  <w:style w:type="character" w:customStyle="1" w:styleId="406">
    <w:name w:val="正文＋黑体 Char"/>
    <w:link w:val="407"/>
    <w:autoRedefine/>
    <w:qFormat/>
    <w:uiPriority w:val="0"/>
    <w:rPr>
      <w:rFonts w:eastAsia="黑体"/>
      <w:kern w:val="2"/>
      <w:sz w:val="24"/>
      <w:szCs w:val="24"/>
    </w:rPr>
  </w:style>
  <w:style w:type="paragraph" w:customStyle="1" w:styleId="407">
    <w:name w:val="正文＋黑体"/>
    <w:basedOn w:val="1"/>
    <w:link w:val="406"/>
    <w:autoRedefine/>
    <w:qFormat/>
    <w:uiPriority w:val="0"/>
    <w:pPr>
      <w:spacing w:beforeLines="50" w:afterLines="50" w:line="240" w:lineRule="auto"/>
      <w:ind w:firstLine="480" w:firstLineChars="200"/>
    </w:pPr>
    <w:rPr>
      <w:rFonts w:eastAsia="黑体" w:cs="Times New Roman"/>
    </w:rPr>
  </w:style>
  <w:style w:type="character" w:customStyle="1" w:styleId="408">
    <w:name w:val="z-窗体顶端 Char"/>
    <w:link w:val="409"/>
    <w:autoRedefine/>
    <w:qFormat/>
    <w:uiPriority w:val="0"/>
    <w:rPr>
      <w:rFonts w:ascii="Arial" w:hAnsi="Arial" w:eastAsia="Arial Unicode MS"/>
      <w:vanish/>
      <w:sz w:val="16"/>
      <w:szCs w:val="16"/>
    </w:rPr>
  </w:style>
  <w:style w:type="paragraph" w:customStyle="1" w:styleId="409">
    <w:name w:val="z-窗体顶端1"/>
    <w:basedOn w:val="1"/>
    <w:next w:val="1"/>
    <w:link w:val="408"/>
    <w:autoRedefine/>
    <w:qFormat/>
    <w:uiPriority w:val="0"/>
    <w:pPr>
      <w:widowControl/>
      <w:pBdr>
        <w:bottom w:val="single" w:color="auto" w:sz="6" w:space="1"/>
      </w:pBdr>
      <w:spacing w:line="240" w:lineRule="auto"/>
    </w:pPr>
    <w:rPr>
      <w:rFonts w:ascii="Arial" w:hAnsi="Arial" w:eastAsia="Arial Unicode MS" w:cs="Times New Roman"/>
      <w:vanish/>
      <w:kern w:val="0"/>
      <w:sz w:val="16"/>
      <w:szCs w:val="16"/>
    </w:rPr>
  </w:style>
  <w:style w:type="character" w:customStyle="1" w:styleId="410">
    <w:name w:val="z-窗体顶端 Char1"/>
    <w:basedOn w:val="76"/>
    <w:autoRedefine/>
    <w:semiHidden/>
    <w:qFormat/>
    <w:uiPriority w:val="99"/>
    <w:rPr>
      <w:rFonts w:ascii="Arial" w:hAnsi="Arial" w:eastAsia="新宋体" w:cs="Arial"/>
      <w:vanish/>
      <w:kern w:val="2"/>
      <w:sz w:val="16"/>
      <w:szCs w:val="16"/>
    </w:rPr>
  </w:style>
  <w:style w:type="character" w:customStyle="1" w:styleId="411">
    <w:name w:val="明显引用 Char"/>
    <w:link w:val="412"/>
    <w:autoRedefine/>
    <w:qFormat/>
    <w:locked/>
    <w:uiPriority w:val="0"/>
    <w:rPr>
      <w:b/>
      <w:i/>
      <w:sz w:val="24"/>
      <w:lang w:eastAsia="en-US" w:bidi="en-US"/>
    </w:rPr>
  </w:style>
  <w:style w:type="paragraph" w:styleId="412">
    <w:name w:val="Intense Quote"/>
    <w:basedOn w:val="1"/>
    <w:next w:val="1"/>
    <w:link w:val="411"/>
    <w:autoRedefine/>
    <w:qFormat/>
    <w:uiPriority w:val="0"/>
    <w:pPr>
      <w:widowControl/>
      <w:spacing w:line="240" w:lineRule="auto"/>
      <w:ind w:left="720" w:right="720"/>
      <w:jc w:val="left"/>
    </w:pPr>
    <w:rPr>
      <w:rFonts w:cs="Times New Roman"/>
      <w:b/>
      <w:i/>
      <w:kern w:val="0"/>
      <w:szCs w:val="20"/>
      <w:lang w:eastAsia="en-US" w:bidi="en-US"/>
    </w:rPr>
  </w:style>
  <w:style w:type="character" w:customStyle="1" w:styleId="413">
    <w:name w:val="明显引用 Char1"/>
    <w:basedOn w:val="76"/>
    <w:autoRedefine/>
    <w:semiHidden/>
    <w:qFormat/>
    <w:uiPriority w:val="99"/>
    <w:rPr>
      <w:rFonts w:eastAsia="新宋体" w:cstheme="minorBidi"/>
      <w:b/>
      <w:bCs/>
      <w:i/>
      <w:iCs/>
      <w:color w:val="5B9BD5" w:themeColor="accent1"/>
      <w:kern w:val="2"/>
      <w:sz w:val="24"/>
      <w:szCs w:val="24"/>
      <w14:textFill>
        <w14:solidFill>
          <w14:schemeClr w14:val="accent1"/>
        </w14:solidFill>
      </w14:textFill>
    </w:rPr>
  </w:style>
  <w:style w:type="character" w:customStyle="1" w:styleId="414">
    <w:name w:val="样式 表头 + 五号 Char"/>
    <w:link w:val="415"/>
    <w:autoRedefine/>
    <w:qFormat/>
    <w:uiPriority w:val="0"/>
    <w:rPr>
      <w:rFonts w:ascii="黑体" w:eastAsia="黑体"/>
      <w:kern w:val="2"/>
      <w:sz w:val="24"/>
      <w:szCs w:val="24"/>
    </w:rPr>
  </w:style>
  <w:style w:type="paragraph" w:customStyle="1" w:styleId="415">
    <w:name w:val="样式 表头 + 五号"/>
    <w:basedOn w:val="52"/>
    <w:link w:val="414"/>
    <w:autoRedefine/>
    <w:qFormat/>
    <w:uiPriority w:val="0"/>
    <w:pPr>
      <w:keepNext/>
      <w:ind w:left="0" w:firstLine="0" w:firstLineChars="0"/>
    </w:pPr>
    <w:rPr>
      <w:rFonts w:ascii="黑体" w:eastAsia="黑体"/>
      <w:sz w:val="24"/>
    </w:rPr>
  </w:style>
  <w:style w:type="character" w:customStyle="1" w:styleId="416">
    <w:name w:val="样式 标题 2节标题 1.11.1标题2SeBSH-2h2l22nd levelTitre22Header ... Char"/>
    <w:link w:val="417"/>
    <w:autoRedefine/>
    <w:qFormat/>
    <w:uiPriority w:val="0"/>
    <w:rPr>
      <w:rFonts w:ascii="宋体" w:hAnsi="宋体" w:eastAsia="黑体"/>
      <w:bCs/>
      <w:kern w:val="2"/>
      <w:sz w:val="24"/>
      <w:szCs w:val="32"/>
    </w:rPr>
  </w:style>
  <w:style w:type="paragraph" w:customStyle="1" w:styleId="417">
    <w:name w:val="样式 标题 2节标题 1.11.1标题2SeBSH-2h2l22nd levelTitre22Header ..."/>
    <w:basedOn w:val="4"/>
    <w:link w:val="416"/>
    <w:autoRedefine/>
    <w:qFormat/>
    <w:uiPriority w:val="0"/>
    <w:pPr>
      <w:spacing w:before="260" w:after="260" w:line="415" w:lineRule="auto"/>
    </w:pPr>
    <w:rPr>
      <w:rFonts w:ascii="宋体" w:hAnsi="宋体" w:cs="Times New Roman"/>
      <w:b w:val="0"/>
      <w:bCs/>
      <w:sz w:val="24"/>
      <w:szCs w:val="32"/>
    </w:rPr>
  </w:style>
  <w:style w:type="character" w:customStyle="1" w:styleId="418">
    <w:name w:val="批注文字 Char1"/>
    <w:autoRedefine/>
    <w:qFormat/>
    <w:uiPriority w:val="0"/>
    <w:rPr>
      <w:kern w:val="2"/>
      <w:sz w:val="21"/>
      <w:szCs w:val="24"/>
    </w:rPr>
  </w:style>
  <w:style w:type="character" w:customStyle="1" w:styleId="419">
    <w:name w:val="666666-图的标识 Char"/>
    <w:link w:val="420"/>
    <w:autoRedefine/>
    <w:qFormat/>
    <w:uiPriority w:val="0"/>
    <w:rPr>
      <w:rFonts w:ascii="黑体" w:hAnsi="宋体" w:eastAsia="黑体"/>
      <w:kern w:val="2"/>
      <w:sz w:val="21"/>
      <w:szCs w:val="21"/>
    </w:rPr>
  </w:style>
  <w:style w:type="paragraph" w:customStyle="1" w:styleId="420">
    <w:name w:val="666666-图的标识"/>
    <w:link w:val="419"/>
    <w:autoRedefine/>
    <w:qFormat/>
    <w:uiPriority w:val="0"/>
    <w:pPr>
      <w:spacing w:beforeLines="50"/>
      <w:jc w:val="center"/>
    </w:pPr>
    <w:rPr>
      <w:rFonts w:ascii="黑体" w:hAnsi="宋体" w:eastAsia="黑体" w:cs="Times New Roman"/>
      <w:kern w:val="2"/>
      <w:sz w:val="21"/>
      <w:szCs w:val="21"/>
      <w:lang w:val="en-US" w:eastAsia="zh-CN" w:bidi="ar-SA"/>
    </w:rPr>
  </w:style>
  <w:style w:type="character" w:customStyle="1" w:styleId="421">
    <w:name w:val="cucd-0 Char1"/>
    <w:link w:val="422"/>
    <w:autoRedefine/>
    <w:semiHidden/>
    <w:qFormat/>
    <w:uiPriority w:val="0"/>
    <w:rPr>
      <w:rFonts w:eastAsia="Times New Roman"/>
      <w:kern w:val="2"/>
      <w:sz w:val="24"/>
      <w:szCs w:val="24"/>
    </w:rPr>
  </w:style>
  <w:style w:type="paragraph" w:customStyle="1" w:styleId="422">
    <w:name w:val="cucd-0"/>
    <w:link w:val="421"/>
    <w:autoRedefine/>
    <w:semiHidden/>
    <w:qFormat/>
    <w:uiPriority w:val="0"/>
    <w:pPr>
      <w:spacing w:line="360" w:lineRule="auto"/>
      <w:ind w:firstLine="480" w:firstLineChars="200"/>
    </w:pPr>
    <w:rPr>
      <w:rFonts w:ascii="Times New Roman" w:hAnsi="Times New Roman" w:eastAsia="Times New Roman" w:cs="Times New Roman"/>
      <w:kern w:val="2"/>
      <w:sz w:val="24"/>
      <w:szCs w:val="24"/>
      <w:lang w:val="en-US" w:eastAsia="zh-CN" w:bidi="ar-SA"/>
    </w:rPr>
  </w:style>
  <w:style w:type="character" w:customStyle="1" w:styleId="423">
    <w:name w:val="font01"/>
    <w:autoRedefine/>
    <w:qFormat/>
    <w:uiPriority w:val="0"/>
    <w:rPr>
      <w:rFonts w:hint="eastAsia" w:ascii="宋体" w:hAnsi="宋体" w:eastAsia="宋体"/>
      <w:color w:val="000000"/>
      <w:sz w:val="24"/>
      <w:szCs w:val="24"/>
      <w:u w:val="none"/>
    </w:rPr>
  </w:style>
  <w:style w:type="character" w:customStyle="1" w:styleId="424">
    <w:name w:val="样式 标题 3标题 3 Char Char标题 3 Char + (西文) Times New Roman (中文) 宋体 Char"/>
    <w:link w:val="425"/>
    <w:autoRedefine/>
    <w:semiHidden/>
    <w:qFormat/>
    <w:uiPriority w:val="0"/>
    <w:rPr>
      <w:b/>
      <w:bCs/>
      <w:sz w:val="32"/>
      <w:szCs w:val="32"/>
    </w:rPr>
  </w:style>
  <w:style w:type="paragraph" w:customStyle="1" w:styleId="425">
    <w:name w:val="样式 标题 3标题 3 Char Char标题 3 Char + (西文) Times New Roman (中文) 宋体"/>
    <w:basedOn w:val="5"/>
    <w:link w:val="424"/>
    <w:autoRedefine/>
    <w:semiHidden/>
    <w:qFormat/>
    <w:uiPriority w:val="0"/>
    <w:pPr>
      <w:tabs>
        <w:tab w:val="left" w:pos="1260"/>
      </w:tabs>
      <w:spacing w:before="260" w:after="260" w:line="416" w:lineRule="auto"/>
      <w:ind w:left="1260" w:hanging="420"/>
    </w:pPr>
    <w:rPr>
      <w:rFonts w:cs="Times New Roman"/>
      <w:bCs/>
      <w:kern w:val="0"/>
      <w:szCs w:val="32"/>
    </w:rPr>
  </w:style>
  <w:style w:type="character" w:customStyle="1" w:styleId="426">
    <w:name w:val="签名 Char"/>
    <w:link w:val="46"/>
    <w:autoRedefine/>
    <w:qFormat/>
    <w:uiPriority w:val="0"/>
    <w:rPr>
      <w:szCs w:val="24"/>
    </w:rPr>
  </w:style>
  <w:style w:type="character" w:customStyle="1" w:styleId="427">
    <w:name w:val="签名 Char1"/>
    <w:basedOn w:val="76"/>
    <w:autoRedefine/>
    <w:qFormat/>
    <w:uiPriority w:val="99"/>
    <w:rPr>
      <w:rFonts w:eastAsia="新宋体" w:cstheme="minorBidi"/>
      <w:kern w:val="2"/>
      <w:sz w:val="24"/>
      <w:szCs w:val="24"/>
    </w:rPr>
  </w:style>
  <w:style w:type="character" w:customStyle="1" w:styleId="428">
    <w:name w:val="4-25正 Char Char Char"/>
    <w:link w:val="429"/>
    <w:autoRedefine/>
    <w:qFormat/>
    <w:uiPriority w:val="0"/>
    <w:rPr>
      <w:b/>
      <w:sz w:val="24"/>
      <w:szCs w:val="24"/>
    </w:rPr>
  </w:style>
  <w:style w:type="paragraph" w:customStyle="1" w:styleId="429">
    <w:name w:val="4-25正 Char Char"/>
    <w:basedOn w:val="1"/>
    <w:link w:val="428"/>
    <w:autoRedefine/>
    <w:qFormat/>
    <w:uiPriority w:val="0"/>
    <w:pPr>
      <w:widowControl/>
      <w:spacing w:before="40" w:after="40"/>
      <w:ind w:firstLine="480" w:firstLineChars="200"/>
    </w:pPr>
    <w:rPr>
      <w:rFonts w:cs="Times New Roman"/>
      <w:b/>
      <w:kern w:val="0"/>
    </w:rPr>
  </w:style>
  <w:style w:type="character" w:customStyle="1" w:styleId="430">
    <w:name w:val="文本正文 Char"/>
    <w:link w:val="431"/>
    <w:autoRedefine/>
    <w:semiHidden/>
    <w:qFormat/>
    <w:uiPriority w:val="0"/>
    <w:rPr>
      <w:snapToGrid w:val="0"/>
      <w:sz w:val="24"/>
      <w:szCs w:val="24"/>
    </w:rPr>
  </w:style>
  <w:style w:type="paragraph" w:customStyle="1" w:styleId="431">
    <w:name w:val="文本正文"/>
    <w:basedOn w:val="1"/>
    <w:link w:val="430"/>
    <w:autoRedefine/>
    <w:semiHidden/>
    <w:qFormat/>
    <w:uiPriority w:val="0"/>
    <w:pPr>
      <w:ind w:firstLine="200" w:firstLineChars="200"/>
      <w:jc w:val="left"/>
    </w:pPr>
    <w:rPr>
      <w:rFonts w:cs="Times New Roman"/>
      <w:snapToGrid w:val="0"/>
      <w:kern w:val="0"/>
    </w:rPr>
  </w:style>
  <w:style w:type="character" w:customStyle="1" w:styleId="432">
    <w:name w:val="Char Char4"/>
    <w:autoRedefine/>
    <w:qFormat/>
    <w:uiPriority w:val="0"/>
    <w:rPr>
      <w:rFonts w:ascii="Times New Roman" w:hAnsi="Times New Roman" w:eastAsia="宋体" w:cs="Times New Roman"/>
      <w:kern w:val="2"/>
      <w:sz w:val="18"/>
      <w:lang w:val="en-US" w:eastAsia="zh-CN" w:bidi="ar-SA"/>
    </w:rPr>
  </w:style>
  <w:style w:type="character" w:customStyle="1" w:styleId="433">
    <w:name w:val="Heading 1 Char"/>
    <w:autoRedefine/>
    <w:qFormat/>
    <w:uiPriority w:val="0"/>
    <w:rPr>
      <w:rFonts w:ascii="宋体" w:hAnsi="Times New Roman" w:eastAsia="宋体" w:cs="Times New Roman"/>
      <w:kern w:val="2"/>
      <w:sz w:val="28"/>
      <w:lang w:val="en-US" w:eastAsia="zh-CN" w:bidi="ar-SA"/>
    </w:rPr>
  </w:style>
  <w:style w:type="character" w:customStyle="1" w:styleId="434">
    <w:name w:val="样式 标题 2 + (西文) 宋体 四号 非加粗 Char Char Char"/>
    <w:link w:val="435"/>
    <w:autoRedefine/>
    <w:qFormat/>
    <w:uiPriority w:val="0"/>
    <w:rPr>
      <w:rFonts w:eastAsia="黑体"/>
      <w:b/>
      <w:sz w:val="28"/>
      <w:szCs w:val="32"/>
    </w:rPr>
  </w:style>
  <w:style w:type="paragraph" w:customStyle="1" w:styleId="435">
    <w:name w:val="样式 标题 2 + (西文) 宋体 四号 非加粗 Char Char"/>
    <w:basedOn w:val="4"/>
    <w:link w:val="434"/>
    <w:autoRedefine/>
    <w:qFormat/>
    <w:uiPriority w:val="0"/>
    <w:pPr>
      <w:spacing w:before="260" w:after="260" w:line="480" w:lineRule="exact"/>
    </w:pPr>
    <w:rPr>
      <w:rFonts w:ascii="Times New Roman" w:hAnsi="Times New Roman" w:cs="Times New Roman"/>
      <w:kern w:val="0"/>
      <w:sz w:val="28"/>
      <w:szCs w:val="32"/>
    </w:rPr>
  </w:style>
  <w:style w:type="character" w:customStyle="1" w:styleId="436">
    <w:name w:val="正文文本最新 Char Char Char Char1 Char Char"/>
    <w:link w:val="437"/>
    <w:autoRedefine/>
    <w:qFormat/>
    <w:uiPriority w:val="0"/>
    <w:rPr>
      <w:bCs/>
      <w:kern w:val="2"/>
      <w:sz w:val="28"/>
      <w:szCs w:val="24"/>
    </w:rPr>
  </w:style>
  <w:style w:type="paragraph" w:customStyle="1" w:styleId="437">
    <w:name w:val="正文文本最新 Char Char Char Char1 Char"/>
    <w:basedOn w:val="1"/>
    <w:link w:val="436"/>
    <w:autoRedefine/>
    <w:qFormat/>
    <w:uiPriority w:val="0"/>
    <w:pPr>
      <w:ind w:firstLine="200" w:firstLineChars="200"/>
    </w:pPr>
    <w:rPr>
      <w:rFonts w:cs="Times New Roman"/>
      <w:bCs/>
      <w:sz w:val="28"/>
    </w:rPr>
  </w:style>
  <w:style w:type="character" w:customStyle="1" w:styleId="438">
    <w:name w:val="样式 样式 标题 21标题2H2h2第一层条1.1标题 2节标题 1.11.1标题2节标题 1.1 Char1.1... + 加... Char"/>
    <w:link w:val="439"/>
    <w:autoRedefine/>
    <w:qFormat/>
    <w:uiPriority w:val="0"/>
    <w:rPr>
      <w:rFonts w:ascii="Arial" w:hAnsi="Arial"/>
      <w:b/>
      <w:bCs/>
      <w:spacing w:val="8"/>
      <w:kern w:val="2"/>
      <w:sz w:val="28"/>
    </w:rPr>
  </w:style>
  <w:style w:type="paragraph" w:customStyle="1" w:styleId="439">
    <w:name w:val="样式 样式 标题 21标题2H2h2第一层条1.1标题 2节标题 1.11.1标题2节标题 1.1 Char1.1... + 加..."/>
    <w:basedOn w:val="383"/>
    <w:link w:val="438"/>
    <w:autoRedefine/>
    <w:qFormat/>
    <w:uiPriority w:val="0"/>
    <w:rPr>
      <w:spacing w:val="8"/>
      <w:sz w:val="28"/>
    </w:rPr>
  </w:style>
  <w:style w:type="character" w:customStyle="1" w:styleId="440">
    <w:name w:val="Char Char6"/>
    <w:autoRedefine/>
    <w:qFormat/>
    <w:uiPriority w:val="0"/>
    <w:rPr>
      <w:rFonts w:ascii="Times New Roman" w:hAnsi="Times New Roman" w:eastAsia="宋体" w:cs="Times New Roman"/>
      <w:kern w:val="2"/>
      <w:sz w:val="18"/>
      <w:lang w:val="en-US" w:eastAsia="zh-CN" w:bidi="ar-SA"/>
    </w:rPr>
  </w:style>
  <w:style w:type="character" w:customStyle="1" w:styleId="441">
    <w:name w:val="样式 标题 2 + 首行缩进:  2 字符 Char"/>
    <w:link w:val="442"/>
    <w:autoRedefine/>
    <w:qFormat/>
    <w:locked/>
    <w:uiPriority w:val="0"/>
    <w:rPr>
      <w:rFonts w:ascii="Arial" w:hAnsi="Arial" w:eastAsia="黑体"/>
      <w:b/>
      <w:bCs/>
      <w:kern w:val="2"/>
      <w:sz w:val="32"/>
    </w:rPr>
  </w:style>
  <w:style w:type="paragraph" w:customStyle="1" w:styleId="442">
    <w:name w:val="样式 标题 2 + 首行缩进:  2 字符"/>
    <w:basedOn w:val="4"/>
    <w:link w:val="441"/>
    <w:autoRedefine/>
    <w:qFormat/>
    <w:uiPriority w:val="0"/>
    <w:pPr>
      <w:spacing w:before="120" w:after="120"/>
    </w:pPr>
    <w:rPr>
      <w:rFonts w:cs="Times New Roman"/>
      <w:bCs/>
      <w:szCs w:val="20"/>
    </w:rPr>
  </w:style>
  <w:style w:type="character" w:customStyle="1" w:styleId="443">
    <w:name w:val="燕山正文 Char"/>
    <w:link w:val="444"/>
    <w:autoRedefine/>
    <w:qFormat/>
    <w:uiPriority w:val="0"/>
    <w:rPr>
      <w:rFonts w:ascii="宋体" w:hAnsi="宋体"/>
      <w:color w:val="000000"/>
      <w:kern w:val="2"/>
      <w:sz w:val="24"/>
      <w:szCs w:val="28"/>
    </w:rPr>
  </w:style>
  <w:style w:type="paragraph" w:customStyle="1" w:styleId="444">
    <w:name w:val="燕山正文"/>
    <w:basedOn w:val="1"/>
    <w:link w:val="443"/>
    <w:autoRedefine/>
    <w:qFormat/>
    <w:uiPriority w:val="0"/>
    <w:pPr>
      <w:tabs>
        <w:tab w:val="left" w:pos="4680"/>
      </w:tabs>
      <w:adjustRightInd w:val="0"/>
      <w:snapToGrid w:val="0"/>
      <w:spacing w:beforeLines="50"/>
      <w:ind w:firstLine="480" w:firstLineChars="200"/>
    </w:pPr>
    <w:rPr>
      <w:rFonts w:cs="Times New Roman"/>
      <w:color w:val="000000"/>
      <w:szCs w:val="28"/>
    </w:rPr>
  </w:style>
  <w:style w:type="character" w:customStyle="1" w:styleId="445">
    <w:name w:val="正正文 Char"/>
    <w:link w:val="446"/>
    <w:autoRedefine/>
    <w:qFormat/>
    <w:uiPriority w:val="0"/>
    <w:rPr>
      <w:rFonts w:ascii="宋体" w:hAnsi="宋体"/>
      <w:snapToGrid w:val="0"/>
      <w:sz w:val="24"/>
      <w:szCs w:val="24"/>
    </w:rPr>
  </w:style>
  <w:style w:type="paragraph" w:customStyle="1" w:styleId="446">
    <w:name w:val="正正文"/>
    <w:basedOn w:val="1"/>
    <w:link w:val="445"/>
    <w:autoRedefine/>
    <w:qFormat/>
    <w:uiPriority w:val="0"/>
    <w:pPr>
      <w:spacing w:before="240" w:after="120"/>
      <w:ind w:firstLine="480" w:firstLineChars="200"/>
    </w:pPr>
    <w:rPr>
      <w:rFonts w:cs="Times New Roman"/>
      <w:snapToGrid w:val="0"/>
      <w:kern w:val="0"/>
    </w:rPr>
  </w:style>
  <w:style w:type="character" w:customStyle="1" w:styleId="447">
    <w:name w:val="左2 Char"/>
    <w:link w:val="448"/>
    <w:autoRedefine/>
    <w:qFormat/>
    <w:locked/>
    <w:uiPriority w:val="0"/>
    <w:rPr>
      <w:rFonts w:ascii="宋体" w:hAnsi="宋体"/>
      <w:sz w:val="28"/>
      <w:szCs w:val="28"/>
    </w:rPr>
  </w:style>
  <w:style w:type="paragraph" w:customStyle="1" w:styleId="448">
    <w:name w:val="左2"/>
    <w:basedOn w:val="1"/>
    <w:next w:val="1"/>
    <w:link w:val="447"/>
    <w:autoRedefine/>
    <w:qFormat/>
    <w:uiPriority w:val="0"/>
    <w:pPr>
      <w:spacing w:line="500" w:lineRule="exact"/>
      <w:ind w:firstLine="560" w:firstLineChars="200"/>
    </w:pPr>
    <w:rPr>
      <w:rFonts w:cs="Times New Roman"/>
      <w:kern w:val="0"/>
      <w:sz w:val="28"/>
      <w:szCs w:val="28"/>
    </w:rPr>
  </w:style>
  <w:style w:type="character" w:customStyle="1" w:styleId="449">
    <w:name w:val="lineheigh201"/>
    <w:autoRedefine/>
    <w:qFormat/>
    <w:uiPriority w:val="0"/>
  </w:style>
  <w:style w:type="character" w:customStyle="1" w:styleId="450">
    <w:name w:val="正文文本缩进一 Char"/>
    <w:autoRedefine/>
    <w:qFormat/>
    <w:uiPriority w:val="0"/>
    <w:rPr>
      <w:rFonts w:ascii="Times New Roman" w:hAnsi="Times New Roman" w:eastAsia="宋体" w:cs="Times New Roman"/>
      <w:kern w:val="2"/>
      <w:sz w:val="28"/>
      <w:szCs w:val="24"/>
      <w:lang w:val="en-US" w:eastAsia="zh-CN" w:bidi="ar-SA"/>
    </w:rPr>
  </w:style>
  <w:style w:type="character" w:customStyle="1" w:styleId="451">
    <w:name w:val="正文001 Char"/>
    <w:link w:val="452"/>
    <w:autoRedefine/>
    <w:qFormat/>
    <w:uiPriority w:val="0"/>
    <w:rPr>
      <w:rFonts w:ascii="Arial" w:hAnsi="Arial"/>
      <w:sz w:val="24"/>
    </w:rPr>
  </w:style>
  <w:style w:type="paragraph" w:customStyle="1" w:styleId="452">
    <w:name w:val="正文001"/>
    <w:basedOn w:val="1"/>
    <w:link w:val="451"/>
    <w:autoRedefine/>
    <w:qFormat/>
    <w:uiPriority w:val="0"/>
    <w:pPr>
      <w:spacing w:before="60"/>
      <w:ind w:firstLine="200" w:firstLineChars="200"/>
    </w:pPr>
    <w:rPr>
      <w:rFonts w:ascii="Arial" w:hAnsi="Arial" w:cs="Times New Roman"/>
      <w:kern w:val="0"/>
      <w:szCs w:val="20"/>
    </w:rPr>
  </w:style>
  <w:style w:type="character" w:customStyle="1" w:styleId="453">
    <w:name w:val="正文文本缩进A Char"/>
    <w:autoRedefine/>
    <w:qFormat/>
    <w:uiPriority w:val="0"/>
    <w:rPr>
      <w:rFonts w:ascii="黑体" w:hAnsi="Times New Roman" w:eastAsia="黑体" w:cs="Times New Roman"/>
      <w:b/>
      <w:kern w:val="2"/>
      <w:sz w:val="24"/>
      <w:szCs w:val="24"/>
      <w:lang w:val="en-US" w:eastAsia="zh-CN" w:bidi="ar-SA"/>
    </w:rPr>
  </w:style>
  <w:style w:type="character" w:customStyle="1" w:styleId="454">
    <w:name w:val="bk-editable-lemma-btns bk3-title-wrap"/>
    <w:autoRedefine/>
    <w:qFormat/>
    <w:uiPriority w:val="0"/>
    <w:rPr>
      <w:rFonts w:ascii="Times New Roman" w:hAnsi="Times New Roman" w:eastAsia="宋体" w:cs="Times New Roman"/>
    </w:rPr>
  </w:style>
  <w:style w:type="paragraph" w:customStyle="1" w:styleId="455">
    <w:name w:val="缩进"/>
    <w:basedOn w:val="1"/>
    <w:autoRedefine/>
    <w:qFormat/>
    <w:uiPriority w:val="0"/>
    <w:pPr>
      <w:spacing w:line="420" w:lineRule="auto"/>
      <w:ind w:firstLine="200" w:firstLineChars="200"/>
    </w:pPr>
    <w:rPr>
      <w:rFonts w:cs="Times New Roman"/>
      <w:kern w:val="0"/>
    </w:rPr>
  </w:style>
  <w:style w:type="character" w:customStyle="1" w:styleId="456">
    <w:name w:val="sg_txtb6"/>
    <w:autoRedefine/>
    <w:qFormat/>
    <w:uiPriority w:val="0"/>
    <w:rPr>
      <w:rFonts w:hint="eastAsia" w:ascii="宋体" w:hAnsi="宋体" w:eastAsia="宋体" w:cs="Times New Roman"/>
      <w:color w:val="637160"/>
    </w:rPr>
  </w:style>
  <w:style w:type="character" w:customStyle="1" w:styleId="457">
    <w:name w:val="正文内容 Char Char"/>
    <w:link w:val="458"/>
    <w:autoRedefine/>
    <w:qFormat/>
    <w:uiPriority w:val="0"/>
    <w:rPr>
      <w:sz w:val="24"/>
      <w:szCs w:val="24"/>
    </w:rPr>
  </w:style>
  <w:style w:type="paragraph" w:customStyle="1" w:styleId="458">
    <w:name w:val="正文内容"/>
    <w:basedOn w:val="1"/>
    <w:next w:val="1"/>
    <w:link w:val="457"/>
    <w:autoRedefine/>
    <w:qFormat/>
    <w:uiPriority w:val="0"/>
    <w:pPr>
      <w:snapToGrid w:val="0"/>
      <w:spacing w:beforeLines="25" w:afterLines="25" w:line="440" w:lineRule="exact"/>
      <w:ind w:firstLine="200" w:firstLineChars="200"/>
    </w:pPr>
    <w:rPr>
      <w:rFonts w:cs="Times New Roman"/>
      <w:kern w:val="0"/>
    </w:rPr>
  </w:style>
  <w:style w:type="character" w:customStyle="1" w:styleId="459">
    <w:name w:val="正文YHY Char"/>
    <w:link w:val="460"/>
    <w:autoRedefine/>
    <w:qFormat/>
    <w:uiPriority w:val="0"/>
    <w:rPr>
      <w:sz w:val="24"/>
      <w:szCs w:val="24"/>
    </w:rPr>
  </w:style>
  <w:style w:type="paragraph" w:customStyle="1" w:styleId="460">
    <w:name w:val="正文YHY"/>
    <w:basedOn w:val="1"/>
    <w:link w:val="459"/>
    <w:autoRedefine/>
    <w:qFormat/>
    <w:uiPriority w:val="0"/>
    <w:pPr>
      <w:spacing w:beforeLines="50" w:afterLines="50"/>
      <w:ind w:firstLine="200" w:firstLineChars="200"/>
    </w:pPr>
    <w:rPr>
      <w:rFonts w:cs="Times New Roman"/>
      <w:kern w:val="0"/>
    </w:rPr>
  </w:style>
  <w:style w:type="character" w:customStyle="1" w:styleId="461">
    <w:name w:val="unnamed1"/>
    <w:autoRedefine/>
    <w:qFormat/>
    <w:uiPriority w:val="0"/>
    <w:rPr>
      <w:rFonts w:ascii="Times New Roman" w:hAnsi="Times New Roman" w:eastAsia="宋体" w:cs="Times New Roman"/>
    </w:rPr>
  </w:style>
  <w:style w:type="character" w:customStyle="1" w:styleId="462">
    <w:name w:val="样式6 正文 Char1"/>
    <w:link w:val="463"/>
    <w:autoRedefine/>
    <w:qFormat/>
    <w:uiPriority w:val="0"/>
    <w:rPr>
      <w:rFonts w:ascii="宋体" w:hAnsi="宋体" w:eastAsia="Times New Roman"/>
      <w:color w:val="FF0000"/>
      <w:kern w:val="2"/>
      <w:sz w:val="24"/>
      <w:szCs w:val="24"/>
    </w:rPr>
  </w:style>
  <w:style w:type="paragraph" w:customStyle="1" w:styleId="463">
    <w:name w:val="样式6 正文"/>
    <w:link w:val="462"/>
    <w:autoRedefine/>
    <w:qFormat/>
    <w:uiPriority w:val="0"/>
    <w:pPr>
      <w:widowControl w:val="0"/>
      <w:tabs>
        <w:tab w:val="left" w:pos="420"/>
      </w:tabs>
      <w:spacing w:line="360" w:lineRule="auto"/>
      <w:ind w:firstLine="482"/>
      <w:jc w:val="both"/>
    </w:pPr>
    <w:rPr>
      <w:rFonts w:ascii="宋体" w:hAnsi="宋体" w:eastAsia="Times New Roman" w:cs="Times New Roman"/>
      <w:color w:val="FF0000"/>
      <w:kern w:val="2"/>
      <w:sz w:val="24"/>
      <w:szCs w:val="24"/>
      <w:lang w:val="en-US" w:eastAsia="zh-CN" w:bidi="ar-SA"/>
    </w:rPr>
  </w:style>
  <w:style w:type="character" w:customStyle="1" w:styleId="464">
    <w:name w:val="randcode"/>
    <w:autoRedefine/>
    <w:qFormat/>
    <w:uiPriority w:val="0"/>
    <w:rPr>
      <w:rFonts w:ascii="Times New Roman" w:hAnsi="Times New Roman" w:eastAsia="宋体" w:cs="Times New Roman"/>
    </w:rPr>
  </w:style>
  <w:style w:type="character" w:customStyle="1" w:styleId="465">
    <w:name w:val="dan7-1表头7 Char"/>
    <w:link w:val="466"/>
    <w:autoRedefine/>
    <w:qFormat/>
    <w:uiPriority w:val="0"/>
    <w:rPr>
      <w:rFonts w:eastAsia="黑体"/>
      <w:kern w:val="2"/>
      <w:sz w:val="24"/>
      <w:szCs w:val="24"/>
    </w:rPr>
  </w:style>
  <w:style w:type="paragraph" w:customStyle="1" w:styleId="466">
    <w:name w:val="dan7-1表头7"/>
    <w:basedOn w:val="1"/>
    <w:link w:val="465"/>
    <w:autoRedefine/>
    <w:qFormat/>
    <w:uiPriority w:val="0"/>
    <w:pPr>
      <w:tabs>
        <w:tab w:val="center" w:pos="0"/>
        <w:tab w:val="left" w:pos="720"/>
      </w:tabs>
      <w:spacing w:before="40" w:after="40"/>
      <w:ind w:left="720" w:hanging="720"/>
    </w:pPr>
    <w:rPr>
      <w:rFonts w:eastAsia="黑体" w:cs="Times New Roman"/>
    </w:rPr>
  </w:style>
  <w:style w:type="character" w:customStyle="1" w:styleId="467">
    <w:name w:val="browse-times2"/>
    <w:autoRedefine/>
    <w:qFormat/>
    <w:uiPriority w:val="0"/>
    <w:rPr>
      <w:rFonts w:ascii="Times New Roman" w:hAnsi="Times New Roman" w:eastAsia="宋体" w:cs="Times New Roman"/>
    </w:rPr>
  </w:style>
  <w:style w:type="character" w:customStyle="1" w:styleId="468">
    <w:name w:val="正文(首行缩进) Char"/>
    <w:autoRedefine/>
    <w:qFormat/>
    <w:uiPriority w:val="0"/>
    <w:rPr>
      <w:rFonts w:eastAsia="宋体"/>
      <w:snapToGrid w:val="0"/>
      <w:color w:val="000000"/>
      <w:sz w:val="24"/>
      <w:szCs w:val="24"/>
      <w:lang w:bidi="ar-SA"/>
    </w:rPr>
  </w:style>
  <w:style w:type="character" w:customStyle="1" w:styleId="469">
    <w:name w:val="表、图名 Char"/>
    <w:link w:val="470"/>
    <w:autoRedefine/>
    <w:qFormat/>
    <w:uiPriority w:val="0"/>
    <w:rPr>
      <w:rFonts w:ascii="黑体" w:hAnsi="宋体" w:eastAsia="黑体"/>
      <w:b/>
      <w:sz w:val="24"/>
      <w:szCs w:val="24"/>
    </w:rPr>
  </w:style>
  <w:style w:type="paragraph" w:customStyle="1" w:styleId="470">
    <w:name w:val="表、图名"/>
    <w:basedOn w:val="1"/>
    <w:link w:val="469"/>
    <w:autoRedefine/>
    <w:qFormat/>
    <w:uiPriority w:val="0"/>
    <w:pPr>
      <w:tabs>
        <w:tab w:val="left" w:pos="3600"/>
      </w:tabs>
      <w:adjustRightInd w:val="0"/>
      <w:snapToGrid w:val="0"/>
      <w:spacing w:line="240" w:lineRule="auto"/>
    </w:pPr>
    <w:rPr>
      <w:rFonts w:ascii="黑体" w:eastAsia="黑体" w:cs="Times New Roman"/>
      <w:b/>
      <w:kern w:val="0"/>
    </w:rPr>
  </w:style>
  <w:style w:type="character" w:customStyle="1" w:styleId="471">
    <w:name w:val="dan7-1 Char Char Char"/>
    <w:link w:val="472"/>
    <w:autoRedefine/>
    <w:qFormat/>
    <w:uiPriority w:val="0"/>
    <w:rPr>
      <w:b/>
      <w:sz w:val="24"/>
      <w:szCs w:val="24"/>
    </w:rPr>
  </w:style>
  <w:style w:type="paragraph" w:customStyle="1" w:styleId="472">
    <w:name w:val="dan7-1 Char Char"/>
    <w:basedOn w:val="1"/>
    <w:link w:val="471"/>
    <w:autoRedefine/>
    <w:qFormat/>
    <w:uiPriority w:val="0"/>
    <w:pPr>
      <w:spacing w:before="40" w:after="40"/>
      <w:ind w:firstLine="200" w:firstLineChars="200"/>
    </w:pPr>
    <w:rPr>
      <w:rFonts w:cs="Times New Roman"/>
      <w:b/>
      <w:kern w:val="0"/>
    </w:rPr>
  </w:style>
  <w:style w:type="character" w:customStyle="1" w:styleId="473">
    <w:name w:val="样式 标题 3标题 3 Char Char标题 3 CharReHead 3 WSAh3标题 32标题 311R... Char"/>
    <w:link w:val="474"/>
    <w:autoRedefine/>
    <w:qFormat/>
    <w:uiPriority w:val="0"/>
    <w:rPr>
      <w:rFonts w:eastAsia="黑体"/>
      <w:bCs/>
      <w:sz w:val="24"/>
      <w:szCs w:val="32"/>
    </w:rPr>
  </w:style>
  <w:style w:type="paragraph" w:customStyle="1" w:styleId="474">
    <w:name w:val="样式 标题 3标题 3 Char Char标题 3 CharReHead 3 WSAh3标题 32标题 311R..."/>
    <w:basedOn w:val="5"/>
    <w:link w:val="473"/>
    <w:autoRedefine/>
    <w:qFormat/>
    <w:uiPriority w:val="0"/>
    <w:pPr>
      <w:tabs>
        <w:tab w:val="left" w:pos="567"/>
      </w:tabs>
      <w:spacing w:line="360" w:lineRule="auto"/>
    </w:pPr>
    <w:rPr>
      <w:rFonts w:eastAsia="黑体" w:cs="Times New Roman"/>
      <w:b w:val="0"/>
      <w:bCs/>
      <w:kern w:val="0"/>
      <w:sz w:val="24"/>
      <w:szCs w:val="32"/>
    </w:rPr>
  </w:style>
  <w:style w:type="character" w:customStyle="1" w:styleId="475">
    <w:name w:val="注释标题 Char"/>
    <w:link w:val="15"/>
    <w:autoRedefine/>
    <w:qFormat/>
    <w:uiPriority w:val="0"/>
  </w:style>
  <w:style w:type="character" w:customStyle="1" w:styleId="476">
    <w:name w:val="注释标题 Char1"/>
    <w:basedOn w:val="76"/>
    <w:autoRedefine/>
    <w:qFormat/>
    <w:uiPriority w:val="0"/>
    <w:rPr>
      <w:rFonts w:eastAsia="新宋体" w:cstheme="minorBidi"/>
      <w:kern w:val="2"/>
      <w:sz w:val="24"/>
      <w:szCs w:val="24"/>
    </w:rPr>
  </w:style>
  <w:style w:type="character" w:customStyle="1" w:styleId="477">
    <w:name w:val="样式 标题 2 + 宋体 小二 首行缩进:  2 字符 Char"/>
    <w:link w:val="478"/>
    <w:autoRedefine/>
    <w:qFormat/>
    <w:locked/>
    <w:uiPriority w:val="0"/>
    <w:rPr>
      <w:rFonts w:ascii="宋体" w:hAnsi="宋体"/>
      <w:b/>
      <w:bCs/>
      <w:sz w:val="32"/>
    </w:rPr>
  </w:style>
  <w:style w:type="paragraph" w:customStyle="1" w:styleId="478">
    <w:name w:val="样式 标题 2 + 宋体 小二 首行缩进:  2 字符"/>
    <w:basedOn w:val="4"/>
    <w:link w:val="477"/>
    <w:autoRedefine/>
    <w:qFormat/>
    <w:uiPriority w:val="0"/>
    <w:pPr>
      <w:spacing w:beforeLines="50" w:afterLines="50"/>
    </w:pPr>
    <w:rPr>
      <w:rFonts w:ascii="宋体" w:hAnsi="宋体" w:eastAsia="宋体" w:cs="Times New Roman"/>
      <w:bCs/>
      <w:kern w:val="0"/>
      <w:szCs w:val="20"/>
    </w:rPr>
  </w:style>
  <w:style w:type="character" w:customStyle="1" w:styleId="479">
    <w:name w:val="报告表格 Char"/>
    <w:link w:val="480"/>
    <w:autoRedefine/>
    <w:qFormat/>
    <w:uiPriority w:val="0"/>
    <w:rPr>
      <w:sz w:val="21"/>
    </w:rPr>
  </w:style>
  <w:style w:type="paragraph" w:customStyle="1" w:styleId="480">
    <w:name w:val="报告表格"/>
    <w:basedOn w:val="1"/>
    <w:link w:val="479"/>
    <w:autoRedefine/>
    <w:qFormat/>
    <w:uiPriority w:val="0"/>
    <w:pPr>
      <w:autoSpaceDE w:val="0"/>
      <w:autoSpaceDN w:val="0"/>
      <w:adjustRightInd w:val="0"/>
      <w:spacing w:before="40" w:after="40" w:line="240" w:lineRule="auto"/>
      <w:textAlignment w:val="baseline"/>
    </w:pPr>
    <w:rPr>
      <w:rFonts w:cs="Times New Roman"/>
      <w:kern w:val="0"/>
      <w:sz w:val="21"/>
      <w:szCs w:val="20"/>
    </w:rPr>
  </w:style>
  <w:style w:type="character" w:customStyle="1" w:styleId="481">
    <w:name w:val="表4.10 Char Char"/>
    <w:link w:val="482"/>
    <w:autoRedefine/>
    <w:qFormat/>
    <w:uiPriority w:val="0"/>
    <w:rPr>
      <w:rFonts w:ascii="黑体" w:eastAsia="黑体"/>
      <w:b/>
      <w:bCs/>
      <w:color w:val="000000"/>
      <w:spacing w:val="6"/>
      <w:sz w:val="24"/>
      <w:szCs w:val="24"/>
    </w:rPr>
  </w:style>
  <w:style w:type="paragraph" w:customStyle="1" w:styleId="482">
    <w:name w:val="表4.10"/>
    <w:basedOn w:val="1"/>
    <w:link w:val="481"/>
    <w:autoRedefine/>
    <w:qFormat/>
    <w:uiPriority w:val="0"/>
    <w:pPr>
      <w:tabs>
        <w:tab w:val="left" w:pos="1080"/>
        <w:tab w:val="center" w:pos="4060"/>
        <w:tab w:val="right" w:pos="8261"/>
      </w:tabs>
      <w:suppressAutoHyphens/>
      <w:adjustRightInd w:val="0"/>
      <w:spacing w:beforeLines="100" w:line="0" w:lineRule="atLeast"/>
      <w:ind w:left="420" w:hanging="420"/>
    </w:pPr>
    <w:rPr>
      <w:rFonts w:ascii="黑体" w:eastAsia="黑体" w:cs="Times New Roman"/>
      <w:b/>
      <w:bCs/>
      <w:color w:val="000000"/>
      <w:spacing w:val="6"/>
      <w:kern w:val="0"/>
    </w:rPr>
  </w:style>
  <w:style w:type="character" w:customStyle="1" w:styleId="483">
    <w:name w:val="亚行正文 Char"/>
    <w:link w:val="484"/>
    <w:autoRedefine/>
    <w:qFormat/>
    <w:uiPriority w:val="0"/>
    <w:rPr>
      <w:color w:val="000000"/>
      <w:sz w:val="24"/>
      <w:szCs w:val="24"/>
    </w:rPr>
  </w:style>
  <w:style w:type="paragraph" w:customStyle="1" w:styleId="484">
    <w:name w:val="亚行正文"/>
    <w:basedOn w:val="1"/>
    <w:link w:val="483"/>
    <w:autoRedefine/>
    <w:qFormat/>
    <w:uiPriority w:val="0"/>
    <w:pPr>
      <w:wordWrap w:val="0"/>
      <w:spacing w:line="520" w:lineRule="exact"/>
      <w:ind w:firstLine="480" w:firstLineChars="200"/>
    </w:pPr>
    <w:rPr>
      <w:rFonts w:cs="Times New Roman"/>
      <w:color w:val="000000"/>
      <w:kern w:val="0"/>
    </w:rPr>
  </w:style>
  <w:style w:type="character" w:customStyle="1" w:styleId="485">
    <w:name w:val="666666-表头儿 Char"/>
    <w:link w:val="486"/>
    <w:autoRedefine/>
    <w:qFormat/>
    <w:uiPriority w:val="0"/>
    <w:rPr>
      <w:rFonts w:eastAsia="黑体"/>
      <w:kern w:val="2"/>
      <w:sz w:val="21"/>
    </w:rPr>
  </w:style>
  <w:style w:type="paragraph" w:customStyle="1" w:styleId="486">
    <w:name w:val="666666-表头儿"/>
    <w:basedOn w:val="1"/>
    <w:link w:val="485"/>
    <w:autoRedefine/>
    <w:qFormat/>
    <w:uiPriority w:val="0"/>
    <w:pPr>
      <w:spacing w:line="440" w:lineRule="exact"/>
    </w:pPr>
    <w:rPr>
      <w:rFonts w:eastAsia="黑体" w:cs="Times New Roman"/>
      <w:sz w:val="21"/>
      <w:szCs w:val="20"/>
    </w:rPr>
  </w:style>
  <w:style w:type="character" w:customStyle="1" w:styleId="487">
    <w:name w:val="正文首行缩进-修改 Char"/>
    <w:link w:val="488"/>
    <w:autoRedefine/>
    <w:qFormat/>
    <w:uiPriority w:val="0"/>
    <w:rPr>
      <w:kern w:val="2"/>
      <w:sz w:val="24"/>
      <w:szCs w:val="24"/>
    </w:rPr>
  </w:style>
  <w:style w:type="paragraph" w:customStyle="1" w:styleId="488">
    <w:name w:val="正文首行缩进-修改"/>
    <w:basedOn w:val="1"/>
    <w:link w:val="487"/>
    <w:autoRedefine/>
    <w:qFormat/>
    <w:uiPriority w:val="0"/>
    <w:pPr>
      <w:ind w:firstLine="480" w:firstLineChars="200"/>
    </w:pPr>
    <w:rPr>
      <w:rFonts w:cs="Times New Roman"/>
    </w:rPr>
  </w:style>
  <w:style w:type="character" w:customStyle="1" w:styleId="489">
    <w:name w:val="表头规定 Char Char"/>
    <w:link w:val="490"/>
    <w:autoRedefine/>
    <w:qFormat/>
    <w:uiPriority w:val="0"/>
    <w:rPr>
      <w:rFonts w:ascii="宋体" w:hAnsi="宋体" w:eastAsia="黑体"/>
      <w:bCs/>
      <w:kern w:val="2"/>
      <w:sz w:val="24"/>
      <w:szCs w:val="32"/>
    </w:rPr>
  </w:style>
  <w:style w:type="paragraph" w:customStyle="1" w:styleId="490">
    <w:name w:val="表头规定"/>
    <w:basedOn w:val="1"/>
    <w:link w:val="489"/>
    <w:autoRedefine/>
    <w:qFormat/>
    <w:uiPriority w:val="0"/>
    <w:pPr>
      <w:keepNext/>
      <w:keepLines/>
      <w:tabs>
        <w:tab w:val="left" w:pos="360"/>
      </w:tabs>
    </w:pPr>
    <w:rPr>
      <w:rFonts w:eastAsia="黑体" w:cs="Times New Roman"/>
      <w:bCs/>
      <w:szCs w:val="32"/>
    </w:rPr>
  </w:style>
  <w:style w:type="character" w:customStyle="1" w:styleId="491">
    <w:name w:val="标准正文格式 Char"/>
    <w:link w:val="492"/>
    <w:autoRedefine/>
    <w:qFormat/>
    <w:uiPriority w:val="0"/>
    <w:rPr>
      <w:rFonts w:ascii="宋体" w:hAnsi="宋体"/>
      <w:snapToGrid w:val="0"/>
      <w:kern w:val="2"/>
      <w:sz w:val="24"/>
      <w:szCs w:val="24"/>
    </w:rPr>
  </w:style>
  <w:style w:type="paragraph" w:customStyle="1" w:styleId="492">
    <w:name w:val="标准正文格式"/>
    <w:basedOn w:val="296"/>
    <w:link w:val="491"/>
    <w:autoRedefine/>
    <w:qFormat/>
    <w:uiPriority w:val="0"/>
    <w:pPr>
      <w:adjustRightInd w:val="0"/>
      <w:snapToGrid w:val="0"/>
      <w:ind w:firstLine="490" w:firstLineChars="204"/>
    </w:pPr>
    <w:rPr>
      <w:snapToGrid w:val="0"/>
      <w:kern w:val="2"/>
    </w:rPr>
  </w:style>
  <w:style w:type="character" w:customStyle="1" w:styleId="493">
    <w:name w:val="表格正文 Char"/>
    <w:link w:val="494"/>
    <w:autoRedefine/>
    <w:qFormat/>
    <w:uiPriority w:val="0"/>
    <w:rPr>
      <w:kern w:val="2"/>
      <w:sz w:val="21"/>
    </w:rPr>
  </w:style>
  <w:style w:type="paragraph" w:customStyle="1" w:styleId="494">
    <w:name w:val="表格正文"/>
    <w:basedOn w:val="1"/>
    <w:link w:val="493"/>
    <w:autoRedefine/>
    <w:qFormat/>
    <w:uiPriority w:val="0"/>
    <w:pPr>
      <w:spacing w:line="300" w:lineRule="exact"/>
    </w:pPr>
    <w:rPr>
      <w:rFonts w:cs="Times New Roman"/>
      <w:sz w:val="21"/>
      <w:szCs w:val="20"/>
    </w:rPr>
  </w:style>
  <w:style w:type="character" w:customStyle="1" w:styleId="495">
    <w:name w:val="图表题 Char"/>
    <w:link w:val="496"/>
    <w:autoRedefine/>
    <w:qFormat/>
    <w:uiPriority w:val="0"/>
    <w:rPr>
      <w:rFonts w:ascii="黑体" w:hAnsi="宋体" w:eastAsia="黑体"/>
      <w:b/>
      <w:bCs/>
      <w:sz w:val="24"/>
      <w:szCs w:val="24"/>
    </w:rPr>
  </w:style>
  <w:style w:type="paragraph" w:customStyle="1" w:styleId="496">
    <w:name w:val="图表题"/>
    <w:basedOn w:val="168"/>
    <w:next w:val="168"/>
    <w:link w:val="495"/>
    <w:autoRedefine/>
    <w:qFormat/>
    <w:uiPriority w:val="0"/>
    <w:pPr>
      <w:ind w:firstLine="0"/>
    </w:pPr>
    <w:rPr>
      <w:rFonts w:ascii="黑体" w:eastAsia="黑体"/>
      <w:b/>
      <w:bCs/>
      <w:lang w:val="en-US"/>
    </w:rPr>
  </w:style>
  <w:style w:type="character" w:customStyle="1" w:styleId="497">
    <w:name w:val="样式 居中 首行缩进:  0 字符 Char"/>
    <w:link w:val="498"/>
    <w:autoRedefine/>
    <w:qFormat/>
    <w:locked/>
    <w:uiPriority w:val="0"/>
    <w:rPr>
      <w:rFonts w:eastAsia="仿宋_GB2312"/>
    </w:rPr>
  </w:style>
  <w:style w:type="paragraph" w:customStyle="1" w:styleId="498">
    <w:name w:val="样式 居中 首行缩进:  0 字符"/>
    <w:basedOn w:val="1"/>
    <w:next w:val="1"/>
    <w:link w:val="497"/>
    <w:autoRedefine/>
    <w:qFormat/>
    <w:uiPriority w:val="0"/>
    <w:pPr>
      <w:tabs>
        <w:tab w:val="left" w:pos="9128"/>
      </w:tabs>
      <w:spacing w:line="500" w:lineRule="exact"/>
    </w:pPr>
    <w:rPr>
      <w:rFonts w:eastAsia="仿宋_GB2312" w:cs="Times New Roman"/>
      <w:kern w:val="0"/>
      <w:sz w:val="20"/>
      <w:szCs w:val="20"/>
    </w:rPr>
  </w:style>
  <w:style w:type="character" w:customStyle="1" w:styleId="499">
    <w:name w:val="样式 正文缩进正文（首行缩进两字） Char标题四 + (西文) 宋体 小四2 Char"/>
    <w:link w:val="500"/>
    <w:autoRedefine/>
    <w:qFormat/>
    <w:uiPriority w:val="0"/>
    <w:rPr>
      <w:rFonts w:ascii="宋体" w:hAnsi="宋体" w:eastAsia="仿宋_GB2312"/>
      <w:color w:val="000000"/>
      <w:sz w:val="28"/>
      <w:szCs w:val="28"/>
    </w:rPr>
  </w:style>
  <w:style w:type="paragraph" w:customStyle="1" w:styleId="500">
    <w:name w:val="样式 正文缩进正文（首行缩进两字） Char标题四 + (西文) 宋体 小四2"/>
    <w:basedOn w:val="17"/>
    <w:link w:val="499"/>
    <w:autoRedefine/>
    <w:qFormat/>
    <w:uiPriority w:val="0"/>
    <w:pPr>
      <w:snapToGrid w:val="0"/>
      <w:spacing w:line="312" w:lineRule="auto"/>
      <w:ind w:firstLine="560"/>
    </w:pPr>
    <w:rPr>
      <w:rFonts w:eastAsia="仿宋_GB2312"/>
      <w:sz w:val="28"/>
      <w:szCs w:val="28"/>
      <w:lang w:val="en-US"/>
    </w:rPr>
  </w:style>
  <w:style w:type="character" w:customStyle="1" w:styleId="501">
    <w:name w:val="样式 表格文字 Char"/>
    <w:link w:val="502"/>
    <w:autoRedefine/>
    <w:qFormat/>
    <w:uiPriority w:val="0"/>
    <w:rPr>
      <w:rFonts w:ascii="宋体" w:hAnsi="宋体"/>
      <w:color w:val="000000"/>
      <w:kern w:val="2"/>
      <w:sz w:val="21"/>
    </w:rPr>
  </w:style>
  <w:style w:type="paragraph" w:customStyle="1" w:styleId="502">
    <w:name w:val="样式 表格文字"/>
    <w:basedOn w:val="1"/>
    <w:link w:val="501"/>
    <w:autoRedefine/>
    <w:qFormat/>
    <w:uiPriority w:val="0"/>
    <w:rPr>
      <w:rFonts w:cs="Times New Roman"/>
      <w:color w:val="000000"/>
      <w:sz w:val="21"/>
      <w:szCs w:val="20"/>
    </w:rPr>
  </w:style>
  <w:style w:type="character" w:customStyle="1" w:styleId="503">
    <w:name w:val="样式 样式 楷体_GB2312 小四 居中 行距: 单倍行距 + 宋体 Char"/>
    <w:link w:val="504"/>
    <w:autoRedefine/>
    <w:qFormat/>
    <w:uiPriority w:val="0"/>
    <w:rPr>
      <w:rFonts w:eastAsia="楷体_GB2312"/>
      <w:kern w:val="2"/>
      <w:sz w:val="24"/>
      <w:szCs w:val="24"/>
    </w:rPr>
  </w:style>
  <w:style w:type="paragraph" w:customStyle="1" w:styleId="504">
    <w:name w:val="样式 样式 楷体_GB2312 小四 居中 行距: 单倍行距 + 宋体"/>
    <w:basedOn w:val="1"/>
    <w:link w:val="503"/>
    <w:autoRedefine/>
    <w:qFormat/>
    <w:uiPriority w:val="0"/>
    <w:pPr>
      <w:spacing w:line="240" w:lineRule="auto"/>
    </w:pPr>
    <w:rPr>
      <w:rFonts w:eastAsia="楷体_GB2312" w:cs="Times New Roman"/>
    </w:rPr>
  </w:style>
  <w:style w:type="character" w:customStyle="1" w:styleId="505">
    <w:name w:val="zm正文 Char"/>
    <w:link w:val="506"/>
    <w:autoRedefine/>
    <w:qFormat/>
    <w:uiPriority w:val="0"/>
    <w:rPr>
      <w:rFonts w:eastAsia="仿宋_GB2312"/>
      <w:sz w:val="24"/>
    </w:rPr>
  </w:style>
  <w:style w:type="paragraph" w:customStyle="1" w:styleId="506">
    <w:name w:val="zm正文"/>
    <w:basedOn w:val="1"/>
    <w:link w:val="505"/>
    <w:autoRedefine/>
    <w:qFormat/>
    <w:uiPriority w:val="0"/>
    <w:pPr>
      <w:adjustRightInd w:val="0"/>
      <w:snapToGrid w:val="0"/>
      <w:ind w:firstLine="200" w:firstLineChars="200"/>
    </w:pPr>
    <w:rPr>
      <w:rFonts w:eastAsia="仿宋_GB2312" w:cs="Times New Roman"/>
      <w:kern w:val="0"/>
      <w:szCs w:val="20"/>
    </w:rPr>
  </w:style>
  <w:style w:type="character" w:customStyle="1" w:styleId="507">
    <w:name w:val="正缩1 Char"/>
    <w:link w:val="508"/>
    <w:autoRedefine/>
    <w:qFormat/>
    <w:uiPriority w:val="0"/>
    <w:rPr>
      <w:rFonts w:eastAsia="仿宋_GB2312"/>
      <w:snapToGrid w:val="0"/>
      <w:color w:val="000000"/>
      <w:sz w:val="28"/>
    </w:rPr>
  </w:style>
  <w:style w:type="paragraph" w:customStyle="1" w:styleId="508">
    <w:name w:val="正缩1"/>
    <w:basedOn w:val="1"/>
    <w:link w:val="507"/>
    <w:autoRedefine/>
    <w:qFormat/>
    <w:uiPriority w:val="0"/>
    <w:pPr>
      <w:snapToGrid w:val="0"/>
      <w:spacing w:line="500" w:lineRule="exact"/>
      <w:ind w:firstLine="567"/>
    </w:pPr>
    <w:rPr>
      <w:rFonts w:eastAsia="仿宋_GB2312" w:cs="Times New Roman"/>
      <w:snapToGrid w:val="0"/>
      <w:color w:val="000000"/>
      <w:kern w:val="0"/>
      <w:sz w:val="28"/>
      <w:szCs w:val="20"/>
    </w:rPr>
  </w:style>
  <w:style w:type="character" w:customStyle="1" w:styleId="509">
    <w:name w:val="引用 Char"/>
    <w:link w:val="510"/>
    <w:autoRedefine/>
    <w:qFormat/>
    <w:uiPriority w:val="0"/>
    <w:rPr>
      <w:i/>
      <w:iCs/>
      <w:sz w:val="28"/>
      <w:szCs w:val="22"/>
      <w:lang w:eastAsia="en-US" w:bidi="en-US"/>
    </w:rPr>
  </w:style>
  <w:style w:type="paragraph" w:styleId="510">
    <w:name w:val="Quote"/>
    <w:basedOn w:val="1"/>
    <w:next w:val="1"/>
    <w:link w:val="509"/>
    <w:autoRedefine/>
    <w:qFormat/>
    <w:uiPriority w:val="0"/>
    <w:pPr>
      <w:widowControl/>
      <w:spacing w:before="200" w:line="480" w:lineRule="exact"/>
      <w:ind w:left="360" w:right="360"/>
      <w:jc w:val="left"/>
    </w:pPr>
    <w:rPr>
      <w:rFonts w:cs="Times New Roman"/>
      <w:i/>
      <w:iCs/>
      <w:kern w:val="0"/>
      <w:sz w:val="28"/>
      <w:szCs w:val="22"/>
      <w:lang w:eastAsia="en-US" w:bidi="en-US"/>
    </w:rPr>
  </w:style>
  <w:style w:type="character" w:customStyle="1" w:styleId="511">
    <w:name w:val="引用 Char1"/>
    <w:basedOn w:val="76"/>
    <w:autoRedefine/>
    <w:semiHidden/>
    <w:qFormat/>
    <w:uiPriority w:val="99"/>
    <w:rPr>
      <w:rFonts w:eastAsia="新宋体" w:cstheme="minorBidi"/>
      <w:i/>
      <w:iCs/>
      <w:color w:val="000000" w:themeColor="text1"/>
      <w:kern w:val="2"/>
      <w:sz w:val="24"/>
      <w:szCs w:val="24"/>
      <w14:textFill>
        <w14:solidFill>
          <w14:schemeClr w14:val="tx1"/>
        </w14:solidFill>
      </w14:textFill>
    </w:rPr>
  </w:style>
  <w:style w:type="character" w:customStyle="1" w:styleId="512">
    <w:name w:val="副标题 Char"/>
    <w:link w:val="51"/>
    <w:autoRedefine/>
    <w:qFormat/>
    <w:uiPriority w:val="0"/>
    <w:rPr>
      <w:rFonts w:ascii="Arial" w:hAnsi="Arial"/>
      <w:b/>
      <w:bCs/>
      <w:kern w:val="28"/>
      <w:sz w:val="32"/>
      <w:szCs w:val="32"/>
    </w:rPr>
  </w:style>
  <w:style w:type="character" w:customStyle="1" w:styleId="513">
    <w:name w:val="副标题 Char1"/>
    <w:basedOn w:val="76"/>
    <w:autoRedefine/>
    <w:qFormat/>
    <w:uiPriority w:val="11"/>
    <w:rPr>
      <w:rFonts w:asciiTheme="majorHAnsi" w:hAnsiTheme="majorHAnsi" w:cstheme="majorBidi"/>
      <w:b/>
      <w:bCs/>
      <w:kern w:val="28"/>
      <w:sz w:val="32"/>
      <w:szCs w:val="32"/>
    </w:rPr>
  </w:style>
  <w:style w:type="character" w:customStyle="1" w:styleId="514">
    <w:name w:val="样式8 Char"/>
    <w:link w:val="515"/>
    <w:autoRedefine/>
    <w:qFormat/>
    <w:uiPriority w:val="0"/>
    <w:rPr>
      <w:rFonts w:ascii="仿宋_GB2312" w:hAnsi="Arial"/>
      <w:b/>
      <w:bCs/>
      <w:sz w:val="24"/>
      <w:szCs w:val="24"/>
    </w:rPr>
  </w:style>
  <w:style w:type="paragraph" w:customStyle="1" w:styleId="515">
    <w:name w:val="样式8"/>
    <w:basedOn w:val="6"/>
    <w:link w:val="514"/>
    <w:autoRedefine/>
    <w:qFormat/>
    <w:uiPriority w:val="0"/>
    <w:pPr>
      <w:tabs>
        <w:tab w:val="clear" w:pos="525"/>
      </w:tabs>
    </w:pPr>
    <w:rPr>
      <w:rFonts w:ascii="仿宋_GB2312" w:hAnsi="Arial" w:eastAsia="宋体" w:cs="Times New Roman"/>
      <w:b/>
      <w:bCs/>
      <w:kern w:val="0"/>
    </w:rPr>
  </w:style>
  <w:style w:type="character" w:customStyle="1" w:styleId="516">
    <w:name w:val="基本 Char"/>
    <w:link w:val="517"/>
    <w:autoRedefine/>
    <w:qFormat/>
    <w:uiPriority w:val="0"/>
    <w:rPr>
      <w:bCs/>
      <w:caps/>
      <w:kern w:val="2"/>
      <w:sz w:val="21"/>
      <w:szCs w:val="24"/>
    </w:rPr>
  </w:style>
  <w:style w:type="paragraph" w:customStyle="1" w:styleId="517">
    <w:name w:val="基本"/>
    <w:basedOn w:val="1"/>
    <w:link w:val="516"/>
    <w:autoRedefine/>
    <w:qFormat/>
    <w:uiPriority w:val="0"/>
    <w:pPr>
      <w:jc w:val="left"/>
    </w:pPr>
    <w:rPr>
      <w:rFonts w:cs="Times New Roman"/>
      <w:bCs/>
      <w:caps/>
      <w:sz w:val="21"/>
    </w:rPr>
  </w:style>
  <w:style w:type="character" w:customStyle="1" w:styleId="518">
    <w:name w:val="样式 标题 3 + 自动设置 Char"/>
    <w:link w:val="519"/>
    <w:autoRedefine/>
    <w:qFormat/>
    <w:uiPriority w:val="0"/>
    <w:rPr>
      <w:b/>
      <w:color w:val="0000FF"/>
      <w:kern w:val="2"/>
      <w:sz w:val="28"/>
      <w:szCs w:val="28"/>
    </w:rPr>
  </w:style>
  <w:style w:type="paragraph" w:customStyle="1" w:styleId="519">
    <w:name w:val="样式 标题 3 + 自动设置"/>
    <w:basedOn w:val="5"/>
    <w:link w:val="518"/>
    <w:autoRedefine/>
    <w:qFormat/>
    <w:uiPriority w:val="0"/>
    <w:pPr>
      <w:spacing w:line="360" w:lineRule="auto"/>
    </w:pPr>
    <w:rPr>
      <w:rFonts w:cs="Times New Roman"/>
      <w:color w:val="0000FF"/>
      <w:sz w:val="28"/>
      <w:szCs w:val="28"/>
    </w:rPr>
  </w:style>
  <w:style w:type="character" w:customStyle="1" w:styleId="520">
    <w:name w:val="蒲正文 Char"/>
    <w:link w:val="521"/>
    <w:autoRedefine/>
    <w:qFormat/>
    <w:uiPriority w:val="0"/>
    <w:rPr>
      <w:sz w:val="24"/>
      <w:szCs w:val="24"/>
    </w:rPr>
  </w:style>
  <w:style w:type="paragraph" w:customStyle="1" w:styleId="521">
    <w:name w:val="蒲正文"/>
    <w:basedOn w:val="1"/>
    <w:link w:val="520"/>
    <w:autoRedefine/>
    <w:qFormat/>
    <w:uiPriority w:val="0"/>
    <w:pPr>
      <w:adjustRightInd w:val="0"/>
      <w:snapToGrid w:val="0"/>
      <w:ind w:firstLine="480" w:firstLineChars="200"/>
    </w:pPr>
    <w:rPr>
      <w:rFonts w:cs="Times New Roman"/>
      <w:kern w:val="0"/>
    </w:rPr>
  </w:style>
  <w:style w:type="character" w:customStyle="1" w:styleId="522">
    <w:name w:val="【表中文字】 Char"/>
    <w:link w:val="523"/>
    <w:autoRedefine/>
    <w:qFormat/>
    <w:uiPriority w:val="0"/>
    <w:rPr>
      <w:kern w:val="2"/>
      <w:sz w:val="21"/>
    </w:rPr>
  </w:style>
  <w:style w:type="paragraph" w:customStyle="1" w:styleId="523">
    <w:name w:val="【表中文字】"/>
    <w:basedOn w:val="1"/>
    <w:link w:val="522"/>
    <w:autoRedefine/>
    <w:qFormat/>
    <w:uiPriority w:val="0"/>
    <w:pPr>
      <w:spacing w:line="240" w:lineRule="auto"/>
    </w:pPr>
    <w:rPr>
      <w:rFonts w:cs="Times New Roman"/>
      <w:sz w:val="21"/>
      <w:szCs w:val="20"/>
    </w:rPr>
  </w:style>
  <w:style w:type="character" w:customStyle="1" w:styleId="524">
    <w:name w:val="样式 正文缩进正文（首行缩进两字） Char标题四 + (西文) 宋体 小四3 Char"/>
    <w:link w:val="525"/>
    <w:autoRedefine/>
    <w:qFormat/>
    <w:uiPriority w:val="0"/>
    <w:rPr>
      <w:rFonts w:ascii="宋体" w:hAnsi="宋体" w:eastAsia="仿宋_GB2312"/>
      <w:color w:val="000000"/>
      <w:sz w:val="28"/>
      <w:szCs w:val="28"/>
    </w:rPr>
  </w:style>
  <w:style w:type="paragraph" w:customStyle="1" w:styleId="525">
    <w:name w:val="样式 正文缩进正文（首行缩进两字） Char标题四 + (西文) 宋体 小四3"/>
    <w:basedOn w:val="17"/>
    <w:link w:val="524"/>
    <w:autoRedefine/>
    <w:qFormat/>
    <w:uiPriority w:val="0"/>
    <w:pPr>
      <w:snapToGrid w:val="0"/>
      <w:spacing w:line="312" w:lineRule="auto"/>
      <w:ind w:firstLine="200"/>
    </w:pPr>
    <w:rPr>
      <w:rFonts w:eastAsia="仿宋_GB2312"/>
      <w:sz w:val="28"/>
      <w:szCs w:val="28"/>
      <w:lang w:val="en-US"/>
    </w:rPr>
  </w:style>
  <w:style w:type="character" w:customStyle="1" w:styleId="526">
    <w:name w:val="1.1.1.1-- Char Char"/>
    <w:link w:val="527"/>
    <w:autoRedefine/>
    <w:qFormat/>
    <w:uiPriority w:val="0"/>
    <w:rPr>
      <w:rFonts w:ascii="Arial" w:hAnsi="Arial"/>
      <w:b/>
      <w:bCs/>
      <w:snapToGrid w:val="0"/>
      <w:kern w:val="24"/>
      <w:sz w:val="26"/>
      <w:szCs w:val="26"/>
    </w:rPr>
  </w:style>
  <w:style w:type="paragraph" w:customStyle="1" w:styleId="527">
    <w:name w:val="1.1.1.1--"/>
    <w:basedOn w:val="528"/>
    <w:link w:val="526"/>
    <w:autoRedefine/>
    <w:qFormat/>
    <w:uiPriority w:val="0"/>
    <w:pPr>
      <w:ind w:left="851" w:hanging="851"/>
      <w:outlineLvl w:val="3"/>
    </w:pPr>
    <w:rPr>
      <w:b/>
      <w:lang w:val="en-US"/>
    </w:rPr>
  </w:style>
  <w:style w:type="paragraph" w:customStyle="1" w:styleId="528">
    <w:name w:val="1.1.1--"/>
    <w:basedOn w:val="1"/>
    <w:link w:val="529"/>
    <w:autoRedefine/>
    <w:qFormat/>
    <w:uiPriority w:val="0"/>
    <w:pPr>
      <w:adjustRightInd w:val="0"/>
      <w:spacing w:beforeLines="50"/>
      <w:ind w:left="709" w:hanging="709"/>
      <w:textAlignment w:val="baseline"/>
      <w:outlineLvl w:val="2"/>
    </w:pPr>
    <w:rPr>
      <w:rFonts w:ascii="Arial" w:hAnsi="Arial" w:cs="Times New Roman"/>
      <w:bCs/>
      <w:snapToGrid w:val="0"/>
      <w:kern w:val="24"/>
      <w:sz w:val="26"/>
      <w:szCs w:val="26"/>
    </w:rPr>
  </w:style>
  <w:style w:type="character" w:customStyle="1" w:styleId="529">
    <w:name w:val="1.1.1-- Char Char"/>
    <w:link w:val="528"/>
    <w:autoRedefine/>
    <w:qFormat/>
    <w:uiPriority w:val="0"/>
    <w:rPr>
      <w:rFonts w:ascii="Arial" w:hAnsi="Arial"/>
      <w:bCs/>
      <w:snapToGrid w:val="0"/>
      <w:kern w:val="24"/>
      <w:sz w:val="26"/>
      <w:szCs w:val="26"/>
      <w:lang w:val="zh-CN" w:eastAsia="zh-CN"/>
    </w:rPr>
  </w:style>
  <w:style w:type="character" w:customStyle="1" w:styleId="530">
    <w:name w:val="样式 (符号) 宋体 小四 行距: 固定值 26 磅 Char Char Char"/>
    <w:link w:val="531"/>
    <w:autoRedefine/>
    <w:qFormat/>
    <w:uiPriority w:val="0"/>
    <w:rPr>
      <w:rFonts w:hAnsi="宋体"/>
      <w:color w:val="000000"/>
      <w:sz w:val="28"/>
      <w:szCs w:val="28"/>
    </w:rPr>
  </w:style>
  <w:style w:type="paragraph" w:customStyle="1" w:styleId="531">
    <w:name w:val="样式 (符号) 宋体 小四 行距: 固定值 26 磅 Char Char"/>
    <w:basedOn w:val="1"/>
    <w:link w:val="530"/>
    <w:autoRedefine/>
    <w:qFormat/>
    <w:uiPriority w:val="0"/>
    <w:pPr>
      <w:ind w:firstLine="480" w:firstLineChars="200"/>
    </w:pPr>
    <w:rPr>
      <w:rFonts w:cs="Times New Roman"/>
      <w:color w:val="000000"/>
      <w:kern w:val="0"/>
      <w:sz w:val="28"/>
      <w:szCs w:val="28"/>
    </w:rPr>
  </w:style>
  <w:style w:type="character" w:customStyle="1" w:styleId="532">
    <w:name w:val="结束语 Char"/>
    <w:link w:val="24"/>
    <w:autoRedefine/>
    <w:qFormat/>
    <w:uiPriority w:val="0"/>
  </w:style>
  <w:style w:type="character" w:customStyle="1" w:styleId="533">
    <w:name w:val="结束语 Char1"/>
    <w:basedOn w:val="76"/>
    <w:autoRedefine/>
    <w:qFormat/>
    <w:uiPriority w:val="99"/>
    <w:rPr>
      <w:rFonts w:eastAsia="新宋体" w:cstheme="minorBidi"/>
      <w:kern w:val="2"/>
      <w:sz w:val="24"/>
      <w:szCs w:val="24"/>
    </w:rPr>
  </w:style>
  <w:style w:type="character" w:customStyle="1" w:styleId="534">
    <w:name w:val="font11"/>
    <w:autoRedefine/>
    <w:qFormat/>
    <w:uiPriority w:val="0"/>
    <w:rPr>
      <w:rFonts w:hint="default" w:ascii="Times New Roman" w:hAnsi="Times New Roman" w:cs="Times New Roman"/>
      <w:color w:val="FF0000"/>
      <w:sz w:val="21"/>
      <w:szCs w:val="21"/>
      <w:u w:val="none"/>
      <w:vertAlign w:val="superscript"/>
    </w:rPr>
  </w:style>
  <w:style w:type="character" w:customStyle="1" w:styleId="535">
    <w:name w:val="L正文 Char"/>
    <w:link w:val="536"/>
    <w:autoRedefine/>
    <w:qFormat/>
    <w:uiPriority w:val="0"/>
    <w:rPr>
      <w:bCs/>
      <w:snapToGrid w:val="0"/>
      <w:sz w:val="26"/>
      <w:szCs w:val="26"/>
    </w:rPr>
  </w:style>
  <w:style w:type="paragraph" w:customStyle="1" w:styleId="536">
    <w:name w:val="L正文"/>
    <w:basedOn w:val="1"/>
    <w:link w:val="535"/>
    <w:autoRedefine/>
    <w:qFormat/>
    <w:uiPriority w:val="0"/>
    <w:pPr>
      <w:autoSpaceDE w:val="0"/>
      <w:autoSpaceDN w:val="0"/>
      <w:adjustRightInd w:val="0"/>
      <w:snapToGrid w:val="0"/>
      <w:ind w:firstLine="200" w:firstLineChars="200"/>
    </w:pPr>
    <w:rPr>
      <w:rFonts w:cs="Times New Roman"/>
      <w:bCs/>
      <w:snapToGrid w:val="0"/>
      <w:kern w:val="0"/>
      <w:sz w:val="26"/>
      <w:szCs w:val="26"/>
    </w:rPr>
  </w:style>
  <w:style w:type="character" w:customStyle="1" w:styleId="537">
    <w:name w:val="样式 标题 2节3号宋体居中行距2倍三号宋体居中行距2倍距三号宋体居中行距2倍标题 2 Char Char Char ...3 Char"/>
    <w:link w:val="538"/>
    <w:autoRedefine/>
    <w:qFormat/>
    <w:uiPriority w:val="0"/>
    <w:rPr>
      <w:kern w:val="2"/>
      <w:sz w:val="32"/>
      <w:szCs w:val="32"/>
    </w:rPr>
  </w:style>
  <w:style w:type="paragraph" w:customStyle="1" w:styleId="538">
    <w:name w:val="样式 标题 2节3号宋体居中行距2倍三号宋体居中行距2倍距三号宋体居中行距2倍标题 2 Char Char Char ...3"/>
    <w:basedOn w:val="4"/>
    <w:link w:val="537"/>
    <w:autoRedefine/>
    <w:qFormat/>
    <w:uiPriority w:val="0"/>
    <w:pPr>
      <w:keepNext w:val="0"/>
      <w:keepLines w:val="0"/>
      <w:spacing w:beforeLines="50" w:after="240" w:line="360" w:lineRule="auto"/>
    </w:pPr>
    <w:rPr>
      <w:rFonts w:ascii="Times New Roman" w:hAnsi="Times New Roman" w:eastAsia="宋体" w:cs="Times New Roman"/>
      <w:b w:val="0"/>
      <w:szCs w:val="32"/>
    </w:rPr>
  </w:style>
  <w:style w:type="character" w:customStyle="1" w:styleId="539">
    <w:name w:val="666666-正文 Char"/>
    <w:link w:val="540"/>
    <w:autoRedefine/>
    <w:qFormat/>
    <w:uiPriority w:val="0"/>
    <w:rPr>
      <w:kern w:val="2"/>
      <w:sz w:val="24"/>
      <w:lang w:val="zh-CN"/>
    </w:rPr>
  </w:style>
  <w:style w:type="paragraph" w:customStyle="1" w:styleId="540">
    <w:name w:val="666666-正文"/>
    <w:basedOn w:val="1"/>
    <w:link w:val="539"/>
    <w:autoRedefine/>
    <w:qFormat/>
    <w:uiPriority w:val="0"/>
    <w:pPr>
      <w:spacing w:line="440" w:lineRule="exact"/>
      <w:ind w:firstLine="200" w:firstLineChars="200"/>
    </w:pPr>
    <w:rPr>
      <w:rFonts w:cs="Times New Roman"/>
      <w:szCs w:val="20"/>
    </w:rPr>
  </w:style>
  <w:style w:type="character" w:customStyle="1" w:styleId="541">
    <w:name w:val="4-25正 Char"/>
    <w:link w:val="542"/>
    <w:autoRedefine/>
    <w:qFormat/>
    <w:uiPriority w:val="0"/>
    <w:rPr>
      <w:sz w:val="24"/>
    </w:rPr>
  </w:style>
  <w:style w:type="paragraph" w:customStyle="1" w:styleId="542">
    <w:name w:val="4-25正"/>
    <w:basedOn w:val="1"/>
    <w:link w:val="541"/>
    <w:autoRedefine/>
    <w:qFormat/>
    <w:uiPriority w:val="0"/>
    <w:pPr>
      <w:widowControl/>
      <w:spacing w:before="40" w:after="40"/>
      <w:ind w:firstLine="480" w:firstLineChars="200"/>
    </w:pPr>
    <w:rPr>
      <w:rFonts w:cs="Times New Roman"/>
      <w:kern w:val="0"/>
      <w:szCs w:val="20"/>
    </w:rPr>
  </w:style>
  <w:style w:type="character" w:customStyle="1" w:styleId="543">
    <w:name w:val="正文文本缩进 3 Char"/>
    <w:link w:val="56"/>
    <w:autoRedefine/>
    <w:qFormat/>
    <w:uiPriority w:val="0"/>
    <w:rPr>
      <w:sz w:val="32"/>
    </w:rPr>
  </w:style>
  <w:style w:type="character" w:customStyle="1" w:styleId="544">
    <w:name w:val="正文文本缩进 3 Char1"/>
    <w:basedOn w:val="76"/>
    <w:autoRedefine/>
    <w:qFormat/>
    <w:uiPriority w:val="0"/>
    <w:rPr>
      <w:rFonts w:eastAsia="新宋体" w:cstheme="minorBidi"/>
      <w:kern w:val="2"/>
      <w:sz w:val="16"/>
      <w:szCs w:val="16"/>
    </w:rPr>
  </w:style>
  <w:style w:type="character" w:customStyle="1" w:styleId="545">
    <w:name w:val="HTML 预设格式 Char"/>
    <w:link w:val="63"/>
    <w:autoRedefine/>
    <w:qFormat/>
    <w:uiPriority w:val="0"/>
    <w:rPr>
      <w:rFonts w:ascii="宋体" w:hAnsi="宋体"/>
      <w:color w:val="000000"/>
      <w:szCs w:val="21"/>
    </w:rPr>
  </w:style>
  <w:style w:type="character" w:customStyle="1" w:styleId="546">
    <w:name w:val="HTML 预设格式 Char1"/>
    <w:basedOn w:val="76"/>
    <w:autoRedefine/>
    <w:qFormat/>
    <w:uiPriority w:val="99"/>
    <w:rPr>
      <w:rFonts w:ascii="Courier New" w:hAnsi="Courier New" w:eastAsia="新宋体" w:cs="Courier New"/>
      <w:kern w:val="2"/>
    </w:rPr>
  </w:style>
  <w:style w:type="character" w:customStyle="1" w:styleId="547">
    <w:name w:val="样式 宋体 小四 行距: 1.5 倍行距 Char"/>
    <w:link w:val="548"/>
    <w:autoRedefine/>
    <w:qFormat/>
    <w:uiPriority w:val="0"/>
    <w:rPr>
      <w:rFonts w:ascii="宋体" w:hAnsi="宋体"/>
      <w:sz w:val="24"/>
    </w:rPr>
  </w:style>
  <w:style w:type="paragraph" w:customStyle="1" w:styleId="548">
    <w:name w:val="样式 宋体 小四 行距: 1.5 倍行距"/>
    <w:basedOn w:val="1"/>
    <w:link w:val="547"/>
    <w:autoRedefine/>
    <w:qFormat/>
    <w:uiPriority w:val="0"/>
    <w:pPr>
      <w:ind w:firstLine="200" w:firstLineChars="200"/>
    </w:pPr>
    <w:rPr>
      <w:rFonts w:cs="Times New Roman"/>
      <w:kern w:val="0"/>
      <w:szCs w:val="20"/>
    </w:rPr>
  </w:style>
  <w:style w:type="character" w:customStyle="1" w:styleId="549">
    <w:name w:val="样式 标题 3小标题小节标题 + Char"/>
    <w:link w:val="550"/>
    <w:autoRedefine/>
    <w:qFormat/>
    <w:uiPriority w:val="0"/>
    <w:rPr>
      <w:rFonts w:ascii="宋体" w:eastAsia="黑体"/>
      <w:bCs/>
      <w:sz w:val="28"/>
      <w:szCs w:val="28"/>
    </w:rPr>
  </w:style>
  <w:style w:type="paragraph" w:customStyle="1" w:styleId="550">
    <w:name w:val="样式 标题 3小标题小节标题 +"/>
    <w:basedOn w:val="5"/>
    <w:link w:val="549"/>
    <w:autoRedefine/>
    <w:qFormat/>
    <w:uiPriority w:val="0"/>
    <w:pPr>
      <w:snapToGrid w:val="0"/>
      <w:spacing w:line="360" w:lineRule="auto"/>
      <w:jc w:val="left"/>
    </w:pPr>
    <w:rPr>
      <w:rFonts w:eastAsia="黑体" w:cs="Times New Roman"/>
      <w:b w:val="0"/>
      <w:bCs/>
      <w:kern w:val="0"/>
      <w:sz w:val="28"/>
      <w:szCs w:val="28"/>
    </w:rPr>
  </w:style>
  <w:style w:type="character" w:customStyle="1" w:styleId="551">
    <w:name w:val="称呼 Char"/>
    <w:link w:val="22"/>
    <w:autoRedefine/>
    <w:qFormat/>
    <w:uiPriority w:val="0"/>
    <w:rPr>
      <w:szCs w:val="24"/>
    </w:rPr>
  </w:style>
  <w:style w:type="character" w:customStyle="1" w:styleId="552">
    <w:name w:val="称呼 Char1"/>
    <w:basedOn w:val="76"/>
    <w:autoRedefine/>
    <w:qFormat/>
    <w:uiPriority w:val="99"/>
    <w:rPr>
      <w:rFonts w:eastAsia="新宋体" w:cstheme="minorBidi"/>
      <w:kern w:val="2"/>
      <w:sz w:val="24"/>
      <w:szCs w:val="24"/>
    </w:rPr>
  </w:style>
  <w:style w:type="character" w:customStyle="1" w:styleId="553">
    <w:name w:val="表头YHY Char"/>
    <w:link w:val="554"/>
    <w:autoRedefine/>
    <w:qFormat/>
    <w:uiPriority w:val="0"/>
    <w:rPr>
      <w:rFonts w:ascii="黑体" w:eastAsia="黑体"/>
      <w:bCs/>
      <w:szCs w:val="21"/>
    </w:rPr>
  </w:style>
  <w:style w:type="paragraph" w:customStyle="1" w:styleId="554">
    <w:name w:val="表头YHY"/>
    <w:basedOn w:val="7"/>
    <w:link w:val="553"/>
    <w:autoRedefine/>
    <w:qFormat/>
    <w:uiPriority w:val="0"/>
    <w:pPr>
      <w:spacing w:line="240" w:lineRule="auto"/>
      <w:ind w:left="0"/>
    </w:pPr>
    <w:rPr>
      <w:rFonts w:ascii="黑体" w:hAnsi="Times New Roman" w:eastAsia="黑体" w:cs="Times New Roman"/>
      <w:b w:val="0"/>
      <w:kern w:val="0"/>
      <w:sz w:val="20"/>
      <w:szCs w:val="21"/>
      <w:lang w:val="en-US" w:bidi="ar-SA"/>
    </w:rPr>
  </w:style>
  <w:style w:type="character" w:customStyle="1" w:styleId="555">
    <w:name w:val="样式5 Char"/>
    <w:link w:val="556"/>
    <w:autoRedefine/>
    <w:qFormat/>
    <w:uiPriority w:val="0"/>
    <w:rPr>
      <w:b/>
      <w:bCs/>
      <w:sz w:val="28"/>
      <w:szCs w:val="32"/>
    </w:rPr>
  </w:style>
  <w:style w:type="paragraph" w:customStyle="1" w:styleId="556">
    <w:name w:val="样式5"/>
    <w:basedOn w:val="5"/>
    <w:link w:val="555"/>
    <w:autoRedefine/>
    <w:qFormat/>
    <w:uiPriority w:val="0"/>
    <w:pPr>
      <w:spacing w:line="360" w:lineRule="auto"/>
    </w:pPr>
    <w:rPr>
      <w:rFonts w:cs="Times New Roman"/>
      <w:bCs/>
      <w:kern w:val="0"/>
      <w:sz w:val="28"/>
      <w:szCs w:val="32"/>
    </w:rPr>
  </w:style>
  <w:style w:type="character" w:customStyle="1" w:styleId="557">
    <w:name w:val="样式 题注 + 小四 Char"/>
    <w:link w:val="558"/>
    <w:autoRedefine/>
    <w:qFormat/>
    <w:uiPriority w:val="0"/>
    <w:rPr>
      <w:rFonts w:ascii="Arial" w:hAnsi="Arial" w:eastAsia="黑体"/>
      <w:sz w:val="24"/>
    </w:rPr>
  </w:style>
  <w:style w:type="paragraph" w:customStyle="1" w:styleId="558">
    <w:name w:val="样式 题注 + 小四"/>
    <w:basedOn w:val="18"/>
    <w:link w:val="557"/>
    <w:autoRedefine/>
    <w:qFormat/>
    <w:uiPriority w:val="0"/>
    <w:pPr>
      <w:ind w:left="400" w:leftChars="200" w:hanging="200" w:hangingChars="200"/>
    </w:pPr>
    <w:rPr>
      <w:sz w:val="24"/>
      <w:lang w:val="en-US"/>
    </w:rPr>
  </w:style>
  <w:style w:type="character" w:customStyle="1" w:styleId="559">
    <w:name w:val="文档结构图 Char"/>
    <w:link w:val="20"/>
    <w:autoRedefine/>
    <w:qFormat/>
    <w:uiPriority w:val="0"/>
    <w:rPr>
      <w:rFonts w:ascii="宋体"/>
      <w:kern w:val="2"/>
      <w:sz w:val="18"/>
      <w:szCs w:val="18"/>
    </w:rPr>
  </w:style>
  <w:style w:type="character" w:customStyle="1" w:styleId="560">
    <w:name w:val="文档结构图 Char1"/>
    <w:basedOn w:val="76"/>
    <w:autoRedefine/>
    <w:qFormat/>
    <w:uiPriority w:val="0"/>
    <w:rPr>
      <w:rFonts w:ascii="宋体" w:cstheme="minorBidi"/>
      <w:kern w:val="2"/>
      <w:sz w:val="18"/>
      <w:szCs w:val="18"/>
    </w:rPr>
  </w:style>
  <w:style w:type="character" w:customStyle="1" w:styleId="561">
    <w:name w:val="表格式 Char"/>
    <w:link w:val="562"/>
    <w:autoRedefine/>
    <w:qFormat/>
    <w:uiPriority w:val="0"/>
    <w:rPr>
      <w:kern w:val="2"/>
      <w:sz w:val="21"/>
    </w:rPr>
  </w:style>
  <w:style w:type="paragraph" w:customStyle="1" w:styleId="562">
    <w:name w:val="表格式"/>
    <w:basedOn w:val="52"/>
    <w:link w:val="561"/>
    <w:autoRedefine/>
    <w:qFormat/>
    <w:uiPriority w:val="0"/>
    <w:pPr>
      <w:spacing w:beforeLines="50" w:afterLines="50" w:line="200" w:lineRule="exact"/>
      <w:ind w:left="0" w:firstLine="0" w:firstLineChars="0"/>
    </w:pPr>
    <w:rPr>
      <w:szCs w:val="20"/>
    </w:rPr>
  </w:style>
  <w:style w:type="character" w:customStyle="1" w:styleId="563">
    <w:name w:val="样式 初设正文 + 左侧:  0 厘米 段后: 0 磅 Char Char"/>
    <w:link w:val="564"/>
    <w:autoRedefine/>
    <w:qFormat/>
    <w:uiPriority w:val="0"/>
    <w:rPr>
      <w:rFonts w:ascii="Arial Unicode MS" w:hAnsi="Arial Unicode MS"/>
      <w:sz w:val="24"/>
    </w:rPr>
  </w:style>
  <w:style w:type="paragraph" w:customStyle="1" w:styleId="564">
    <w:name w:val="样式 初设正文 + 左侧:  0 厘米 段后: 0 磅"/>
    <w:basedOn w:val="1"/>
    <w:link w:val="563"/>
    <w:autoRedefine/>
    <w:qFormat/>
    <w:uiPriority w:val="0"/>
    <w:pPr>
      <w:spacing w:line="440" w:lineRule="exact"/>
      <w:ind w:firstLine="425"/>
    </w:pPr>
    <w:rPr>
      <w:rFonts w:ascii="Arial Unicode MS" w:hAnsi="Arial Unicode MS" w:cs="Times New Roman"/>
      <w:kern w:val="0"/>
      <w:szCs w:val="20"/>
    </w:rPr>
  </w:style>
  <w:style w:type="character" w:customStyle="1" w:styleId="565">
    <w:name w:val="样式 表注 + 首行缩进:  2 字符 Char"/>
    <w:link w:val="566"/>
    <w:autoRedefine/>
    <w:semiHidden/>
    <w:qFormat/>
    <w:uiPriority w:val="0"/>
    <w:rPr>
      <w:sz w:val="21"/>
      <w:szCs w:val="21"/>
    </w:rPr>
  </w:style>
  <w:style w:type="paragraph" w:customStyle="1" w:styleId="566">
    <w:name w:val="样式 表注 + 首行缩进:  2 字符"/>
    <w:basedOn w:val="1"/>
    <w:link w:val="565"/>
    <w:autoRedefine/>
    <w:semiHidden/>
    <w:qFormat/>
    <w:uiPriority w:val="0"/>
    <w:pPr>
      <w:adjustRightInd w:val="0"/>
      <w:snapToGrid w:val="0"/>
      <w:spacing w:line="280" w:lineRule="atLeast"/>
      <w:ind w:firstLine="420" w:firstLineChars="200"/>
    </w:pPr>
    <w:rPr>
      <w:rFonts w:cs="Times New Roman"/>
      <w:kern w:val="0"/>
      <w:sz w:val="21"/>
      <w:szCs w:val="21"/>
    </w:rPr>
  </w:style>
  <w:style w:type="character" w:customStyle="1" w:styleId="567">
    <w:name w:val="样式 首行缩进:  0.77 厘米 行距: 固定值 20 磅 Char"/>
    <w:link w:val="568"/>
    <w:autoRedefine/>
    <w:qFormat/>
    <w:uiPriority w:val="0"/>
    <w:rPr>
      <w:kern w:val="2"/>
      <w:sz w:val="24"/>
    </w:rPr>
  </w:style>
  <w:style w:type="paragraph" w:customStyle="1" w:styleId="568">
    <w:name w:val="样式 首行缩进:  0.77 厘米 行距: 固定值 20 磅"/>
    <w:basedOn w:val="1"/>
    <w:link w:val="567"/>
    <w:autoRedefine/>
    <w:qFormat/>
    <w:uiPriority w:val="0"/>
    <w:pPr>
      <w:ind w:firstLine="435"/>
    </w:pPr>
    <w:rPr>
      <w:rFonts w:cs="Times New Roman"/>
      <w:szCs w:val="20"/>
    </w:rPr>
  </w:style>
  <w:style w:type="character" w:customStyle="1" w:styleId="569">
    <w:name w:val="标准文本 居中 行距1.5倍 Char"/>
    <w:link w:val="570"/>
    <w:autoRedefine/>
    <w:qFormat/>
    <w:uiPriority w:val="0"/>
    <w:rPr>
      <w:sz w:val="24"/>
      <w:szCs w:val="24"/>
    </w:rPr>
  </w:style>
  <w:style w:type="paragraph" w:customStyle="1" w:styleId="570">
    <w:name w:val="标准文本 居中 行距1.5倍"/>
    <w:basedOn w:val="1"/>
    <w:link w:val="569"/>
    <w:autoRedefine/>
    <w:qFormat/>
    <w:uiPriority w:val="0"/>
    <w:pPr>
      <w:textAlignment w:val="center"/>
    </w:pPr>
    <w:rPr>
      <w:rFonts w:cs="Times New Roman"/>
      <w:kern w:val="0"/>
    </w:rPr>
  </w:style>
  <w:style w:type="character" w:customStyle="1" w:styleId="571">
    <w:name w:val="表－居中列 Char"/>
    <w:link w:val="572"/>
    <w:autoRedefine/>
    <w:qFormat/>
    <w:uiPriority w:val="0"/>
    <w:rPr>
      <w:szCs w:val="21"/>
      <w:lang w:eastAsia="ja-JP"/>
    </w:rPr>
  </w:style>
  <w:style w:type="paragraph" w:customStyle="1" w:styleId="572">
    <w:name w:val="表－居中列"/>
    <w:basedOn w:val="1"/>
    <w:link w:val="571"/>
    <w:autoRedefine/>
    <w:qFormat/>
    <w:uiPriority w:val="0"/>
    <w:pPr>
      <w:suppressLineNumbers/>
      <w:suppressAutoHyphens/>
      <w:snapToGrid w:val="0"/>
      <w:spacing w:before="60" w:after="60" w:line="240" w:lineRule="auto"/>
      <w:ind w:firstLine="419"/>
    </w:pPr>
    <w:rPr>
      <w:rFonts w:cs="Times New Roman"/>
      <w:kern w:val="0"/>
      <w:sz w:val="20"/>
      <w:szCs w:val="21"/>
      <w:lang w:eastAsia="ja-JP"/>
    </w:rPr>
  </w:style>
  <w:style w:type="character" w:customStyle="1" w:styleId="573">
    <w:name w:val="正文 宋体 小四 Char"/>
    <w:link w:val="574"/>
    <w:autoRedefine/>
    <w:qFormat/>
    <w:uiPriority w:val="0"/>
    <w:rPr>
      <w:rFonts w:ascii="宋体" w:hAnsi="宋体"/>
      <w:sz w:val="24"/>
    </w:rPr>
  </w:style>
  <w:style w:type="paragraph" w:customStyle="1" w:styleId="574">
    <w:name w:val="正文 宋体 小四"/>
    <w:basedOn w:val="1"/>
    <w:link w:val="573"/>
    <w:autoRedefine/>
    <w:qFormat/>
    <w:uiPriority w:val="0"/>
    <w:pPr>
      <w:ind w:firstLine="480"/>
    </w:pPr>
    <w:rPr>
      <w:rFonts w:cs="Times New Roman"/>
      <w:kern w:val="0"/>
      <w:szCs w:val="20"/>
    </w:rPr>
  </w:style>
  <w:style w:type="character" w:customStyle="1" w:styleId="575">
    <w:name w:val="样式 正文缩进正文（首行缩进两字） Char标题四 + (符号) STXinwei Char"/>
    <w:link w:val="576"/>
    <w:autoRedefine/>
    <w:qFormat/>
    <w:uiPriority w:val="0"/>
    <w:rPr>
      <w:rFonts w:eastAsia="仿宋_GB2312"/>
      <w:color w:val="000000"/>
      <w:sz w:val="28"/>
      <w:szCs w:val="28"/>
    </w:rPr>
  </w:style>
  <w:style w:type="paragraph" w:customStyle="1" w:styleId="576">
    <w:name w:val="样式 正文缩进正文（首行缩进两字） Char标题四 + (符号) STXinwei"/>
    <w:basedOn w:val="17"/>
    <w:link w:val="575"/>
    <w:autoRedefine/>
    <w:qFormat/>
    <w:uiPriority w:val="0"/>
    <w:pPr>
      <w:snapToGrid w:val="0"/>
      <w:spacing w:line="312" w:lineRule="auto"/>
      <w:ind w:firstLine="200"/>
    </w:pPr>
    <w:rPr>
      <w:rFonts w:eastAsia="仿宋_GB2312"/>
      <w:sz w:val="28"/>
      <w:szCs w:val="28"/>
      <w:lang w:val="en-US"/>
    </w:rPr>
  </w:style>
  <w:style w:type="character" w:customStyle="1" w:styleId="577">
    <w:name w:val="666666-正文文本 Char"/>
    <w:link w:val="578"/>
    <w:autoRedefine/>
    <w:qFormat/>
    <w:uiPriority w:val="0"/>
    <w:rPr>
      <w:rFonts w:eastAsia="Times New Roman"/>
      <w:kern w:val="2"/>
      <w:sz w:val="24"/>
      <w:szCs w:val="24"/>
    </w:rPr>
  </w:style>
  <w:style w:type="paragraph" w:customStyle="1" w:styleId="578">
    <w:name w:val="666666-正文文本"/>
    <w:link w:val="577"/>
    <w:autoRedefine/>
    <w:qFormat/>
    <w:uiPriority w:val="0"/>
    <w:pPr>
      <w:autoSpaceDE w:val="0"/>
      <w:autoSpaceDN w:val="0"/>
      <w:adjustRightInd w:val="0"/>
      <w:spacing w:line="360" w:lineRule="auto"/>
      <w:ind w:firstLine="200" w:firstLineChars="200"/>
      <w:jc w:val="both"/>
    </w:pPr>
    <w:rPr>
      <w:rFonts w:ascii="Times New Roman" w:hAnsi="Times New Roman" w:eastAsia="Times New Roman" w:cs="Times New Roman"/>
      <w:kern w:val="2"/>
      <w:sz w:val="24"/>
      <w:szCs w:val="24"/>
      <w:lang w:val="en-US" w:eastAsia="zh-CN" w:bidi="ar-SA"/>
    </w:rPr>
  </w:style>
  <w:style w:type="character" w:customStyle="1" w:styleId="579">
    <w:name w:val="样式100仿宋_GB2312 Char Char"/>
    <w:link w:val="580"/>
    <w:autoRedefine/>
    <w:qFormat/>
    <w:uiPriority w:val="0"/>
    <w:rPr>
      <w:rFonts w:ascii="仿宋_GB2312" w:eastAsia="仿宋_GB2312"/>
      <w:kern w:val="2"/>
      <w:sz w:val="28"/>
      <w:szCs w:val="28"/>
    </w:rPr>
  </w:style>
  <w:style w:type="paragraph" w:customStyle="1" w:styleId="580">
    <w:name w:val="样式100仿宋_GB2312"/>
    <w:basedOn w:val="1"/>
    <w:link w:val="579"/>
    <w:autoRedefine/>
    <w:qFormat/>
    <w:uiPriority w:val="0"/>
    <w:pPr>
      <w:topLinePunct/>
      <w:adjustRightInd w:val="0"/>
      <w:snapToGrid w:val="0"/>
      <w:spacing w:line="520" w:lineRule="exact"/>
      <w:ind w:firstLine="200" w:firstLineChars="200"/>
    </w:pPr>
    <w:rPr>
      <w:rFonts w:ascii="仿宋_GB2312" w:eastAsia="仿宋_GB2312" w:cs="Times New Roman"/>
      <w:sz w:val="28"/>
      <w:szCs w:val="28"/>
    </w:rPr>
  </w:style>
  <w:style w:type="character" w:customStyle="1" w:styleId="581">
    <w:name w:val="样式 首行缩进:  1 字符 Char"/>
    <w:link w:val="582"/>
    <w:autoRedefine/>
    <w:qFormat/>
    <w:uiPriority w:val="0"/>
    <w:rPr>
      <w:kern w:val="2"/>
      <w:sz w:val="24"/>
    </w:rPr>
  </w:style>
  <w:style w:type="paragraph" w:customStyle="1" w:styleId="582">
    <w:name w:val="样式 首行缩进:  1 字符"/>
    <w:basedOn w:val="1"/>
    <w:link w:val="581"/>
    <w:autoRedefine/>
    <w:qFormat/>
    <w:uiPriority w:val="0"/>
    <w:pPr>
      <w:spacing w:line="240" w:lineRule="auto"/>
      <w:ind w:firstLine="200" w:firstLineChars="200"/>
    </w:pPr>
    <w:rPr>
      <w:rFonts w:cs="Times New Roman"/>
      <w:szCs w:val="20"/>
    </w:rPr>
  </w:style>
  <w:style w:type="character" w:customStyle="1" w:styleId="583">
    <w:name w:val="内苡 Char"/>
    <w:link w:val="584"/>
    <w:autoRedefine/>
    <w:semiHidden/>
    <w:qFormat/>
    <w:uiPriority w:val="0"/>
    <w:rPr>
      <w:rFonts w:ascii="宋体" w:hAnsi="宋体"/>
      <w:kern w:val="2"/>
      <w:sz w:val="28"/>
      <w:szCs w:val="28"/>
    </w:rPr>
  </w:style>
  <w:style w:type="paragraph" w:customStyle="1" w:styleId="584">
    <w:name w:val="内苡"/>
    <w:basedOn w:val="1"/>
    <w:link w:val="583"/>
    <w:autoRedefine/>
    <w:semiHidden/>
    <w:qFormat/>
    <w:uiPriority w:val="0"/>
    <w:pPr>
      <w:spacing w:line="240" w:lineRule="auto"/>
      <w:ind w:firstLine="560" w:firstLineChars="200"/>
    </w:pPr>
    <w:rPr>
      <w:rFonts w:cs="Times New Roman"/>
      <w:sz w:val="28"/>
      <w:szCs w:val="28"/>
    </w:rPr>
  </w:style>
  <w:style w:type="character" w:customStyle="1" w:styleId="585">
    <w:name w:val="表格YHY Char"/>
    <w:link w:val="586"/>
    <w:autoRedefine/>
    <w:qFormat/>
    <w:uiPriority w:val="0"/>
    <w:rPr>
      <w:bCs/>
      <w:szCs w:val="21"/>
    </w:rPr>
  </w:style>
  <w:style w:type="paragraph" w:customStyle="1" w:styleId="586">
    <w:name w:val="表格YHY"/>
    <w:basedOn w:val="1"/>
    <w:link w:val="585"/>
    <w:autoRedefine/>
    <w:qFormat/>
    <w:uiPriority w:val="0"/>
    <w:pPr>
      <w:spacing w:line="240" w:lineRule="auto"/>
    </w:pPr>
    <w:rPr>
      <w:rFonts w:cs="Times New Roman"/>
      <w:bCs/>
      <w:kern w:val="0"/>
      <w:sz w:val="20"/>
      <w:szCs w:val="21"/>
    </w:rPr>
  </w:style>
  <w:style w:type="character" w:customStyle="1" w:styleId="587">
    <w:name w:val="脚注文本 Char"/>
    <w:link w:val="53"/>
    <w:autoRedefine/>
    <w:qFormat/>
    <w:uiPriority w:val="0"/>
    <w:rPr>
      <w:rFonts w:ascii="宋体"/>
      <w:sz w:val="18"/>
    </w:rPr>
  </w:style>
  <w:style w:type="character" w:customStyle="1" w:styleId="588">
    <w:name w:val="脚注文本 Char1"/>
    <w:basedOn w:val="76"/>
    <w:autoRedefine/>
    <w:qFormat/>
    <w:uiPriority w:val="99"/>
    <w:rPr>
      <w:rFonts w:eastAsia="新宋体" w:cstheme="minorBidi"/>
      <w:kern w:val="2"/>
      <w:sz w:val="18"/>
      <w:szCs w:val="18"/>
    </w:rPr>
  </w:style>
  <w:style w:type="character" w:customStyle="1" w:styleId="589">
    <w:name w:val="宏文本 Char"/>
    <w:link w:val="2"/>
    <w:autoRedefine/>
    <w:qFormat/>
    <w:uiPriority w:val="0"/>
    <w:rPr>
      <w:rFonts w:ascii="Arial" w:hAnsi="Arial" w:eastAsia="黑体"/>
      <w:b/>
      <w:bCs/>
      <w:kern w:val="2"/>
      <w:sz w:val="32"/>
      <w:szCs w:val="32"/>
    </w:rPr>
  </w:style>
  <w:style w:type="character" w:customStyle="1" w:styleId="590">
    <w:name w:val="宏文本 Char1"/>
    <w:basedOn w:val="76"/>
    <w:autoRedefine/>
    <w:qFormat/>
    <w:uiPriority w:val="99"/>
    <w:rPr>
      <w:rFonts w:ascii="Courier New" w:hAnsi="Courier New" w:cs="Courier New"/>
      <w:kern w:val="2"/>
      <w:sz w:val="24"/>
      <w:szCs w:val="24"/>
    </w:rPr>
  </w:style>
  <w:style w:type="character" w:customStyle="1" w:styleId="591">
    <w:name w:val="样式 标题 3三级标题三级标题1标题 3 Char1三级标题2三级标题3三级标题4三级标题5标题 3 Char2... Char"/>
    <w:link w:val="592"/>
    <w:autoRedefine/>
    <w:qFormat/>
    <w:uiPriority w:val="0"/>
    <w:rPr>
      <w:rFonts w:ascii="黑体" w:eastAsia="黑体"/>
      <w:b/>
      <w:bCs/>
      <w:color w:val="000000"/>
      <w:sz w:val="28"/>
      <w:szCs w:val="28"/>
    </w:rPr>
  </w:style>
  <w:style w:type="paragraph" w:customStyle="1" w:styleId="592">
    <w:name w:val="样式 标题 3三级标题三级标题1标题 3 Char1三级标题2三级标题3三级标题4三级标题5标题 3 Char2..."/>
    <w:basedOn w:val="5"/>
    <w:link w:val="591"/>
    <w:autoRedefine/>
    <w:qFormat/>
    <w:uiPriority w:val="0"/>
    <w:pPr>
      <w:spacing w:before="20" w:after="20" w:line="360" w:lineRule="auto"/>
      <w:ind w:left="720" w:hanging="720"/>
      <w:jc w:val="left"/>
    </w:pPr>
    <w:rPr>
      <w:rFonts w:ascii="黑体" w:eastAsia="黑体" w:cs="Times New Roman"/>
      <w:bCs/>
      <w:color w:val="000000"/>
      <w:kern w:val="0"/>
      <w:sz w:val="28"/>
      <w:szCs w:val="28"/>
    </w:rPr>
  </w:style>
  <w:style w:type="character" w:customStyle="1" w:styleId="593">
    <w:name w:val="标题5 Char"/>
    <w:link w:val="594"/>
    <w:autoRedefine/>
    <w:qFormat/>
    <w:uiPriority w:val="0"/>
    <w:rPr>
      <w:rFonts w:ascii="宋体" w:hAnsi="宋体"/>
      <w:sz w:val="28"/>
      <w:szCs w:val="21"/>
    </w:rPr>
  </w:style>
  <w:style w:type="paragraph" w:customStyle="1" w:styleId="594">
    <w:name w:val="标题5"/>
    <w:basedOn w:val="1"/>
    <w:next w:val="1"/>
    <w:link w:val="593"/>
    <w:autoRedefine/>
    <w:qFormat/>
    <w:uiPriority w:val="0"/>
    <w:pPr>
      <w:keepNext/>
      <w:adjustRightInd w:val="0"/>
      <w:snapToGrid w:val="0"/>
      <w:ind w:firstLine="567"/>
      <w:outlineLvl w:val="4"/>
    </w:pPr>
    <w:rPr>
      <w:rFonts w:cs="Times New Roman"/>
      <w:kern w:val="0"/>
      <w:sz w:val="28"/>
      <w:szCs w:val="21"/>
    </w:rPr>
  </w:style>
  <w:style w:type="character" w:customStyle="1" w:styleId="595">
    <w:name w:val="lff Char"/>
    <w:link w:val="596"/>
    <w:autoRedefine/>
    <w:qFormat/>
    <w:uiPriority w:val="0"/>
    <w:rPr>
      <w:rFonts w:eastAsia="仿宋_GB2312"/>
      <w:sz w:val="24"/>
      <w:szCs w:val="24"/>
    </w:rPr>
  </w:style>
  <w:style w:type="paragraph" w:customStyle="1" w:styleId="596">
    <w:name w:val="lff"/>
    <w:basedOn w:val="67"/>
    <w:link w:val="595"/>
    <w:autoRedefine/>
    <w:qFormat/>
    <w:uiPriority w:val="0"/>
    <w:pPr>
      <w:snapToGrid w:val="0"/>
      <w:spacing w:after="0"/>
      <w:ind w:firstLine="480" w:firstLineChars="200"/>
    </w:pPr>
    <w:rPr>
      <w:rFonts w:eastAsia="仿宋_GB2312" w:cs="Times New Roman"/>
      <w:kern w:val="0"/>
    </w:rPr>
  </w:style>
  <w:style w:type="character" w:customStyle="1" w:styleId="597">
    <w:name w:val="样1 Char"/>
    <w:link w:val="598"/>
    <w:autoRedefine/>
    <w:qFormat/>
    <w:uiPriority w:val="0"/>
    <w:rPr>
      <w:sz w:val="24"/>
    </w:rPr>
  </w:style>
  <w:style w:type="paragraph" w:customStyle="1" w:styleId="598">
    <w:name w:val="样1"/>
    <w:basedOn w:val="1"/>
    <w:link w:val="597"/>
    <w:autoRedefine/>
    <w:qFormat/>
    <w:uiPriority w:val="0"/>
    <w:pPr>
      <w:autoSpaceDE w:val="0"/>
      <w:autoSpaceDN w:val="0"/>
      <w:adjustRightInd w:val="0"/>
      <w:ind w:right="232"/>
      <w:textAlignment w:val="bottom"/>
    </w:pPr>
    <w:rPr>
      <w:rFonts w:cs="Times New Roman"/>
      <w:kern w:val="0"/>
      <w:szCs w:val="20"/>
    </w:rPr>
  </w:style>
  <w:style w:type="character" w:customStyle="1" w:styleId="599">
    <w:name w:val="表文 Char2"/>
    <w:link w:val="600"/>
    <w:autoRedefine/>
    <w:qFormat/>
    <w:uiPriority w:val="0"/>
    <w:rPr>
      <w:bCs/>
      <w:snapToGrid w:val="0"/>
      <w:color w:val="FF0000"/>
      <w:kern w:val="28"/>
      <w:sz w:val="24"/>
    </w:rPr>
  </w:style>
  <w:style w:type="paragraph" w:customStyle="1" w:styleId="600">
    <w:name w:val="表文"/>
    <w:basedOn w:val="1"/>
    <w:link w:val="599"/>
    <w:autoRedefine/>
    <w:qFormat/>
    <w:uiPriority w:val="0"/>
    <w:pPr>
      <w:spacing w:line="240" w:lineRule="auto"/>
    </w:pPr>
    <w:rPr>
      <w:rFonts w:cs="Times New Roman"/>
      <w:bCs/>
      <w:snapToGrid w:val="0"/>
      <w:color w:val="FF0000"/>
      <w:kern w:val="28"/>
      <w:szCs w:val="20"/>
    </w:rPr>
  </w:style>
  <w:style w:type="character" w:customStyle="1" w:styleId="601">
    <w:name w:val="缅正文 Char"/>
    <w:link w:val="602"/>
    <w:autoRedefine/>
    <w:qFormat/>
    <w:uiPriority w:val="0"/>
    <w:rPr>
      <w:kern w:val="2"/>
      <w:sz w:val="24"/>
      <w:szCs w:val="24"/>
    </w:rPr>
  </w:style>
  <w:style w:type="paragraph" w:customStyle="1" w:styleId="602">
    <w:name w:val="缅正文"/>
    <w:basedOn w:val="69"/>
    <w:link w:val="601"/>
    <w:autoRedefine/>
    <w:qFormat/>
    <w:uiPriority w:val="0"/>
    <w:pPr>
      <w:spacing w:after="0" w:line="360" w:lineRule="auto"/>
      <w:ind w:firstLine="200"/>
    </w:pPr>
    <w:rPr>
      <w:rFonts w:eastAsia="宋体"/>
      <w:snapToGrid/>
      <w:color w:val="auto"/>
      <w:sz w:val="24"/>
      <w:szCs w:val="24"/>
    </w:rPr>
  </w:style>
  <w:style w:type="character" w:customStyle="1" w:styleId="603">
    <w:name w:val="样式10 Char"/>
    <w:link w:val="604"/>
    <w:autoRedefine/>
    <w:qFormat/>
    <w:uiPriority w:val="0"/>
    <w:rPr>
      <w:rFonts w:eastAsia="黑体"/>
      <w:b/>
      <w:bCs/>
      <w:kern w:val="2"/>
      <w:sz w:val="24"/>
      <w:szCs w:val="24"/>
    </w:rPr>
  </w:style>
  <w:style w:type="paragraph" w:customStyle="1" w:styleId="604">
    <w:name w:val="样式10"/>
    <w:basedOn w:val="5"/>
    <w:link w:val="603"/>
    <w:autoRedefine/>
    <w:qFormat/>
    <w:uiPriority w:val="0"/>
    <w:pPr>
      <w:snapToGrid w:val="0"/>
      <w:spacing w:line="360" w:lineRule="auto"/>
    </w:pPr>
    <w:rPr>
      <w:rFonts w:eastAsia="黑体" w:cs="Times New Roman"/>
      <w:bCs/>
      <w:sz w:val="24"/>
    </w:rPr>
  </w:style>
  <w:style w:type="character" w:customStyle="1" w:styleId="605">
    <w:name w:val="尾注文本 Char"/>
    <w:link w:val="42"/>
    <w:autoRedefine/>
    <w:qFormat/>
    <w:uiPriority w:val="0"/>
    <w:rPr>
      <w:szCs w:val="24"/>
    </w:rPr>
  </w:style>
  <w:style w:type="character" w:customStyle="1" w:styleId="606">
    <w:name w:val="尾注文本 Char1"/>
    <w:basedOn w:val="76"/>
    <w:autoRedefine/>
    <w:qFormat/>
    <w:uiPriority w:val="99"/>
    <w:rPr>
      <w:rFonts w:eastAsia="新宋体" w:cstheme="minorBidi"/>
      <w:kern w:val="2"/>
      <w:sz w:val="24"/>
      <w:szCs w:val="24"/>
    </w:rPr>
  </w:style>
  <w:style w:type="character" w:customStyle="1" w:styleId="607">
    <w:name w:val="HTML 地址 Char"/>
    <w:link w:val="33"/>
    <w:autoRedefine/>
    <w:qFormat/>
    <w:uiPriority w:val="0"/>
    <w:rPr>
      <w:i/>
      <w:iCs/>
      <w:szCs w:val="24"/>
    </w:rPr>
  </w:style>
  <w:style w:type="character" w:customStyle="1" w:styleId="608">
    <w:name w:val="HTML 地址 Char1"/>
    <w:basedOn w:val="76"/>
    <w:autoRedefine/>
    <w:qFormat/>
    <w:uiPriority w:val="99"/>
    <w:rPr>
      <w:rFonts w:eastAsia="新宋体" w:cstheme="minorBidi"/>
      <w:i/>
      <w:iCs/>
      <w:kern w:val="2"/>
      <w:sz w:val="24"/>
      <w:szCs w:val="24"/>
    </w:rPr>
  </w:style>
  <w:style w:type="character" w:customStyle="1" w:styleId="609">
    <w:name w:val="样式 正文文本缩进特点标题表格标题文本条款正文（首行缩进两字） Char标题4 Char标题4 Char Char ... Char"/>
    <w:link w:val="610"/>
    <w:autoRedefine/>
    <w:semiHidden/>
    <w:qFormat/>
    <w:uiPriority w:val="0"/>
    <w:rPr>
      <w:rFonts w:ascii="仿宋_GB2312" w:hAnsi="仿宋_GB2312" w:eastAsia="仿宋_GB2312"/>
      <w:kern w:val="2"/>
      <w:sz w:val="24"/>
      <w:szCs w:val="24"/>
    </w:rPr>
  </w:style>
  <w:style w:type="paragraph" w:customStyle="1" w:styleId="610">
    <w:name w:val="样式 正文文本缩进特点标题表格标题文本条款正文（首行缩进两字） Char标题4 Char标题4 Char Char ..."/>
    <w:basedOn w:val="27"/>
    <w:link w:val="609"/>
    <w:autoRedefine/>
    <w:semiHidden/>
    <w:qFormat/>
    <w:uiPriority w:val="0"/>
    <w:pPr>
      <w:tabs>
        <w:tab w:val="left" w:pos="2370"/>
      </w:tabs>
      <w:spacing w:after="0" w:line="420" w:lineRule="exact"/>
      <w:ind w:left="0" w:leftChars="0" w:firstLine="200" w:firstLineChars="200"/>
    </w:pPr>
    <w:rPr>
      <w:rFonts w:ascii="仿宋_GB2312" w:hAnsi="仿宋_GB2312" w:eastAsia="仿宋_GB2312" w:cs="Times New Roman"/>
    </w:rPr>
  </w:style>
  <w:style w:type="character" w:customStyle="1" w:styleId="611">
    <w:name w:val="hb2 Char"/>
    <w:link w:val="612"/>
    <w:autoRedefine/>
    <w:qFormat/>
    <w:uiPriority w:val="0"/>
    <w:rPr>
      <w:rFonts w:ascii="宋体" w:hAnsi="宋体"/>
      <w:b/>
      <w:bCs/>
      <w:sz w:val="28"/>
      <w:szCs w:val="28"/>
      <w:lang w:val="en-GB"/>
    </w:rPr>
  </w:style>
  <w:style w:type="paragraph" w:customStyle="1" w:styleId="612">
    <w:name w:val="hb2"/>
    <w:basedOn w:val="4"/>
    <w:link w:val="611"/>
    <w:autoRedefine/>
    <w:qFormat/>
    <w:uiPriority w:val="0"/>
    <w:pPr>
      <w:topLinePunct/>
      <w:spacing w:before="480" w:after="480" w:line="416" w:lineRule="atLeast"/>
      <w:jc w:val="left"/>
      <w:textAlignment w:val="baseline"/>
    </w:pPr>
    <w:rPr>
      <w:rFonts w:ascii="宋体" w:hAnsi="宋体" w:eastAsia="宋体" w:cs="Times New Roman"/>
      <w:bCs/>
      <w:kern w:val="0"/>
      <w:sz w:val="28"/>
      <w:szCs w:val="28"/>
      <w:lang w:val="en-GB"/>
    </w:rPr>
  </w:style>
  <w:style w:type="character" w:customStyle="1" w:styleId="613">
    <w:name w:val="图表名 Char"/>
    <w:link w:val="614"/>
    <w:autoRedefine/>
    <w:qFormat/>
    <w:uiPriority w:val="0"/>
    <w:rPr>
      <w:rFonts w:ascii="宋体" w:hAnsi="宋体"/>
      <w:b/>
      <w:kern w:val="2"/>
      <w:sz w:val="21"/>
      <w:szCs w:val="21"/>
    </w:rPr>
  </w:style>
  <w:style w:type="paragraph" w:customStyle="1" w:styleId="614">
    <w:name w:val="图表名"/>
    <w:basedOn w:val="1"/>
    <w:link w:val="613"/>
    <w:autoRedefine/>
    <w:qFormat/>
    <w:uiPriority w:val="0"/>
    <w:pPr>
      <w:spacing w:before="120" w:after="120" w:line="240" w:lineRule="exact"/>
    </w:pPr>
    <w:rPr>
      <w:rFonts w:cs="Times New Roman"/>
      <w:b/>
      <w:sz w:val="21"/>
      <w:szCs w:val="21"/>
    </w:rPr>
  </w:style>
  <w:style w:type="character" w:customStyle="1" w:styleId="615">
    <w:name w:val="表中文字 Char1"/>
    <w:link w:val="616"/>
    <w:autoRedefine/>
    <w:qFormat/>
    <w:uiPriority w:val="0"/>
  </w:style>
  <w:style w:type="paragraph" w:customStyle="1" w:styleId="616">
    <w:name w:val="表中文字"/>
    <w:basedOn w:val="1"/>
    <w:link w:val="615"/>
    <w:autoRedefine/>
    <w:qFormat/>
    <w:uiPriority w:val="0"/>
    <w:pPr>
      <w:spacing w:line="240" w:lineRule="auto"/>
    </w:pPr>
    <w:rPr>
      <w:rFonts w:cs="Times New Roman"/>
      <w:kern w:val="0"/>
      <w:sz w:val="20"/>
      <w:szCs w:val="20"/>
    </w:rPr>
  </w:style>
  <w:style w:type="character" w:customStyle="1" w:styleId="617">
    <w:name w:val="1-正文 Char"/>
    <w:link w:val="618"/>
    <w:autoRedefine/>
    <w:qFormat/>
    <w:uiPriority w:val="0"/>
    <w:rPr>
      <w:rFonts w:ascii="宋体" w:hAnsi="宋体"/>
      <w:sz w:val="24"/>
      <w:szCs w:val="24"/>
    </w:rPr>
  </w:style>
  <w:style w:type="paragraph" w:customStyle="1" w:styleId="618">
    <w:name w:val="1-正文"/>
    <w:basedOn w:val="1"/>
    <w:link w:val="617"/>
    <w:autoRedefine/>
    <w:qFormat/>
    <w:uiPriority w:val="0"/>
    <w:pPr>
      <w:ind w:firstLine="200" w:firstLineChars="200"/>
    </w:pPr>
    <w:rPr>
      <w:rFonts w:cs="Times New Roman"/>
      <w:kern w:val="0"/>
    </w:rPr>
  </w:style>
  <w:style w:type="character" w:customStyle="1" w:styleId="619">
    <w:name w:val="样式 题注实德题注题注 Char Char Char题注 Char Char Char Char Char Char题注...1 Char"/>
    <w:link w:val="620"/>
    <w:autoRedefine/>
    <w:qFormat/>
    <w:uiPriority w:val="0"/>
    <w:rPr>
      <w:rFonts w:ascii="Arial" w:hAnsi="Arial" w:eastAsia="黑体"/>
      <w:sz w:val="24"/>
    </w:rPr>
  </w:style>
  <w:style w:type="paragraph" w:customStyle="1" w:styleId="620">
    <w:name w:val="样式 题注实德题注题注 Char Char Char题注 Char Char Char Char Char Char题注...1"/>
    <w:basedOn w:val="18"/>
    <w:link w:val="619"/>
    <w:autoRedefine/>
    <w:qFormat/>
    <w:uiPriority w:val="0"/>
    <w:pPr>
      <w:spacing w:line="360" w:lineRule="auto"/>
    </w:pPr>
    <w:rPr>
      <w:sz w:val="24"/>
      <w:lang w:val="en-US"/>
    </w:rPr>
  </w:style>
  <w:style w:type="character" w:customStyle="1" w:styleId="621">
    <w:name w:val="标题 3，BSH-3条标题1.1.1 Char Char"/>
    <w:link w:val="622"/>
    <w:autoRedefine/>
    <w:qFormat/>
    <w:uiPriority w:val="0"/>
    <w:rPr>
      <w:rFonts w:ascii="宋体" w:hAnsi="宋体"/>
      <w:caps/>
      <w:sz w:val="24"/>
      <w:szCs w:val="24"/>
    </w:rPr>
  </w:style>
  <w:style w:type="paragraph" w:customStyle="1" w:styleId="622">
    <w:name w:val="标题 3，BSH-3条标题1.1.1"/>
    <w:basedOn w:val="5"/>
    <w:link w:val="621"/>
    <w:autoRedefine/>
    <w:qFormat/>
    <w:uiPriority w:val="0"/>
    <w:pPr>
      <w:spacing w:line="360" w:lineRule="auto"/>
      <w:jc w:val="left"/>
      <w:outlineLvl w:val="9"/>
    </w:pPr>
    <w:rPr>
      <w:rFonts w:cs="Times New Roman"/>
      <w:b w:val="0"/>
      <w:caps/>
      <w:kern w:val="0"/>
      <w:sz w:val="24"/>
    </w:rPr>
  </w:style>
  <w:style w:type="character" w:customStyle="1" w:styleId="623">
    <w:name w:val="表格1 Char"/>
    <w:link w:val="624"/>
    <w:autoRedefine/>
    <w:qFormat/>
    <w:uiPriority w:val="0"/>
    <w:rPr>
      <w:rFonts w:eastAsia="黑体"/>
      <w:spacing w:val="6"/>
    </w:rPr>
  </w:style>
  <w:style w:type="paragraph" w:customStyle="1" w:styleId="624">
    <w:name w:val="表格1"/>
    <w:basedOn w:val="1"/>
    <w:link w:val="623"/>
    <w:autoRedefine/>
    <w:qFormat/>
    <w:uiPriority w:val="0"/>
    <w:pPr>
      <w:adjustRightInd w:val="0"/>
      <w:snapToGrid w:val="0"/>
      <w:spacing w:line="240" w:lineRule="auto"/>
      <w:textAlignment w:val="baseline"/>
    </w:pPr>
    <w:rPr>
      <w:rFonts w:eastAsia="黑体" w:cs="Times New Roman"/>
      <w:spacing w:val="6"/>
      <w:kern w:val="0"/>
      <w:sz w:val="20"/>
      <w:szCs w:val="20"/>
    </w:rPr>
  </w:style>
  <w:style w:type="character" w:customStyle="1" w:styleId="625">
    <w:name w:val="标题三 Char"/>
    <w:link w:val="626"/>
    <w:autoRedefine/>
    <w:qFormat/>
    <w:uiPriority w:val="0"/>
    <w:rPr>
      <w:b/>
      <w:bCs/>
      <w:sz w:val="28"/>
      <w:szCs w:val="28"/>
    </w:rPr>
  </w:style>
  <w:style w:type="paragraph" w:customStyle="1" w:styleId="626">
    <w:name w:val="标题三"/>
    <w:basedOn w:val="5"/>
    <w:next w:val="1"/>
    <w:link w:val="625"/>
    <w:autoRedefine/>
    <w:qFormat/>
    <w:uiPriority w:val="0"/>
    <w:pPr>
      <w:widowControl/>
      <w:spacing w:line="360" w:lineRule="auto"/>
      <w:ind w:left="1701" w:hanging="1701"/>
      <w:jc w:val="left"/>
    </w:pPr>
    <w:rPr>
      <w:rFonts w:cs="Times New Roman"/>
      <w:bCs/>
      <w:kern w:val="0"/>
      <w:sz w:val="28"/>
      <w:szCs w:val="28"/>
    </w:rPr>
  </w:style>
  <w:style w:type="character" w:customStyle="1" w:styleId="627">
    <w:name w:val="图注 Char"/>
    <w:link w:val="628"/>
    <w:autoRedefine/>
    <w:qFormat/>
    <w:uiPriority w:val="0"/>
    <w:rPr>
      <w:rFonts w:ascii="宋体" w:hAnsi="宋体"/>
      <w:kern w:val="2"/>
      <w:sz w:val="24"/>
      <w:szCs w:val="28"/>
    </w:rPr>
  </w:style>
  <w:style w:type="paragraph" w:customStyle="1" w:styleId="628">
    <w:name w:val="图注"/>
    <w:basedOn w:val="26"/>
    <w:next w:val="37"/>
    <w:link w:val="627"/>
    <w:autoRedefine/>
    <w:qFormat/>
    <w:uiPriority w:val="0"/>
    <w:pPr>
      <w:ind w:firstLine="480" w:firstLineChars="200"/>
    </w:pPr>
    <w:rPr>
      <w:rFonts w:cs="Times New Roman"/>
      <w:szCs w:val="28"/>
      <w:lang w:val="en-US" w:bidi="ar-SA"/>
    </w:rPr>
  </w:style>
  <w:style w:type="character" w:customStyle="1" w:styleId="629">
    <w:name w:val="表格文字居中 Char1"/>
    <w:link w:val="630"/>
    <w:autoRedefine/>
    <w:qFormat/>
    <w:locked/>
    <w:uiPriority w:val="0"/>
    <w:rPr>
      <w:bCs/>
      <w:szCs w:val="24"/>
    </w:rPr>
  </w:style>
  <w:style w:type="paragraph" w:customStyle="1" w:styleId="630">
    <w:name w:val="表格文字居中"/>
    <w:basedOn w:val="67"/>
    <w:link w:val="629"/>
    <w:autoRedefine/>
    <w:qFormat/>
    <w:uiPriority w:val="0"/>
    <w:pPr>
      <w:tabs>
        <w:tab w:val="left" w:pos="628"/>
        <w:tab w:val="left" w:pos="1727"/>
        <w:tab w:val="left" w:pos="1884"/>
      </w:tabs>
      <w:snapToGrid w:val="0"/>
      <w:spacing w:after="0" w:line="240" w:lineRule="auto"/>
      <w:ind w:firstLine="0" w:firstLineChars="0"/>
    </w:pPr>
    <w:rPr>
      <w:rFonts w:eastAsia="宋体" w:cs="Times New Roman"/>
      <w:bCs/>
      <w:kern w:val="0"/>
      <w:sz w:val="20"/>
    </w:rPr>
  </w:style>
  <w:style w:type="character" w:customStyle="1" w:styleId="631">
    <w:name w:val="样式 样式 标题 3 + 宋体 小四 + 非加粗 Char"/>
    <w:link w:val="632"/>
    <w:autoRedefine/>
    <w:qFormat/>
    <w:uiPriority w:val="0"/>
    <w:rPr>
      <w:rFonts w:ascii="宋体" w:hAnsi="宋体"/>
      <w:bCs/>
      <w:i/>
      <w:iCs/>
      <w:kern w:val="2"/>
      <w:sz w:val="24"/>
      <w:szCs w:val="24"/>
      <w:lang w:eastAsia="en-US" w:bidi="en-US"/>
    </w:rPr>
  </w:style>
  <w:style w:type="paragraph" w:customStyle="1" w:styleId="632">
    <w:name w:val="样式 样式 标题 3 + 宋体 小四 + 非加粗"/>
    <w:basedOn w:val="6"/>
    <w:next w:val="6"/>
    <w:link w:val="631"/>
    <w:autoRedefine/>
    <w:qFormat/>
    <w:uiPriority w:val="0"/>
    <w:pPr>
      <w:widowControl/>
      <w:tabs>
        <w:tab w:val="clear" w:pos="525"/>
      </w:tabs>
      <w:snapToGrid w:val="0"/>
      <w:spacing w:before="200" w:after="80" w:line="240" w:lineRule="auto"/>
      <w:jc w:val="left"/>
    </w:pPr>
    <w:rPr>
      <w:rFonts w:eastAsia="宋体" w:cs="Times New Roman"/>
      <w:bCs/>
      <w:i/>
      <w:iCs/>
      <w:lang w:eastAsia="en-US" w:bidi="en-US"/>
    </w:rPr>
  </w:style>
  <w:style w:type="character" w:customStyle="1" w:styleId="633">
    <w:name w:val="body-font"/>
    <w:autoRedefine/>
    <w:qFormat/>
    <w:uiPriority w:val="0"/>
  </w:style>
  <w:style w:type="character" w:customStyle="1" w:styleId="634">
    <w:name w:val="022 Char"/>
    <w:link w:val="635"/>
    <w:autoRedefine/>
    <w:qFormat/>
    <w:uiPriority w:val="0"/>
    <w:rPr>
      <w:rFonts w:ascii="宋体" w:hAnsi="Courier New"/>
      <w:sz w:val="24"/>
      <w:szCs w:val="24"/>
    </w:rPr>
  </w:style>
  <w:style w:type="paragraph" w:customStyle="1" w:styleId="635">
    <w:name w:val="022"/>
    <w:basedOn w:val="1"/>
    <w:link w:val="634"/>
    <w:autoRedefine/>
    <w:qFormat/>
    <w:uiPriority w:val="0"/>
    <w:pPr>
      <w:ind w:firstLine="480" w:firstLineChars="200"/>
    </w:pPr>
    <w:rPr>
      <w:rFonts w:hAnsi="Courier New" w:cs="Times New Roman"/>
      <w:kern w:val="0"/>
    </w:rPr>
  </w:style>
  <w:style w:type="character" w:customStyle="1" w:styleId="636">
    <w:name w:val="表题 Char Char Char"/>
    <w:link w:val="637"/>
    <w:autoRedefine/>
    <w:qFormat/>
    <w:uiPriority w:val="0"/>
    <w:rPr>
      <w:rFonts w:ascii="宋体" w:hAnsi="宋体"/>
      <w:bCs/>
      <w:kern w:val="2"/>
      <w:sz w:val="24"/>
      <w:szCs w:val="24"/>
    </w:rPr>
  </w:style>
  <w:style w:type="paragraph" w:customStyle="1" w:styleId="637">
    <w:name w:val="表题 Char Char"/>
    <w:basedOn w:val="1"/>
    <w:link w:val="636"/>
    <w:autoRedefine/>
    <w:qFormat/>
    <w:uiPriority w:val="0"/>
    <w:pPr>
      <w:ind w:firstLine="480" w:firstLineChars="200"/>
    </w:pPr>
    <w:rPr>
      <w:rFonts w:cs="Times New Roman"/>
      <w:bCs/>
    </w:rPr>
  </w:style>
  <w:style w:type="character" w:customStyle="1" w:styleId="638">
    <w:name w:val="x文 Char Char"/>
    <w:link w:val="639"/>
    <w:autoRedefine/>
    <w:qFormat/>
    <w:uiPriority w:val="0"/>
    <w:rPr>
      <w:rFonts w:ascii="宋体" w:hAnsi="宋体"/>
      <w:kern w:val="2"/>
      <w:sz w:val="24"/>
      <w:szCs w:val="24"/>
    </w:rPr>
  </w:style>
  <w:style w:type="paragraph" w:customStyle="1" w:styleId="639">
    <w:name w:val="x文"/>
    <w:basedOn w:val="1"/>
    <w:link w:val="638"/>
    <w:autoRedefine/>
    <w:qFormat/>
    <w:uiPriority w:val="0"/>
    <w:pPr>
      <w:ind w:firstLine="480" w:firstLineChars="200"/>
    </w:pPr>
    <w:rPr>
      <w:rFonts w:cs="Times New Roman"/>
    </w:rPr>
  </w:style>
  <w:style w:type="character" w:customStyle="1" w:styleId="640">
    <w:name w:val="标题6 Char"/>
    <w:link w:val="641"/>
    <w:autoRedefine/>
    <w:qFormat/>
    <w:uiPriority w:val="0"/>
    <w:rPr>
      <w:sz w:val="28"/>
      <w:szCs w:val="21"/>
    </w:rPr>
  </w:style>
  <w:style w:type="paragraph" w:customStyle="1" w:styleId="641">
    <w:name w:val="标题6"/>
    <w:basedOn w:val="1"/>
    <w:next w:val="1"/>
    <w:link w:val="640"/>
    <w:autoRedefine/>
    <w:qFormat/>
    <w:uiPriority w:val="0"/>
    <w:pPr>
      <w:keepNext/>
      <w:adjustRightInd w:val="0"/>
      <w:snapToGrid w:val="0"/>
      <w:ind w:firstLine="567"/>
      <w:outlineLvl w:val="5"/>
    </w:pPr>
    <w:rPr>
      <w:rFonts w:cs="Times New Roman"/>
      <w:kern w:val="0"/>
      <w:sz w:val="28"/>
      <w:szCs w:val="21"/>
    </w:rPr>
  </w:style>
  <w:style w:type="character" w:customStyle="1" w:styleId="642">
    <w:name w:val="表文字 Char1"/>
    <w:link w:val="643"/>
    <w:autoRedefine/>
    <w:qFormat/>
    <w:uiPriority w:val="0"/>
    <w:rPr>
      <w:sz w:val="24"/>
    </w:rPr>
  </w:style>
  <w:style w:type="paragraph" w:customStyle="1" w:styleId="643">
    <w:name w:val="表文字"/>
    <w:basedOn w:val="1"/>
    <w:link w:val="642"/>
    <w:autoRedefine/>
    <w:qFormat/>
    <w:uiPriority w:val="0"/>
    <w:pPr>
      <w:overflowPunct w:val="0"/>
      <w:autoSpaceDE w:val="0"/>
      <w:autoSpaceDN w:val="0"/>
      <w:adjustRightInd w:val="0"/>
      <w:spacing w:line="240" w:lineRule="atLeast"/>
      <w:textAlignment w:val="baseline"/>
    </w:pPr>
    <w:rPr>
      <w:rFonts w:cs="Times New Roman"/>
      <w:kern w:val="0"/>
      <w:szCs w:val="20"/>
    </w:rPr>
  </w:style>
  <w:style w:type="character" w:customStyle="1" w:styleId="644">
    <w:name w:val="样式 表头 Char"/>
    <w:link w:val="645"/>
    <w:autoRedefine/>
    <w:qFormat/>
    <w:uiPriority w:val="0"/>
    <w:rPr>
      <w:rFonts w:ascii="黑体" w:eastAsia="黑体"/>
      <w:kern w:val="2"/>
      <w:sz w:val="21"/>
    </w:rPr>
  </w:style>
  <w:style w:type="paragraph" w:customStyle="1" w:styleId="645">
    <w:name w:val="样式 表头"/>
    <w:basedOn w:val="1"/>
    <w:link w:val="644"/>
    <w:autoRedefine/>
    <w:qFormat/>
    <w:uiPriority w:val="0"/>
    <w:pPr>
      <w:spacing w:line="460" w:lineRule="exact"/>
    </w:pPr>
    <w:rPr>
      <w:rFonts w:ascii="黑体" w:eastAsia="黑体" w:cs="Times New Roman"/>
      <w:sz w:val="21"/>
      <w:szCs w:val="20"/>
    </w:rPr>
  </w:style>
  <w:style w:type="character" w:customStyle="1" w:styleId="646">
    <w:name w:val="表头S Char"/>
    <w:link w:val="647"/>
    <w:autoRedefine/>
    <w:qFormat/>
    <w:uiPriority w:val="0"/>
    <w:rPr>
      <w:rFonts w:eastAsia="黑体"/>
      <w:b/>
      <w:snapToGrid w:val="0"/>
    </w:rPr>
  </w:style>
  <w:style w:type="paragraph" w:customStyle="1" w:styleId="647">
    <w:name w:val="表头S"/>
    <w:basedOn w:val="7"/>
    <w:next w:val="345"/>
    <w:link w:val="646"/>
    <w:autoRedefine/>
    <w:qFormat/>
    <w:uiPriority w:val="0"/>
    <w:pPr>
      <w:keepNext/>
      <w:keepLines/>
      <w:tabs>
        <w:tab w:val="left" w:pos="1008"/>
      </w:tabs>
      <w:adjustRightInd w:val="0"/>
      <w:ind w:left="1008" w:hanging="1008"/>
    </w:pPr>
    <w:rPr>
      <w:rFonts w:ascii="Times New Roman" w:hAnsi="Times New Roman" w:eastAsia="黑体" w:cs="Times New Roman"/>
      <w:bCs w:val="0"/>
      <w:snapToGrid w:val="0"/>
      <w:kern w:val="0"/>
      <w:sz w:val="20"/>
      <w:szCs w:val="20"/>
      <w:lang w:val="en-US" w:bidi="ar-SA"/>
    </w:rPr>
  </w:style>
  <w:style w:type="character" w:customStyle="1" w:styleId="648">
    <w:name w:val="电子邮件签名 Char"/>
    <w:link w:val="16"/>
    <w:autoRedefine/>
    <w:qFormat/>
    <w:uiPriority w:val="0"/>
    <w:rPr>
      <w:szCs w:val="24"/>
    </w:rPr>
  </w:style>
  <w:style w:type="character" w:customStyle="1" w:styleId="649">
    <w:name w:val="电子邮件签名 Char1"/>
    <w:basedOn w:val="76"/>
    <w:autoRedefine/>
    <w:qFormat/>
    <w:uiPriority w:val="99"/>
    <w:rPr>
      <w:rFonts w:eastAsia="新宋体" w:cstheme="minorBidi"/>
      <w:kern w:val="2"/>
      <w:sz w:val="24"/>
      <w:szCs w:val="24"/>
    </w:rPr>
  </w:style>
  <w:style w:type="character" w:customStyle="1" w:styleId="650">
    <w:name w:val="font41"/>
    <w:autoRedefine/>
    <w:qFormat/>
    <w:uiPriority w:val="0"/>
    <w:rPr>
      <w:rFonts w:hint="default" w:ascii="Times New Roman" w:hAnsi="Times New Roman" w:cs="Times New Roman"/>
      <w:color w:val="FF0000"/>
      <w:sz w:val="21"/>
      <w:szCs w:val="21"/>
      <w:u w:val="none"/>
    </w:rPr>
  </w:style>
  <w:style w:type="character" w:customStyle="1" w:styleId="651">
    <w:name w:val="页脚 Char2"/>
    <w:autoRedefine/>
    <w:qFormat/>
    <w:uiPriority w:val="0"/>
    <w:rPr>
      <w:rFonts w:ascii="Times New Roman" w:hAnsi="Times New Roman" w:eastAsia="宋体" w:cs="Times New Roman"/>
      <w:kern w:val="2"/>
      <w:sz w:val="18"/>
      <w:lang w:val="en-US" w:eastAsia="zh-CN" w:bidi="ar-SA"/>
    </w:rPr>
  </w:style>
  <w:style w:type="character" w:customStyle="1" w:styleId="652">
    <w:name w:val="标题 1 Char1"/>
    <w:autoRedefine/>
    <w:qFormat/>
    <w:uiPriority w:val="0"/>
    <w:rPr>
      <w:rFonts w:ascii="宋体" w:hAnsi="Times New Roman" w:eastAsia="宋体" w:cs="Times New Roman"/>
      <w:kern w:val="2"/>
      <w:sz w:val="28"/>
      <w:lang w:val="en-US" w:eastAsia="zh-CN" w:bidi="ar-SA"/>
    </w:rPr>
  </w:style>
  <w:style w:type="character" w:customStyle="1" w:styleId="653">
    <w:name w:val="页脚 Char1"/>
    <w:autoRedefine/>
    <w:qFormat/>
    <w:uiPriority w:val="0"/>
    <w:rPr>
      <w:rFonts w:ascii="Times New Roman" w:hAnsi="Times New Roman" w:eastAsia="宋体" w:cs="Times New Roman"/>
      <w:kern w:val="2"/>
      <w:sz w:val="18"/>
      <w:lang w:val="en-US" w:eastAsia="zh-CN" w:bidi="ar-SA"/>
    </w:rPr>
  </w:style>
  <w:style w:type="character" w:customStyle="1" w:styleId="654">
    <w:name w:val="unnamed11"/>
    <w:autoRedefine/>
    <w:qFormat/>
    <w:uiPriority w:val="0"/>
    <w:rPr>
      <w:rFonts w:ascii="Times New Roman" w:hAnsi="Times New Roman" w:eastAsia="宋体" w:cs="Times New Roman"/>
      <w:sz w:val="28"/>
      <w:szCs w:val="28"/>
    </w:rPr>
  </w:style>
  <w:style w:type="character" w:customStyle="1" w:styleId="655">
    <w:name w:val="Char Char2"/>
    <w:autoRedefine/>
    <w:qFormat/>
    <w:uiPriority w:val="0"/>
    <w:rPr>
      <w:rFonts w:ascii="Times New Roman" w:hAnsi="Times New Roman" w:eastAsia="宋体" w:cs="Times New Roman"/>
      <w:kern w:val="2"/>
      <w:sz w:val="18"/>
      <w:lang w:val="en-US" w:eastAsia="zh-CN" w:bidi="ar-SA"/>
    </w:rPr>
  </w:style>
  <w:style w:type="character" w:customStyle="1" w:styleId="656">
    <w:name w:val="样式20 Char"/>
    <w:autoRedefine/>
    <w:qFormat/>
    <w:uiPriority w:val="0"/>
    <w:rPr>
      <w:rFonts w:ascii="Times New Roman" w:hAnsi="Times New Roman" w:eastAsia="宋体" w:cs="Times New Roman"/>
      <w:b/>
      <w:smallCaps/>
      <w:kern w:val="2"/>
      <w:sz w:val="32"/>
      <w:szCs w:val="32"/>
      <w:lang w:val="en-US" w:eastAsia="zh-CN" w:bidi="ar-SA"/>
    </w:rPr>
  </w:style>
  <w:style w:type="character" w:customStyle="1" w:styleId="657">
    <w:name w:val="s"/>
    <w:autoRedefine/>
    <w:qFormat/>
    <w:uiPriority w:val="0"/>
    <w:rPr>
      <w:rFonts w:ascii="Times New Roman" w:hAnsi="Times New Roman" w:eastAsia="宋体" w:cs="Times New Roman"/>
    </w:rPr>
  </w:style>
  <w:style w:type="character" w:customStyle="1" w:styleId="658">
    <w:name w:val="正文文本缩进1 Char"/>
    <w:autoRedefine/>
    <w:qFormat/>
    <w:uiPriority w:val="0"/>
    <w:rPr>
      <w:rFonts w:ascii="宋体" w:hAnsi="宋体" w:eastAsia="宋体" w:cs="Times New Roman"/>
      <w:kern w:val="2"/>
      <w:sz w:val="28"/>
      <w:szCs w:val="26"/>
      <w:lang w:val="en-US" w:eastAsia="zh-CN" w:bidi="ar-SA"/>
    </w:rPr>
  </w:style>
  <w:style w:type="character" w:customStyle="1" w:styleId="659">
    <w:name w:val="正文文本缩进2 Char"/>
    <w:autoRedefine/>
    <w:qFormat/>
    <w:uiPriority w:val="0"/>
    <w:rPr>
      <w:rFonts w:ascii="黑体" w:hAnsi="Times New Roman" w:eastAsia="黑体" w:cs="Times New Roman"/>
      <w:b/>
      <w:bCs/>
      <w:iCs/>
      <w:color w:val="000000"/>
      <w:kern w:val="2"/>
      <w:sz w:val="28"/>
      <w:szCs w:val="24"/>
      <w:lang w:val="en-US" w:eastAsia="zh-CN" w:bidi="ar-SA"/>
    </w:rPr>
  </w:style>
  <w:style w:type="character" w:customStyle="1" w:styleId="660">
    <w:name w:val="font"/>
    <w:autoRedefine/>
    <w:qFormat/>
    <w:uiPriority w:val="0"/>
    <w:rPr>
      <w:rFonts w:hint="default" w:ascii="Arial" w:hAnsi="Arial" w:eastAsia="宋体" w:cs="Arial"/>
      <w:sz w:val="24"/>
      <w:szCs w:val="24"/>
    </w:rPr>
  </w:style>
  <w:style w:type="character" w:customStyle="1" w:styleId="661">
    <w:name w:val="mod-title ml-5"/>
    <w:autoRedefine/>
    <w:qFormat/>
    <w:uiPriority w:val="0"/>
    <w:rPr>
      <w:rFonts w:ascii="Times New Roman" w:hAnsi="Times New Roman" w:eastAsia="宋体" w:cs="Times New Roman"/>
    </w:rPr>
  </w:style>
  <w:style w:type="character" w:customStyle="1" w:styleId="662">
    <w:name w:val="doc_class"/>
    <w:autoRedefine/>
    <w:qFormat/>
    <w:uiPriority w:val="0"/>
    <w:rPr>
      <w:rFonts w:ascii="Times New Roman" w:hAnsi="Times New Roman" w:eastAsia="宋体" w:cs="Times New Roman"/>
    </w:rPr>
  </w:style>
  <w:style w:type="character" w:customStyle="1" w:styleId="663">
    <w:name w:val="pubtime1"/>
    <w:autoRedefine/>
    <w:qFormat/>
    <w:uiPriority w:val="0"/>
    <w:rPr>
      <w:rFonts w:ascii="Times New Roman" w:hAnsi="Times New Roman" w:eastAsia="宋体" w:cs="Times New Roman"/>
    </w:rPr>
  </w:style>
  <w:style w:type="character" w:customStyle="1" w:styleId="664">
    <w:name w:val="small1"/>
    <w:autoRedefine/>
    <w:qFormat/>
    <w:uiPriority w:val="0"/>
    <w:rPr>
      <w:rFonts w:ascii="Times New Roman" w:hAnsi="Times New Roman" w:eastAsia="宋体" w:cs="Times New Roman"/>
    </w:rPr>
  </w:style>
  <w:style w:type="character" w:customStyle="1" w:styleId="665">
    <w:name w:val="newtimefactor_before_abs m"/>
    <w:autoRedefine/>
    <w:qFormat/>
    <w:uiPriority w:val="0"/>
    <w:rPr>
      <w:rFonts w:ascii="Times New Roman" w:hAnsi="Times New Roman" w:eastAsia="宋体" w:cs="Times New Roman"/>
    </w:rPr>
  </w:style>
  <w:style w:type="character" w:customStyle="1" w:styleId="666">
    <w:name w:val="title-text"/>
    <w:autoRedefine/>
    <w:qFormat/>
    <w:uiPriority w:val="0"/>
    <w:rPr>
      <w:rFonts w:ascii="Times New Roman" w:hAnsi="Times New Roman" w:eastAsia="宋体" w:cs="Times New Roman"/>
    </w:rPr>
  </w:style>
  <w:style w:type="character" w:customStyle="1" w:styleId="667">
    <w:name w:val="msointensereference"/>
    <w:autoRedefine/>
    <w:qFormat/>
    <w:uiPriority w:val="0"/>
    <w:rPr>
      <w:rFonts w:ascii="Times New Roman" w:hAnsi="Times New Roman" w:eastAsia="宋体" w:cs="Times New Roman"/>
    </w:rPr>
  </w:style>
  <w:style w:type="character" w:customStyle="1" w:styleId="668">
    <w:name w:val="正文文本缩进 Char1"/>
    <w:autoRedefine/>
    <w:qFormat/>
    <w:uiPriority w:val="99"/>
    <w:rPr>
      <w:rFonts w:ascii="宋体" w:hAnsi="宋体" w:eastAsia="宋体" w:cs="Times New Roman"/>
      <w:kern w:val="2"/>
      <w:sz w:val="28"/>
      <w:szCs w:val="26"/>
      <w:lang w:val="en-US" w:eastAsia="zh-CN" w:bidi="ar-SA"/>
    </w:rPr>
  </w:style>
  <w:style w:type="character" w:customStyle="1" w:styleId="669">
    <w:name w:val="无间隔 Char Char"/>
    <w:autoRedefine/>
    <w:qFormat/>
    <w:uiPriority w:val="0"/>
    <w:rPr>
      <w:rFonts w:ascii="Times New Roman" w:hAnsi="Times New Roman" w:eastAsia="宋体" w:cs="Times New Roman"/>
      <w:sz w:val="24"/>
      <w:szCs w:val="24"/>
      <w:lang w:val="en-US" w:eastAsia="en-US" w:bidi="en-US"/>
    </w:rPr>
  </w:style>
  <w:style w:type="character" w:customStyle="1" w:styleId="670">
    <w:name w:val="章节标题 Char Char"/>
    <w:autoRedefine/>
    <w:qFormat/>
    <w:uiPriority w:val="0"/>
    <w:rPr>
      <w:rFonts w:ascii="宋体" w:hAnsi="Times New Roman" w:eastAsia="宋体" w:cs="Times New Roman"/>
      <w:kern w:val="2"/>
      <w:sz w:val="28"/>
      <w:lang w:val="en-US" w:eastAsia="zh-CN" w:bidi="ar-SA"/>
    </w:rPr>
  </w:style>
  <w:style w:type="character" w:customStyle="1" w:styleId="671">
    <w:name w:val="font-size"/>
    <w:autoRedefine/>
    <w:qFormat/>
    <w:uiPriority w:val="0"/>
    <w:rPr>
      <w:rFonts w:ascii="Times New Roman" w:hAnsi="Times New Roman" w:eastAsia="宋体" w:cs="Times New Roman"/>
    </w:rPr>
  </w:style>
  <w:style w:type="character" w:customStyle="1" w:styleId="672">
    <w:name w:val="font51"/>
    <w:autoRedefine/>
    <w:qFormat/>
    <w:uiPriority w:val="0"/>
    <w:rPr>
      <w:rFonts w:hint="eastAsia" w:ascii="宋体" w:hAnsi="宋体" w:eastAsia="宋体"/>
      <w:b/>
      <w:bCs/>
      <w:color w:val="000000"/>
      <w:sz w:val="21"/>
      <w:szCs w:val="21"/>
      <w:u w:val="none"/>
    </w:rPr>
  </w:style>
  <w:style w:type="character" w:customStyle="1" w:styleId="673">
    <w:name w:val="font71"/>
    <w:autoRedefine/>
    <w:qFormat/>
    <w:uiPriority w:val="0"/>
    <w:rPr>
      <w:rFonts w:hint="default" w:ascii="Times New Roman" w:hAnsi="Times New Roman" w:cs="Times New Roman"/>
      <w:color w:val="000000"/>
      <w:sz w:val="21"/>
      <w:szCs w:val="21"/>
      <w:u w:val="none"/>
    </w:rPr>
  </w:style>
  <w:style w:type="character" w:customStyle="1" w:styleId="674">
    <w:name w:val="font61"/>
    <w:autoRedefine/>
    <w:qFormat/>
    <w:uiPriority w:val="0"/>
    <w:rPr>
      <w:rFonts w:hint="eastAsia" w:ascii="宋体" w:hAnsi="宋体" w:eastAsia="宋体"/>
      <w:color w:val="000000"/>
      <w:sz w:val="21"/>
      <w:szCs w:val="21"/>
      <w:u w:val="none"/>
    </w:rPr>
  </w:style>
  <w:style w:type="character" w:customStyle="1" w:styleId="675">
    <w:name w:val="样式2 Char"/>
    <w:autoRedefine/>
    <w:qFormat/>
    <w:uiPriority w:val="0"/>
    <w:rPr>
      <w:rFonts w:ascii="宋体" w:hAnsi="黑体" w:eastAsia="黑体"/>
      <w:b/>
      <w:bCs/>
      <w:kern w:val="2"/>
      <w:sz w:val="32"/>
      <w:szCs w:val="32"/>
      <w:lang w:val="en-US" w:eastAsia="zh-CN" w:bidi="ar-SA"/>
    </w:rPr>
  </w:style>
  <w:style w:type="character" w:customStyle="1" w:styleId="676">
    <w:name w:val="样式 样式 样式 样式 (符号) 宋体 13 磅 首行缩进:  2 字符 行距: 1.5 倍行距 + 首行缩进:  2 字符 +... Char"/>
    <w:link w:val="677"/>
    <w:autoRedefine/>
    <w:qFormat/>
    <w:uiPriority w:val="0"/>
    <w:rPr>
      <w:rFonts w:ascii="宋体" w:hAnsi="宋体" w:cs="宋体"/>
      <w:kern w:val="2"/>
      <w:sz w:val="26"/>
    </w:rPr>
  </w:style>
  <w:style w:type="paragraph" w:customStyle="1" w:styleId="677">
    <w:name w:val="样式 样式 样式 样式 (符号) 宋体 13 磅 首行缩进:  2 字符 行距: 1.5 倍行距 + 首行缩进:  2 字符 +..."/>
    <w:basedOn w:val="1"/>
    <w:link w:val="676"/>
    <w:autoRedefine/>
    <w:qFormat/>
    <w:uiPriority w:val="0"/>
    <w:pPr>
      <w:spacing w:line="240" w:lineRule="auto"/>
      <w:ind w:firstLine="563" w:firstLineChars="200"/>
    </w:pPr>
    <w:rPr>
      <w:sz w:val="26"/>
      <w:szCs w:val="20"/>
    </w:rPr>
  </w:style>
  <w:style w:type="character" w:customStyle="1" w:styleId="678">
    <w:name w:val="表文字 Char"/>
    <w:autoRedefine/>
    <w:qFormat/>
    <w:uiPriority w:val="0"/>
    <w:rPr>
      <w:rFonts w:eastAsia="宋体"/>
      <w:kern w:val="2"/>
      <w:sz w:val="21"/>
      <w:lang w:val="en-US" w:eastAsia="zh-CN" w:bidi="ar-SA"/>
    </w:rPr>
  </w:style>
  <w:style w:type="character" w:customStyle="1" w:styleId="679">
    <w:name w:val="unnamed3"/>
    <w:basedOn w:val="76"/>
    <w:autoRedefine/>
    <w:qFormat/>
    <w:uiPriority w:val="0"/>
  </w:style>
  <w:style w:type="character" w:customStyle="1" w:styleId="680">
    <w:name w:val="Normal Char"/>
    <w:link w:val="681"/>
    <w:autoRedefine/>
    <w:qFormat/>
    <w:uiPriority w:val="0"/>
    <w:rPr>
      <w:rFonts w:ascii="宋体"/>
      <w:sz w:val="24"/>
      <w:szCs w:val="22"/>
    </w:rPr>
  </w:style>
  <w:style w:type="paragraph" w:customStyle="1" w:styleId="681">
    <w:name w:val="正文2"/>
    <w:link w:val="680"/>
    <w:autoRedefine/>
    <w:qFormat/>
    <w:uiPriority w:val="0"/>
    <w:pPr>
      <w:widowControl w:val="0"/>
      <w:adjustRightInd w:val="0"/>
      <w:spacing w:line="360" w:lineRule="atLeast"/>
      <w:textAlignment w:val="baseline"/>
    </w:pPr>
    <w:rPr>
      <w:rFonts w:ascii="宋体" w:hAnsi="Times New Roman" w:eastAsia="宋体" w:cs="Times New Roman"/>
      <w:sz w:val="24"/>
      <w:szCs w:val="22"/>
      <w:lang w:val="en-US" w:eastAsia="zh-CN" w:bidi="ar-SA"/>
    </w:rPr>
  </w:style>
  <w:style w:type="character" w:customStyle="1" w:styleId="682">
    <w:name w:val="zw1"/>
    <w:autoRedefine/>
    <w:qFormat/>
    <w:uiPriority w:val="0"/>
    <w:rPr>
      <w:rFonts w:hint="eastAsia" w:ascii="宋体" w:hAnsi="宋体" w:eastAsia="宋体"/>
      <w:sz w:val="22"/>
      <w:szCs w:val="22"/>
    </w:rPr>
  </w:style>
  <w:style w:type="character" w:customStyle="1" w:styleId="683">
    <w:name w:val="font81"/>
    <w:autoRedefine/>
    <w:qFormat/>
    <w:uiPriority w:val="0"/>
    <w:rPr>
      <w:rFonts w:hint="default" w:ascii="Times New Roman" w:hAnsi="Times New Roman" w:cs="Times New Roman"/>
      <w:color w:val="000000"/>
      <w:sz w:val="21"/>
      <w:szCs w:val="21"/>
      <w:u w:val="none"/>
    </w:rPr>
  </w:style>
  <w:style w:type="character" w:customStyle="1" w:styleId="684">
    <w:name w:val="正文文本 Char1"/>
    <w:autoRedefine/>
    <w:qFormat/>
    <w:uiPriority w:val="99"/>
    <w:rPr>
      <w:rFonts w:eastAsia="宋体"/>
      <w:kern w:val="2"/>
      <w:sz w:val="21"/>
      <w:szCs w:val="24"/>
      <w:lang w:val="en-US" w:eastAsia="zh-CN" w:bidi="ar-SA"/>
    </w:rPr>
  </w:style>
  <w:style w:type="character" w:customStyle="1" w:styleId="685">
    <w:name w:val="正文---------------- Char"/>
    <w:link w:val="686"/>
    <w:autoRedefine/>
    <w:qFormat/>
    <w:uiPriority w:val="0"/>
    <w:rPr>
      <w:rFonts w:cs="宋体"/>
      <w:spacing w:val="16"/>
      <w:kern w:val="2"/>
      <w:sz w:val="24"/>
    </w:rPr>
  </w:style>
  <w:style w:type="paragraph" w:customStyle="1" w:styleId="686">
    <w:name w:val="正文----------------"/>
    <w:basedOn w:val="1"/>
    <w:link w:val="685"/>
    <w:autoRedefine/>
    <w:qFormat/>
    <w:uiPriority w:val="0"/>
    <w:pPr>
      <w:spacing w:line="440" w:lineRule="exact"/>
      <w:ind w:firstLine="544" w:firstLineChars="200"/>
    </w:pPr>
    <w:rPr>
      <w:spacing w:val="16"/>
      <w:szCs w:val="20"/>
    </w:rPr>
  </w:style>
  <w:style w:type="character" w:customStyle="1" w:styleId="687">
    <w:name w:val="样式 标题 2 + Times New Roman Char"/>
    <w:autoRedefine/>
    <w:qFormat/>
    <w:uiPriority w:val="0"/>
    <w:rPr>
      <w:rFonts w:ascii="Times New Roman" w:hAnsi="Times New Roman" w:eastAsia="黑体"/>
      <w:color w:val="000000"/>
      <w:kern w:val="2"/>
      <w:sz w:val="28"/>
      <w:szCs w:val="30"/>
      <w:lang w:val="en-US" w:eastAsia="zh-CN" w:bidi="ar-SA"/>
    </w:rPr>
  </w:style>
  <w:style w:type="character" w:customStyle="1" w:styleId="688">
    <w:name w:val="表格四号 Char"/>
    <w:link w:val="689"/>
    <w:autoRedefine/>
    <w:qFormat/>
    <w:uiPriority w:val="0"/>
    <w:rPr>
      <w:rFonts w:ascii="宋体" w:hAnsi="宋体"/>
      <w:snapToGrid w:val="0"/>
      <w:sz w:val="28"/>
      <w:szCs w:val="28"/>
    </w:rPr>
  </w:style>
  <w:style w:type="paragraph" w:customStyle="1" w:styleId="689">
    <w:name w:val="表格四号"/>
    <w:basedOn w:val="1"/>
    <w:link w:val="688"/>
    <w:autoRedefine/>
    <w:qFormat/>
    <w:uiPriority w:val="0"/>
    <w:pPr>
      <w:adjustRightInd w:val="0"/>
      <w:snapToGrid w:val="0"/>
      <w:spacing w:line="240" w:lineRule="auto"/>
    </w:pPr>
    <w:rPr>
      <w:rFonts w:cs="Times New Roman"/>
      <w:snapToGrid w:val="0"/>
      <w:kern w:val="0"/>
      <w:sz w:val="28"/>
      <w:szCs w:val="28"/>
    </w:rPr>
  </w:style>
  <w:style w:type="character" w:customStyle="1" w:styleId="690">
    <w:name w:val="表头------------- Char"/>
    <w:link w:val="691"/>
    <w:autoRedefine/>
    <w:qFormat/>
    <w:uiPriority w:val="0"/>
    <w:rPr>
      <w:rFonts w:eastAsia="黑体" w:cs="宋体"/>
      <w:sz w:val="24"/>
    </w:rPr>
  </w:style>
  <w:style w:type="paragraph" w:customStyle="1" w:styleId="691">
    <w:name w:val="表头-------------"/>
    <w:basedOn w:val="1"/>
    <w:link w:val="690"/>
    <w:autoRedefine/>
    <w:qFormat/>
    <w:uiPriority w:val="0"/>
    <w:pPr>
      <w:spacing w:line="460" w:lineRule="exact"/>
    </w:pPr>
    <w:rPr>
      <w:rFonts w:eastAsia="黑体"/>
      <w:kern w:val="0"/>
      <w:szCs w:val="20"/>
    </w:rPr>
  </w:style>
  <w:style w:type="character" w:customStyle="1" w:styleId="692">
    <w:name w:val="表号 Char1"/>
    <w:autoRedefine/>
    <w:qFormat/>
    <w:uiPriority w:val="0"/>
    <w:rPr>
      <w:rFonts w:ascii="黑体" w:eastAsia="黑体"/>
      <w:sz w:val="21"/>
      <w:lang w:val="en-US" w:eastAsia="zh-CN" w:bidi="ar-SA"/>
    </w:rPr>
  </w:style>
  <w:style w:type="character" w:customStyle="1" w:styleId="693">
    <w:name w:val="6666661"/>
    <w:autoRedefine/>
    <w:qFormat/>
    <w:uiPriority w:val="0"/>
    <w:rPr>
      <w:color w:val="666666"/>
      <w:sz w:val="18"/>
      <w:szCs w:val="18"/>
      <w:u w:val="none"/>
    </w:rPr>
  </w:style>
  <w:style w:type="character" w:customStyle="1" w:styleId="694">
    <w:name w:val="表文字居中 Char"/>
    <w:link w:val="695"/>
    <w:autoRedefine/>
    <w:qFormat/>
    <w:uiPriority w:val="0"/>
    <w:rPr>
      <w:rFonts w:ascii="Arial" w:hAnsi="Arial" w:eastAsia="Times New Roman"/>
      <w:kern w:val="2"/>
      <w:sz w:val="21"/>
      <w:szCs w:val="24"/>
    </w:rPr>
  </w:style>
  <w:style w:type="paragraph" w:customStyle="1" w:styleId="695">
    <w:name w:val="表文字居中"/>
    <w:link w:val="694"/>
    <w:autoRedefine/>
    <w:qFormat/>
    <w:uiPriority w:val="0"/>
    <w:pPr>
      <w:adjustRightInd w:val="0"/>
      <w:spacing w:line="360" w:lineRule="auto"/>
      <w:jc w:val="center"/>
    </w:pPr>
    <w:rPr>
      <w:rFonts w:ascii="Arial" w:hAnsi="Arial" w:eastAsia="Times New Roman" w:cs="Times New Roman"/>
      <w:kern w:val="2"/>
      <w:sz w:val="21"/>
      <w:szCs w:val="24"/>
      <w:lang w:val="en-US" w:eastAsia="zh-CN" w:bidi="ar-SA"/>
    </w:rPr>
  </w:style>
  <w:style w:type="character" w:customStyle="1" w:styleId="696">
    <w:name w:val="表正文 Char1 Char Char"/>
    <w:autoRedefine/>
    <w:qFormat/>
    <w:uiPriority w:val="0"/>
    <w:rPr>
      <w:rFonts w:eastAsia="宋体"/>
      <w:sz w:val="28"/>
      <w:lang w:val="en-US" w:eastAsia="zh-CN" w:bidi="ar-SA"/>
    </w:rPr>
  </w:style>
  <w:style w:type="character" w:customStyle="1" w:styleId="697">
    <w:name w:val="mainfont21"/>
    <w:autoRedefine/>
    <w:qFormat/>
    <w:uiPriority w:val="0"/>
    <w:rPr>
      <w:color w:val="666666"/>
      <w:sz w:val="18"/>
      <w:szCs w:val="18"/>
      <w:u w:val="none"/>
    </w:rPr>
  </w:style>
  <w:style w:type="character" w:customStyle="1" w:styleId="698">
    <w:name w:val="样式20 Char1"/>
    <w:link w:val="699"/>
    <w:autoRedefine/>
    <w:qFormat/>
    <w:uiPriority w:val="0"/>
  </w:style>
  <w:style w:type="paragraph" w:customStyle="1" w:styleId="699">
    <w:name w:val="样式20"/>
    <w:basedOn w:val="36"/>
    <w:link w:val="698"/>
    <w:autoRedefine/>
    <w:qFormat/>
    <w:uiPriority w:val="0"/>
    <w:pPr>
      <w:tabs>
        <w:tab w:val="right" w:leader="dot" w:pos="8495"/>
      </w:tabs>
      <w:spacing w:line="360" w:lineRule="exact"/>
      <w:ind w:left="0" w:firstLine="413" w:firstLineChars="147"/>
    </w:pPr>
    <w:rPr>
      <w:rFonts w:ascii="Times New Roman" w:hAnsi="Times New Roman" w:cs="Times New Roman"/>
      <w:kern w:val="0"/>
    </w:rPr>
  </w:style>
  <w:style w:type="character" w:customStyle="1" w:styleId="700">
    <w:name w:val="xl57 Char"/>
    <w:link w:val="701"/>
    <w:autoRedefine/>
    <w:qFormat/>
    <w:uiPriority w:val="0"/>
    <w:rPr>
      <w:rFonts w:ascii="Arial Unicode MS" w:hAnsi="Arial Unicode MS" w:eastAsia="Arial Unicode MS"/>
      <w:szCs w:val="21"/>
    </w:rPr>
  </w:style>
  <w:style w:type="paragraph" w:customStyle="1" w:styleId="701">
    <w:name w:val="xl57"/>
    <w:basedOn w:val="1"/>
    <w:link w:val="700"/>
    <w:autoRedefine/>
    <w:qFormat/>
    <w:uiPriority w:val="0"/>
    <w:pPr>
      <w:widowControl/>
      <w:pBdr>
        <w:top w:val="single" w:color="auto" w:sz="8" w:space="0"/>
        <w:bottom w:val="single" w:color="auto" w:sz="4" w:space="0"/>
        <w:right w:val="single" w:color="auto" w:sz="4" w:space="0"/>
      </w:pBdr>
      <w:spacing w:before="100" w:beforeAutospacing="1" w:after="100" w:afterAutospacing="1" w:line="240" w:lineRule="auto"/>
      <w:textAlignment w:val="center"/>
    </w:pPr>
    <w:rPr>
      <w:rFonts w:ascii="Arial Unicode MS" w:hAnsi="Arial Unicode MS" w:eastAsia="Arial Unicode MS" w:cs="Times New Roman"/>
      <w:kern w:val="0"/>
      <w:sz w:val="20"/>
      <w:szCs w:val="21"/>
    </w:rPr>
  </w:style>
  <w:style w:type="paragraph" w:customStyle="1" w:styleId="702">
    <w:name w:val="xl88"/>
    <w:basedOn w:val="1"/>
    <w:autoRedefine/>
    <w:qFormat/>
    <w:uiPriority w:val="0"/>
    <w:pPr>
      <w:widowControl/>
      <w:pBdr>
        <w:top w:val="single" w:color="auto" w:sz="4" w:space="0"/>
        <w:left w:val="single" w:color="auto" w:sz="8" w:space="0"/>
        <w:bottom w:val="single" w:color="auto" w:sz="4" w:space="0"/>
      </w:pBdr>
      <w:spacing w:before="100" w:beforeAutospacing="1" w:after="100" w:afterAutospacing="1" w:line="240" w:lineRule="auto"/>
      <w:jc w:val="left"/>
    </w:pPr>
    <w:rPr>
      <w:rFonts w:eastAsia="Arial Unicode MS" w:cs="Times New Roman"/>
      <w:kern w:val="0"/>
      <w:sz w:val="16"/>
      <w:szCs w:val="16"/>
    </w:rPr>
  </w:style>
  <w:style w:type="paragraph" w:customStyle="1" w:styleId="703">
    <w:name w:val="xl100"/>
    <w:basedOn w:val="1"/>
    <w:autoRedefine/>
    <w:qFormat/>
    <w:uiPriority w:val="0"/>
    <w:pPr>
      <w:widowControl/>
      <w:pBdr>
        <w:top w:val="single" w:color="auto" w:sz="8" w:space="0"/>
        <w:bottom w:val="single" w:color="auto" w:sz="4" w:space="0"/>
        <w:right w:val="single" w:color="auto" w:sz="8" w:space="0"/>
      </w:pBdr>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704">
    <w:name w:val="封面三号"/>
    <w:basedOn w:val="1"/>
    <w:autoRedefine/>
    <w:qFormat/>
    <w:uiPriority w:val="0"/>
    <w:pPr>
      <w:spacing w:line="240" w:lineRule="auto"/>
    </w:pPr>
    <w:rPr>
      <w:spacing w:val="55"/>
      <w:kern w:val="0"/>
      <w:sz w:val="32"/>
      <w:szCs w:val="32"/>
    </w:rPr>
  </w:style>
  <w:style w:type="paragraph" w:customStyle="1" w:styleId="705">
    <w:name w:val="font16"/>
    <w:basedOn w:val="1"/>
    <w:autoRedefine/>
    <w:qFormat/>
    <w:uiPriority w:val="0"/>
    <w:pPr>
      <w:widowControl/>
      <w:spacing w:before="100" w:beforeAutospacing="1" w:after="100" w:afterAutospacing="1" w:line="240" w:lineRule="auto"/>
      <w:jc w:val="left"/>
    </w:pPr>
    <w:rPr>
      <w:rFonts w:hint="eastAsia" w:cs="Arial Unicode MS"/>
      <w:kern w:val="0"/>
      <w:sz w:val="20"/>
      <w:szCs w:val="20"/>
      <w:u w:val="single"/>
    </w:rPr>
  </w:style>
  <w:style w:type="paragraph" w:customStyle="1" w:styleId="706">
    <w:name w:val="Char"/>
    <w:basedOn w:val="1"/>
    <w:autoRedefine/>
    <w:qFormat/>
    <w:uiPriority w:val="0"/>
    <w:pPr>
      <w:widowControl/>
      <w:spacing w:after="160" w:line="240" w:lineRule="exact"/>
      <w:ind w:left="113" w:right="113"/>
    </w:pPr>
    <w:rPr>
      <w:rFonts w:cs="Times New Roman"/>
      <w:sz w:val="21"/>
      <w:szCs w:val="20"/>
    </w:rPr>
  </w:style>
  <w:style w:type="paragraph" w:customStyle="1" w:styleId="707">
    <w:name w:val="xl47"/>
    <w:basedOn w:val="1"/>
    <w:autoRedefine/>
    <w:qFormat/>
    <w:uiPriority w:val="0"/>
    <w:pPr>
      <w:widowControl/>
      <w:pBdr>
        <w:bottom w:val="single" w:color="auto" w:sz="8" w:space="0"/>
      </w:pBdr>
      <w:spacing w:before="100" w:beforeAutospacing="1" w:after="100" w:afterAutospacing="1" w:line="240" w:lineRule="auto"/>
    </w:pPr>
    <w:rPr>
      <w:rFonts w:ascii="Arial Unicode MS" w:hAnsi="Arial Unicode MS" w:eastAsia="Arial Unicode MS" w:cs="Times New Roman"/>
      <w:kern w:val="0"/>
      <w:sz w:val="20"/>
      <w:szCs w:val="20"/>
    </w:rPr>
  </w:style>
  <w:style w:type="paragraph" w:customStyle="1" w:styleId="708">
    <w:name w:val="xl4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hint="eastAsia" w:cs="Times New Roman"/>
      <w:color w:val="000000"/>
      <w:kern w:val="0"/>
    </w:rPr>
  </w:style>
  <w:style w:type="paragraph" w:customStyle="1" w:styleId="709">
    <w:name w:val="xl50"/>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line="240" w:lineRule="auto"/>
      <w:textAlignment w:val="center"/>
    </w:pPr>
    <w:rPr>
      <w:rFonts w:eastAsia="Arial Unicode MS" w:cs="Times New Roman"/>
      <w:kern w:val="0"/>
      <w:sz w:val="21"/>
      <w:szCs w:val="21"/>
    </w:rPr>
  </w:style>
  <w:style w:type="paragraph" w:customStyle="1" w:styleId="710">
    <w:name w:val="xl91"/>
    <w:basedOn w:val="1"/>
    <w:autoRedefine/>
    <w:qFormat/>
    <w:uiPriority w:val="0"/>
    <w:pPr>
      <w:widowControl/>
      <w:pBdr>
        <w:top w:val="single" w:color="auto" w:sz="4" w:space="0"/>
        <w:bottom w:val="single" w:color="auto" w:sz="8" w:space="0"/>
        <w:right w:val="single" w:color="auto" w:sz="4" w:space="0"/>
      </w:pBdr>
      <w:spacing w:before="100" w:beforeAutospacing="1" w:after="100" w:afterAutospacing="1" w:line="240" w:lineRule="auto"/>
      <w:jc w:val="left"/>
    </w:pPr>
    <w:rPr>
      <w:rFonts w:eastAsia="Arial Unicode MS" w:cs="Times New Roman"/>
      <w:kern w:val="0"/>
      <w:sz w:val="16"/>
      <w:szCs w:val="16"/>
    </w:rPr>
  </w:style>
  <w:style w:type="paragraph" w:customStyle="1" w:styleId="711">
    <w:name w:val="kk"/>
    <w:basedOn w:val="26"/>
    <w:autoRedefine/>
    <w:qFormat/>
    <w:uiPriority w:val="0"/>
    <w:pPr>
      <w:autoSpaceDE w:val="0"/>
      <w:autoSpaceDN w:val="0"/>
      <w:adjustRightInd w:val="0"/>
      <w:textAlignment w:val="baseline"/>
    </w:pPr>
    <w:rPr>
      <w:rFonts w:ascii="Times New Roman" w:hAnsi="Times New Roman" w:cs="Times New Roman"/>
      <w:spacing w:val="10"/>
      <w:kern w:val="0"/>
      <w:szCs w:val="20"/>
      <w:lang w:val="en-US" w:bidi="ar-SA"/>
    </w:rPr>
  </w:style>
  <w:style w:type="paragraph" w:customStyle="1" w:styleId="712">
    <w:name w:val="xl54"/>
    <w:basedOn w:val="1"/>
    <w:autoRedefine/>
    <w:qFormat/>
    <w:uiPriority w:val="0"/>
    <w:pPr>
      <w:widowControl/>
      <w:pBdr>
        <w:left w:val="single" w:color="auto" w:sz="4" w:space="0"/>
        <w:bottom w:val="single" w:color="auto" w:sz="4" w:space="0"/>
      </w:pBdr>
      <w:spacing w:before="100" w:beforeAutospacing="1" w:after="100" w:afterAutospacing="1" w:line="240" w:lineRule="auto"/>
      <w:textAlignment w:val="center"/>
    </w:pPr>
    <w:rPr>
      <w:rFonts w:eastAsia="Arial Unicode MS" w:cs="Times New Roman"/>
      <w:kern w:val="0"/>
    </w:rPr>
  </w:style>
  <w:style w:type="paragraph" w:customStyle="1" w:styleId="713">
    <w:name w:val="Char Char Char Char Char Char Char Char Char Char"/>
    <w:basedOn w:val="1"/>
    <w:autoRedefine/>
    <w:qFormat/>
    <w:uiPriority w:val="0"/>
    <w:pPr>
      <w:spacing w:line="400" w:lineRule="exact"/>
    </w:pPr>
    <w:rPr>
      <w:rFonts w:ascii="Tahoma" w:hAnsi="Tahoma" w:cs="Times New Roman"/>
      <w:szCs w:val="20"/>
    </w:rPr>
  </w:style>
  <w:style w:type="paragraph" w:customStyle="1" w:styleId="714">
    <w:name w:val="列出段落1"/>
    <w:basedOn w:val="1"/>
    <w:autoRedefine/>
    <w:qFormat/>
    <w:uiPriority w:val="0"/>
    <w:pPr>
      <w:spacing w:line="240" w:lineRule="auto"/>
      <w:ind w:firstLine="420" w:firstLineChars="200"/>
    </w:pPr>
    <w:rPr>
      <w:rFonts w:cs="Times New Roman"/>
      <w:sz w:val="21"/>
    </w:rPr>
  </w:style>
  <w:style w:type="paragraph" w:customStyle="1" w:styleId="715">
    <w:name w:val="正文文字进缩"/>
    <w:basedOn w:val="1"/>
    <w:autoRedefine/>
    <w:qFormat/>
    <w:uiPriority w:val="0"/>
    <w:pPr>
      <w:ind w:firstLine="561"/>
    </w:pPr>
    <w:rPr>
      <w:rFonts w:cs="Times New Roman"/>
      <w:sz w:val="28"/>
      <w:szCs w:val="20"/>
    </w:rPr>
  </w:style>
  <w:style w:type="paragraph" w:customStyle="1" w:styleId="716">
    <w:name w:val="lyh 正文"/>
    <w:autoRedefine/>
    <w:qFormat/>
    <w:uiPriority w:val="0"/>
    <w:pPr>
      <w:adjustRightInd w:val="0"/>
      <w:snapToGrid w:val="0"/>
      <w:spacing w:line="360" w:lineRule="auto"/>
      <w:ind w:firstLine="200" w:firstLineChars="200"/>
    </w:pPr>
    <w:rPr>
      <w:rFonts w:ascii="Times New Roman" w:hAnsi="Times New Roman" w:eastAsia="宋体" w:cs="Times New Roman"/>
      <w:sz w:val="28"/>
      <w:szCs w:val="28"/>
      <w:lang w:val="en-US" w:eastAsia="zh-CN" w:bidi="ar-SA"/>
    </w:rPr>
  </w:style>
  <w:style w:type="paragraph" w:customStyle="1" w:styleId="717">
    <w:name w:val="font15"/>
    <w:basedOn w:val="1"/>
    <w:autoRedefine/>
    <w:qFormat/>
    <w:uiPriority w:val="0"/>
    <w:pPr>
      <w:widowControl/>
      <w:spacing w:before="100" w:beforeAutospacing="1" w:after="100" w:afterAutospacing="1" w:line="240" w:lineRule="auto"/>
      <w:jc w:val="left"/>
    </w:pPr>
    <w:rPr>
      <w:rFonts w:eastAsia="Arial Unicode MS" w:cs="Times New Roman"/>
      <w:b/>
      <w:bCs/>
      <w:kern w:val="0"/>
      <w:sz w:val="16"/>
      <w:szCs w:val="16"/>
    </w:rPr>
  </w:style>
  <w:style w:type="paragraph" w:customStyle="1" w:styleId="718">
    <w:name w:val="样式 样式 仿宋_GB2312 三号 黑色 首行缩进:  2 字符 + 首行缩进:  2 字符"/>
    <w:basedOn w:val="1"/>
    <w:autoRedefine/>
    <w:qFormat/>
    <w:uiPriority w:val="0"/>
    <w:pPr>
      <w:ind w:firstLine="600" w:firstLineChars="200"/>
    </w:pPr>
    <w:rPr>
      <w:rFonts w:eastAsia="仿宋_GB2312"/>
      <w:color w:val="000000"/>
      <w:sz w:val="30"/>
      <w:szCs w:val="30"/>
    </w:rPr>
  </w:style>
  <w:style w:type="paragraph" w:customStyle="1" w:styleId="719">
    <w:name w:val="段"/>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720">
    <w:name w:val="xl108"/>
    <w:basedOn w:val="1"/>
    <w:autoRedefine/>
    <w:qFormat/>
    <w:uiPriority w:val="0"/>
    <w:pPr>
      <w:widowControl/>
      <w:pBdr>
        <w:bottom w:val="single" w:color="auto" w:sz="4" w:space="0"/>
        <w:right w:val="single" w:color="auto" w:sz="8"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721">
    <w:name w:val="xl80"/>
    <w:basedOn w:val="1"/>
    <w:autoRedefine/>
    <w:qFormat/>
    <w:uiPriority w:val="0"/>
    <w:pPr>
      <w:widowControl/>
      <w:pBdr>
        <w:bottom w:val="single" w:color="auto" w:sz="4" w:space="0"/>
        <w:right w:val="single" w:color="auto" w:sz="8"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722">
    <w:name w:val="Char Char Char Char Char Char Char Char Char Char Char Char Char Char Char Char"/>
    <w:basedOn w:val="1"/>
    <w:autoRedefine/>
    <w:qFormat/>
    <w:uiPriority w:val="0"/>
    <w:pPr>
      <w:ind w:firstLine="200" w:firstLineChars="200"/>
    </w:pPr>
  </w:style>
  <w:style w:type="paragraph" w:customStyle="1" w:styleId="723">
    <w:name w:val="二级条标题"/>
    <w:basedOn w:val="724"/>
    <w:next w:val="719"/>
    <w:autoRedefine/>
    <w:qFormat/>
    <w:uiPriority w:val="0"/>
    <w:pPr>
      <w:ind w:left="0"/>
      <w:outlineLvl w:val="3"/>
    </w:pPr>
  </w:style>
  <w:style w:type="paragraph" w:customStyle="1" w:styleId="724">
    <w:name w:val="一级条标题"/>
    <w:basedOn w:val="725"/>
    <w:next w:val="719"/>
    <w:autoRedefine/>
    <w:qFormat/>
    <w:uiPriority w:val="0"/>
    <w:pPr>
      <w:spacing w:beforeLines="0" w:afterLines="0"/>
      <w:ind w:left="210"/>
      <w:outlineLvl w:val="2"/>
    </w:pPr>
    <w:rPr>
      <w:rFonts w:ascii="Times New Roman" w:eastAsia="宋体"/>
    </w:rPr>
  </w:style>
  <w:style w:type="paragraph" w:customStyle="1" w:styleId="725">
    <w:name w:val="章标题"/>
    <w:next w:val="719"/>
    <w:autoRedefine/>
    <w:qFormat/>
    <w:uiPriority w:val="0"/>
    <w:pPr>
      <w:spacing w:beforeLines="50" w:afterLines="50"/>
      <w:jc w:val="both"/>
      <w:outlineLvl w:val="1"/>
    </w:pPr>
    <w:rPr>
      <w:rFonts w:ascii="黑体" w:hAnsi="Times New Roman" w:eastAsia="黑体" w:cs="Times New Roman"/>
      <w:sz w:val="21"/>
      <w:lang w:val="en-US" w:eastAsia="zh-CN" w:bidi="ar-SA"/>
    </w:rPr>
  </w:style>
  <w:style w:type="paragraph" w:customStyle="1" w:styleId="726">
    <w:name w:val="p"/>
    <w:basedOn w:val="1"/>
    <w:autoRedefine/>
    <w:qFormat/>
    <w:uiPriority w:val="0"/>
    <w:pPr>
      <w:widowControl/>
      <w:spacing w:before="100" w:beforeAutospacing="1" w:after="100" w:afterAutospacing="1" w:line="240" w:lineRule="auto"/>
      <w:jc w:val="left"/>
    </w:pPr>
    <w:rPr>
      <w:kern w:val="0"/>
    </w:rPr>
  </w:style>
  <w:style w:type="paragraph" w:customStyle="1" w:styleId="727">
    <w:name w:val="p0"/>
    <w:basedOn w:val="1"/>
    <w:autoRedefine/>
    <w:qFormat/>
    <w:uiPriority w:val="0"/>
    <w:pPr>
      <w:widowControl/>
      <w:spacing w:line="240" w:lineRule="auto"/>
    </w:pPr>
    <w:rPr>
      <w:rFonts w:cs="Times New Roman"/>
      <w:kern w:val="0"/>
      <w:sz w:val="21"/>
      <w:szCs w:val="21"/>
    </w:rPr>
  </w:style>
  <w:style w:type="paragraph" w:customStyle="1" w:styleId="728">
    <w:name w:val="五级条标题"/>
    <w:basedOn w:val="729"/>
    <w:next w:val="719"/>
    <w:autoRedefine/>
    <w:qFormat/>
    <w:uiPriority w:val="0"/>
    <w:pPr>
      <w:outlineLvl w:val="6"/>
    </w:pPr>
  </w:style>
  <w:style w:type="paragraph" w:customStyle="1" w:styleId="729">
    <w:name w:val="四级条标题"/>
    <w:basedOn w:val="730"/>
    <w:next w:val="719"/>
    <w:autoRedefine/>
    <w:qFormat/>
    <w:uiPriority w:val="0"/>
    <w:pPr>
      <w:outlineLvl w:val="5"/>
    </w:pPr>
  </w:style>
  <w:style w:type="paragraph" w:customStyle="1" w:styleId="730">
    <w:name w:val="三级条标题"/>
    <w:basedOn w:val="723"/>
    <w:next w:val="719"/>
    <w:autoRedefine/>
    <w:qFormat/>
    <w:uiPriority w:val="0"/>
    <w:pPr>
      <w:outlineLvl w:val="4"/>
    </w:pPr>
  </w:style>
  <w:style w:type="paragraph" w:customStyle="1" w:styleId="731">
    <w:name w:val="reader-word-layer reader-word-s2-8"/>
    <w:basedOn w:val="1"/>
    <w:autoRedefine/>
    <w:qFormat/>
    <w:uiPriority w:val="0"/>
    <w:pPr>
      <w:widowControl/>
      <w:spacing w:before="100" w:beforeAutospacing="1" w:after="100" w:afterAutospacing="1" w:line="240" w:lineRule="auto"/>
      <w:jc w:val="left"/>
    </w:pPr>
    <w:rPr>
      <w:kern w:val="0"/>
    </w:rPr>
  </w:style>
  <w:style w:type="paragraph" w:customStyle="1" w:styleId="732">
    <w:name w:val="表内容"/>
    <w:basedOn w:val="1"/>
    <w:link w:val="733"/>
    <w:autoRedefine/>
    <w:qFormat/>
    <w:uiPriority w:val="0"/>
    <w:pPr>
      <w:widowControl/>
      <w:autoSpaceDE w:val="0"/>
      <w:autoSpaceDN w:val="0"/>
      <w:adjustRightInd w:val="0"/>
      <w:spacing w:line="240" w:lineRule="auto"/>
      <w:textAlignment w:val="bottom"/>
    </w:pPr>
    <w:rPr>
      <w:rFonts w:cs="Times New Roman"/>
      <w:smallCaps/>
      <w:kern w:val="0"/>
      <w:sz w:val="21"/>
      <w:szCs w:val="20"/>
    </w:rPr>
  </w:style>
  <w:style w:type="character" w:customStyle="1" w:styleId="733">
    <w:name w:val="表内容 Char"/>
    <w:link w:val="732"/>
    <w:autoRedefine/>
    <w:qFormat/>
    <w:locked/>
    <w:uiPriority w:val="0"/>
    <w:rPr>
      <w:smallCaps/>
      <w:sz w:val="21"/>
      <w:lang w:val="zh-CN" w:eastAsia="zh-CN"/>
    </w:rPr>
  </w:style>
  <w:style w:type="paragraph" w:customStyle="1" w:styleId="734">
    <w:name w:val="正文文字进缩一"/>
    <w:basedOn w:val="735"/>
    <w:autoRedefine/>
    <w:qFormat/>
    <w:uiPriority w:val="0"/>
    <w:rPr>
      <w:rFonts w:ascii="Times New Roman" w:eastAsia="宋体"/>
    </w:rPr>
  </w:style>
  <w:style w:type="paragraph" w:customStyle="1" w:styleId="735">
    <w:name w:val="正文文字进缩1"/>
    <w:basedOn w:val="1"/>
    <w:autoRedefine/>
    <w:qFormat/>
    <w:uiPriority w:val="0"/>
    <w:pPr>
      <w:ind w:firstLine="550"/>
    </w:pPr>
    <w:rPr>
      <w:rFonts w:ascii="黑体" w:eastAsia="黑体" w:cs="Times New Roman"/>
      <w:b/>
      <w:sz w:val="28"/>
      <w:szCs w:val="20"/>
    </w:rPr>
  </w:style>
  <w:style w:type="paragraph" w:customStyle="1" w:styleId="736">
    <w:name w:val="reader-word-layer reader-word-s1-12"/>
    <w:basedOn w:val="1"/>
    <w:autoRedefine/>
    <w:qFormat/>
    <w:uiPriority w:val="0"/>
    <w:pPr>
      <w:widowControl/>
      <w:spacing w:before="100" w:beforeAutospacing="1" w:after="100" w:afterAutospacing="1" w:line="240" w:lineRule="auto"/>
      <w:jc w:val="left"/>
    </w:pPr>
    <w:rPr>
      <w:kern w:val="0"/>
    </w:rPr>
  </w:style>
  <w:style w:type="paragraph" w:customStyle="1" w:styleId="737">
    <w:name w:val="正文文字缩进0"/>
    <w:basedOn w:val="1"/>
    <w:autoRedefine/>
    <w:qFormat/>
    <w:uiPriority w:val="0"/>
    <w:pPr>
      <w:ind w:firstLine="560" w:firstLineChars="200"/>
    </w:pPr>
    <w:rPr>
      <w:rFonts w:cs="Times New Roman"/>
      <w:sz w:val="28"/>
      <w:szCs w:val="28"/>
    </w:rPr>
  </w:style>
  <w:style w:type="paragraph" w:customStyle="1" w:styleId="738">
    <w:name w:val="Char Char Char Char"/>
    <w:basedOn w:val="1"/>
    <w:autoRedefine/>
    <w:qFormat/>
    <w:uiPriority w:val="0"/>
    <w:pPr>
      <w:spacing w:line="240" w:lineRule="auto"/>
    </w:pPr>
    <w:rPr>
      <w:rFonts w:cs="Times New Roman"/>
      <w:sz w:val="21"/>
    </w:rPr>
  </w:style>
  <w:style w:type="paragraph" w:customStyle="1" w:styleId="739">
    <w:name w:val="reader-word-layer reader-word-s1-17"/>
    <w:basedOn w:val="1"/>
    <w:autoRedefine/>
    <w:qFormat/>
    <w:uiPriority w:val="0"/>
    <w:pPr>
      <w:widowControl/>
      <w:spacing w:before="100" w:beforeAutospacing="1" w:after="100" w:afterAutospacing="1" w:line="240" w:lineRule="auto"/>
      <w:jc w:val="left"/>
    </w:pPr>
    <w:rPr>
      <w:kern w:val="0"/>
    </w:rPr>
  </w:style>
  <w:style w:type="paragraph" w:customStyle="1" w:styleId="740">
    <w:name w:val="xl71"/>
    <w:basedOn w:val="1"/>
    <w:autoRedefine/>
    <w:qFormat/>
    <w:uiPriority w:val="0"/>
    <w:pPr>
      <w:widowControl/>
      <w:pBdr>
        <w:left w:val="single" w:color="auto" w:sz="4" w:space="0"/>
        <w:bottom w:val="single" w:color="auto" w:sz="8" w:space="0"/>
      </w:pBdr>
      <w:spacing w:before="100" w:beforeAutospacing="1" w:after="100" w:afterAutospacing="1" w:line="240" w:lineRule="auto"/>
      <w:textAlignment w:val="center"/>
    </w:pPr>
    <w:rPr>
      <w:rFonts w:eastAsia="Arial Unicode MS" w:cs="Times New Roman"/>
      <w:kern w:val="0"/>
    </w:rPr>
  </w:style>
  <w:style w:type="paragraph" w:customStyle="1" w:styleId="741">
    <w:name w:val="正文文本缩进二"/>
    <w:basedOn w:val="27"/>
    <w:autoRedefine/>
    <w:qFormat/>
    <w:uiPriority w:val="0"/>
    <w:pPr>
      <w:spacing w:after="0"/>
      <w:ind w:left="0" w:leftChars="0" w:firstLine="561" w:firstLineChars="200"/>
    </w:pPr>
    <w:rPr>
      <w:rFonts w:ascii="黑体" w:hAnsi="黑体" w:eastAsia="黑体" w:cs="Times New Roman"/>
      <w:b/>
      <w:bCs/>
      <w:sz w:val="28"/>
      <w:szCs w:val="28"/>
    </w:rPr>
  </w:style>
  <w:style w:type="paragraph" w:customStyle="1" w:styleId="742">
    <w:name w:val="xl104"/>
    <w:basedOn w:val="1"/>
    <w:autoRedefine/>
    <w:qFormat/>
    <w:uiPriority w:val="0"/>
    <w:pPr>
      <w:widowControl/>
      <w:pBdr>
        <w:left w:val="single" w:color="auto" w:sz="8" w:space="0"/>
      </w:pBdr>
      <w:spacing w:before="100" w:beforeAutospacing="1" w:after="100" w:afterAutospacing="1" w:line="240" w:lineRule="auto"/>
      <w:jc w:val="left"/>
      <w:textAlignment w:val="center"/>
    </w:pPr>
    <w:rPr>
      <w:rFonts w:ascii="Arial Unicode MS" w:hAnsi="Arial Unicode MS" w:eastAsia="Arial Unicode MS" w:cs="Arial Unicode MS"/>
      <w:kern w:val="0"/>
      <w:sz w:val="16"/>
      <w:szCs w:val="16"/>
    </w:rPr>
  </w:style>
  <w:style w:type="paragraph" w:customStyle="1" w:styleId="743">
    <w:name w:val="xl82"/>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744">
    <w:name w:val="reader-word-layer reader-word-s2-12"/>
    <w:basedOn w:val="1"/>
    <w:autoRedefine/>
    <w:qFormat/>
    <w:uiPriority w:val="0"/>
    <w:pPr>
      <w:widowControl/>
      <w:spacing w:before="100" w:beforeAutospacing="1" w:after="100" w:afterAutospacing="1" w:line="240" w:lineRule="auto"/>
      <w:jc w:val="left"/>
    </w:pPr>
    <w:rPr>
      <w:kern w:val="0"/>
    </w:rPr>
  </w:style>
  <w:style w:type="paragraph" w:customStyle="1" w:styleId="745">
    <w:name w:val="正式文字"/>
    <w:basedOn w:val="1"/>
    <w:autoRedefine/>
    <w:qFormat/>
    <w:uiPriority w:val="0"/>
    <w:pPr>
      <w:spacing w:line="460" w:lineRule="exact"/>
      <w:ind w:firstLine="200" w:firstLineChars="200"/>
    </w:pPr>
    <w:rPr>
      <w:sz w:val="26"/>
      <w:szCs w:val="20"/>
    </w:rPr>
  </w:style>
  <w:style w:type="paragraph" w:customStyle="1" w:styleId="746">
    <w:name w:val="样式 样式 样式"/>
    <w:basedOn w:val="1"/>
    <w:next w:val="1"/>
    <w:autoRedefine/>
    <w:qFormat/>
    <w:uiPriority w:val="0"/>
    <w:pPr>
      <w:spacing w:line="240" w:lineRule="auto"/>
      <w:ind w:firstLine="103"/>
    </w:pPr>
    <w:rPr>
      <w:sz w:val="21"/>
    </w:rPr>
  </w:style>
  <w:style w:type="paragraph" w:customStyle="1" w:styleId="747">
    <w:name w:val="reader-word-layer reader-word-s2-13"/>
    <w:basedOn w:val="1"/>
    <w:autoRedefine/>
    <w:qFormat/>
    <w:uiPriority w:val="0"/>
    <w:pPr>
      <w:widowControl/>
      <w:spacing w:before="100" w:beforeAutospacing="1" w:after="100" w:afterAutospacing="1" w:line="240" w:lineRule="auto"/>
      <w:jc w:val="left"/>
    </w:pPr>
    <w:rPr>
      <w:kern w:val="0"/>
    </w:rPr>
  </w:style>
  <w:style w:type="paragraph" w:customStyle="1" w:styleId="748">
    <w:name w:val="Char Char Char1 Char Char Char Char"/>
    <w:basedOn w:val="1"/>
    <w:autoRedefine/>
    <w:qFormat/>
    <w:uiPriority w:val="0"/>
    <w:pPr>
      <w:spacing w:line="240" w:lineRule="auto"/>
    </w:pPr>
    <w:rPr>
      <w:rFonts w:eastAsia="仿宋_GB2312" w:cs="Courier New"/>
      <w:sz w:val="32"/>
      <w:szCs w:val="32"/>
    </w:rPr>
  </w:style>
  <w:style w:type="paragraph" w:customStyle="1" w:styleId="749">
    <w:name w:val="Char Char1 Char"/>
    <w:basedOn w:val="1"/>
    <w:next w:val="1"/>
    <w:autoRedefine/>
    <w:qFormat/>
    <w:uiPriority w:val="0"/>
    <w:pPr>
      <w:ind w:firstLine="200" w:firstLineChars="200"/>
    </w:pPr>
  </w:style>
  <w:style w:type="paragraph" w:customStyle="1" w:styleId="750">
    <w:name w:val="reader-word-layer reader-word-s1-18"/>
    <w:basedOn w:val="1"/>
    <w:autoRedefine/>
    <w:qFormat/>
    <w:uiPriority w:val="0"/>
    <w:pPr>
      <w:widowControl/>
      <w:spacing w:before="100" w:beforeAutospacing="1" w:after="100" w:afterAutospacing="1" w:line="240" w:lineRule="auto"/>
      <w:jc w:val="left"/>
    </w:pPr>
    <w:rPr>
      <w:kern w:val="0"/>
    </w:rPr>
  </w:style>
  <w:style w:type="paragraph" w:customStyle="1" w:styleId="751">
    <w:name w:val="Char Char Char1 Char Char Char Char1"/>
    <w:basedOn w:val="1"/>
    <w:autoRedefine/>
    <w:qFormat/>
    <w:uiPriority w:val="0"/>
    <w:pPr>
      <w:ind w:firstLine="200" w:firstLineChars="200"/>
    </w:pPr>
  </w:style>
  <w:style w:type="paragraph" w:customStyle="1" w:styleId="752">
    <w:name w:val="xl89"/>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left"/>
    </w:pPr>
    <w:rPr>
      <w:rFonts w:eastAsia="Arial Unicode MS" w:cs="Times New Roman"/>
      <w:kern w:val="0"/>
      <w:sz w:val="16"/>
      <w:szCs w:val="16"/>
    </w:rPr>
  </w:style>
  <w:style w:type="paragraph" w:customStyle="1" w:styleId="753">
    <w:name w:val="font13"/>
    <w:basedOn w:val="1"/>
    <w:autoRedefine/>
    <w:qFormat/>
    <w:uiPriority w:val="0"/>
    <w:pPr>
      <w:widowControl/>
      <w:spacing w:before="100" w:beforeAutospacing="1" w:after="100" w:afterAutospacing="1" w:line="240" w:lineRule="auto"/>
      <w:jc w:val="left"/>
    </w:pPr>
    <w:rPr>
      <w:rFonts w:eastAsia="Arial Unicode MS" w:cs="Times New Roman"/>
      <w:b/>
      <w:bCs/>
      <w:kern w:val="0"/>
      <w:sz w:val="20"/>
      <w:szCs w:val="20"/>
    </w:rPr>
  </w:style>
  <w:style w:type="paragraph" w:customStyle="1" w:styleId="754">
    <w:name w:val="目录3"/>
    <w:basedOn w:val="1"/>
    <w:autoRedefine/>
    <w:qFormat/>
    <w:uiPriority w:val="0"/>
    <w:pPr>
      <w:widowControl/>
      <w:tabs>
        <w:tab w:val="left" w:leader="dot" w:pos="7370"/>
      </w:tabs>
      <w:spacing w:line="317" w:lineRule="atLeast"/>
      <w:ind w:firstLine="419"/>
      <w:textAlignment w:val="baseline"/>
    </w:pPr>
    <w:rPr>
      <w:rFonts w:cs="Times New Roman"/>
      <w:color w:val="000000"/>
      <w:kern w:val="0"/>
      <w:sz w:val="21"/>
      <w:szCs w:val="20"/>
      <w:u w:color="000000"/>
    </w:rPr>
  </w:style>
  <w:style w:type="paragraph" w:customStyle="1" w:styleId="755">
    <w:name w:val="reader-word-layer reader-word-s2-1"/>
    <w:basedOn w:val="1"/>
    <w:autoRedefine/>
    <w:qFormat/>
    <w:uiPriority w:val="0"/>
    <w:pPr>
      <w:widowControl/>
      <w:spacing w:before="100" w:beforeAutospacing="1" w:after="100" w:afterAutospacing="1" w:line="240" w:lineRule="auto"/>
      <w:jc w:val="left"/>
    </w:pPr>
    <w:rPr>
      <w:kern w:val="0"/>
    </w:rPr>
  </w:style>
  <w:style w:type="paragraph" w:customStyle="1" w:styleId="756">
    <w:name w:val="post_content_p"/>
    <w:basedOn w:val="1"/>
    <w:autoRedefine/>
    <w:qFormat/>
    <w:uiPriority w:val="0"/>
    <w:pPr>
      <w:widowControl/>
      <w:wordWrap w:val="0"/>
      <w:spacing w:line="240" w:lineRule="auto"/>
      <w:jc w:val="left"/>
    </w:pPr>
    <w:rPr>
      <w:kern w:val="0"/>
    </w:rPr>
  </w:style>
  <w:style w:type="paragraph" w:customStyle="1" w:styleId="757">
    <w:name w:val="Char2 Char Char Char"/>
    <w:basedOn w:val="1"/>
    <w:autoRedefine/>
    <w:qFormat/>
    <w:uiPriority w:val="0"/>
    <w:pPr>
      <w:spacing w:line="240" w:lineRule="auto"/>
    </w:pPr>
    <w:rPr>
      <w:rFonts w:cs="Times New Roman"/>
      <w:sz w:val="21"/>
    </w:rPr>
  </w:style>
  <w:style w:type="paragraph" w:customStyle="1" w:styleId="758">
    <w:name w:val="图表目录1"/>
    <w:basedOn w:val="681"/>
    <w:next w:val="681"/>
    <w:autoRedefine/>
    <w:qFormat/>
    <w:uiPriority w:val="0"/>
    <w:pPr>
      <w:tabs>
        <w:tab w:val="right" w:leader="dot" w:pos="8051"/>
      </w:tabs>
      <w:ind w:left="840" w:hanging="840"/>
    </w:pPr>
    <w:rPr>
      <w:szCs w:val="20"/>
    </w:rPr>
  </w:style>
  <w:style w:type="paragraph" w:customStyle="1" w:styleId="759">
    <w:name w:val="正文样式1"/>
    <w:basedOn w:val="1"/>
    <w:autoRedefine/>
    <w:qFormat/>
    <w:uiPriority w:val="0"/>
    <w:pPr>
      <w:adjustRightInd w:val="0"/>
      <w:spacing w:line="480" w:lineRule="atLeast"/>
      <w:ind w:firstLine="567"/>
      <w:jc w:val="left"/>
      <w:textAlignment w:val="baseline"/>
    </w:pPr>
    <w:rPr>
      <w:rFonts w:cs="Times New Roman"/>
      <w:kern w:val="0"/>
      <w:sz w:val="28"/>
      <w:szCs w:val="20"/>
    </w:rPr>
  </w:style>
  <w:style w:type="paragraph" w:customStyle="1" w:styleId="760">
    <w:name w:val="xl60"/>
    <w:basedOn w:val="1"/>
    <w:autoRedefine/>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line="240" w:lineRule="auto"/>
      <w:jc w:val="left"/>
      <w:textAlignment w:val="center"/>
    </w:pPr>
    <w:rPr>
      <w:rFonts w:ascii="Arial Unicode MS" w:hAnsi="Arial Unicode MS" w:eastAsia="Arial Unicode MS" w:cs="Times New Roman"/>
      <w:kern w:val="0"/>
    </w:rPr>
  </w:style>
  <w:style w:type="paragraph" w:customStyle="1" w:styleId="761">
    <w:name w:val="lyh 表格"/>
    <w:basedOn w:val="1"/>
    <w:autoRedefine/>
    <w:qFormat/>
    <w:uiPriority w:val="0"/>
    <w:pPr>
      <w:adjustRightInd w:val="0"/>
      <w:snapToGrid w:val="0"/>
      <w:jc w:val="left"/>
    </w:pPr>
    <w:rPr>
      <w:rFonts w:cs="Times New Roman"/>
    </w:rPr>
  </w:style>
  <w:style w:type="paragraph" w:customStyle="1" w:styleId="762">
    <w:name w:val="正文 A"/>
    <w:autoRedefine/>
    <w:qFormat/>
    <w:uiPriority w:val="0"/>
    <w:pPr>
      <w:widowControl w:val="0"/>
      <w:jc w:val="both"/>
    </w:pPr>
    <w:rPr>
      <w:rFonts w:ascii="Times New Roman" w:hAnsi="Times New Roman" w:eastAsia="ヒラギノ角ゴ Pro W3" w:cs="Times New Roman"/>
      <w:color w:val="000000"/>
      <w:kern w:val="2"/>
      <w:sz w:val="21"/>
      <w:lang w:val="en-US" w:eastAsia="zh-CN" w:bidi="ar-SA"/>
    </w:rPr>
  </w:style>
  <w:style w:type="paragraph" w:customStyle="1" w:styleId="763">
    <w:name w:val="reader-word-layer reader-word-s2-0"/>
    <w:basedOn w:val="1"/>
    <w:autoRedefine/>
    <w:qFormat/>
    <w:uiPriority w:val="0"/>
    <w:pPr>
      <w:widowControl/>
      <w:spacing w:before="100" w:beforeAutospacing="1" w:after="100" w:afterAutospacing="1" w:line="240" w:lineRule="auto"/>
      <w:jc w:val="left"/>
    </w:pPr>
    <w:rPr>
      <w:kern w:val="0"/>
    </w:rPr>
  </w:style>
  <w:style w:type="paragraph" w:customStyle="1" w:styleId="764">
    <w:name w:val="xl61"/>
    <w:basedOn w:val="1"/>
    <w:autoRedefine/>
    <w:qFormat/>
    <w:uiPriority w:val="0"/>
    <w:pPr>
      <w:widowControl/>
      <w:pBdr>
        <w:top w:val="single" w:color="auto" w:sz="4" w:space="0"/>
        <w:left w:val="single" w:color="auto" w:sz="8" w:space="0"/>
        <w:right w:val="single" w:color="auto" w:sz="4" w:space="0"/>
      </w:pBdr>
      <w:spacing w:before="100" w:beforeAutospacing="1" w:after="100" w:afterAutospacing="1" w:line="240" w:lineRule="auto"/>
      <w:textAlignment w:val="center"/>
    </w:pPr>
    <w:rPr>
      <w:rFonts w:eastAsia="Arial Unicode MS" w:cs="Times New Roman"/>
      <w:kern w:val="0"/>
      <w:sz w:val="20"/>
      <w:szCs w:val="20"/>
    </w:rPr>
  </w:style>
  <w:style w:type="paragraph" w:customStyle="1" w:styleId="765">
    <w:name w:val="xl99"/>
    <w:basedOn w:val="1"/>
    <w:autoRedefine/>
    <w:qFormat/>
    <w:uiPriority w:val="0"/>
    <w:pPr>
      <w:widowControl/>
      <w:pBdr>
        <w:top w:val="single" w:color="auto" w:sz="8" w:space="0"/>
        <w:left w:val="single" w:color="auto" w:sz="8" w:space="0"/>
        <w:bottom w:val="single" w:color="auto" w:sz="4" w:space="0"/>
      </w:pBdr>
      <w:spacing w:before="100" w:beforeAutospacing="1" w:after="100" w:afterAutospacing="1" w:line="240" w:lineRule="auto"/>
    </w:pPr>
    <w:rPr>
      <w:rFonts w:ascii="Arial Unicode MS" w:hAnsi="Arial Unicode MS" w:eastAsia="Arial Unicode MS" w:cs="Arial Unicode MS"/>
      <w:kern w:val="0"/>
      <w:sz w:val="16"/>
      <w:szCs w:val="16"/>
    </w:rPr>
  </w:style>
  <w:style w:type="paragraph" w:customStyle="1" w:styleId="766">
    <w:name w:val="xl49"/>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line="240" w:lineRule="auto"/>
      <w:textAlignment w:val="center"/>
    </w:pPr>
    <w:rPr>
      <w:rFonts w:ascii="Arial Unicode MS" w:hAnsi="Arial Unicode MS" w:eastAsia="Arial Unicode MS" w:cs="Times New Roman"/>
      <w:kern w:val="0"/>
      <w:sz w:val="21"/>
      <w:szCs w:val="21"/>
    </w:rPr>
  </w:style>
  <w:style w:type="paragraph" w:customStyle="1" w:styleId="767">
    <w:name w:val="标题2（设计院）"/>
    <w:basedOn w:val="4"/>
    <w:autoRedefine/>
    <w:qFormat/>
    <w:uiPriority w:val="0"/>
    <w:pPr>
      <w:keepLines w:val="0"/>
      <w:autoSpaceDE w:val="0"/>
      <w:autoSpaceDN w:val="0"/>
      <w:adjustRightInd w:val="0"/>
      <w:spacing w:before="60" w:after="60" w:line="360" w:lineRule="auto"/>
      <w:ind w:firstLine="550"/>
    </w:pPr>
    <w:rPr>
      <w:rFonts w:ascii="黑体" w:hAnsi="Times New Roman" w:cs="Times New Roman"/>
      <w:color w:val="000000"/>
      <w:kern w:val="0"/>
      <w:sz w:val="28"/>
      <w:szCs w:val="20"/>
    </w:rPr>
  </w:style>
  <w:style w:type="paragraph" w:customStyle="1" w:styleId="768">
    <w:name w:val="reader-word-layer reader-word-s1-7"/>
    <w:basedOn w:val="1"/>
    <w:autoRedefine/>
    <w:qFormat/>
    <w:uiPriority w:val="0"/>
    <w:pPr>
      <w:widowControl/>
      <w:spacing w:before="100" w:beforeAutospacing="1" w:after="100" w:afterAutospacing="1" w:line="240" w:lineRule="auto"/>
      <w:jc w:val="left"/>
    </w:pPr>
    <w:rPr>
      <w:kern w:val="0"/>
    </w:rPr>
  </w:style>
  <w:style w:type="paragraph" w:customStyle="1" w:styleId="769">
    <w:name w:val="表中样式"/>
    <w:basedOn w:val="1"/>
    <w:autoRedefine/>
    <w:qFormat/>
    <w:uiPriority w:val="0"/>
    <w:pPr>
      <w:widowControl/>
      <w:spacing w:line="240" w:lineRule="exact"/>
      <w:ind w:left="-25" w:leftChars="-25" w:right="-31" w:rightChars="-31"/>
    </w:pPr>
    <w:rPr>
      <w:bCs/>
      <w:kern w:val="0"/>
      <w:sz w:val="21"/>
      <w:szCs w:val="32"/>
    </w:rPr>
  </w:style>
  <w:style w:type="paragraph" w:customStyle="1" w:styleId="770">
    <w:name w:val="默认段落字体 Para Char"/>
    <w:basedOn w:val="1"/>
    <w:autoRedefine/>
    <w:qFormat/>
    <w:uiPriority w:val="0"/>
    <w:pPr>
      <w:ind w:firstLine="200" w:firstLineChars="200"/>
    </w:pPr>
  </w:style>
  <w:style w:type="paragraph" w:customStyle="1" w:styleId="771">
    <w:name w:val="样式 标题 3 + 两端对齐"/>
    <w:basedOn w:val="1"/>
    <w:next w:val="1"/>
    <w:autoRedefine/>
    <w:qFormat/>
    <w:uiPriority w:val="0"/>
    <w:pPr>
      <w:spacing w:line="240" w:lineRule="auto"/>
    </w:pPr>
    <w:rPr>
      <w:rFonts w:ascii="仿宋_GB2312" w:eastAsia="仿宋_GB2312"/>
      <w:b/>
      <w:bCs/>
      <w:sz w:val="30"/>
    </w:rPr>
  </w:style>
  <w:style w:type="paragraph" w:customStyle="1" w:styleId="772">
    <w:name w:val="Document"/>
    <w:basedOn w:val="1"/>
    <w:autoRedefine/>
    <w:qFormat/>
    <w:uiPriority w:val="0"/>
    <w:pPr>
      <w:widowControl/>
      <w:spacing w:line="240" w:lineRule="auto"/>
    </w:pPr>
    <w:rPr>
      <w:rFonts w:ascii="Financial  (MF)" w:hAnsi="Financial  (MF)" w:cs="Times New Roman"/>
      <w:kern w:val="0"/>
      <w:szCs w:val="20"/>
      <w:lang w:eastAsia="en-US"/>
    </w:rPr>
  </w:style>
  <w:style w:type="paragraph" w:customStyle="1" w:styleId="773">
    <w:name w:val="样式 样式 宋体 四号 行距: 1.5 倍行距 首行缩进: 4 字符 + 首行缩进:  2 字符"/>
    <w:basedOn w:val="774"/>
    <w:autoRedefine/>
    <w:qFormat/>
    <w:uiPriority w:val="0"/>
    <w:pPr>
      <w:ind w:firstLine="398" w:firstLineChars="142"/>
    </w:pPr>
  </w:style>
  <w:style w:type="paragraph" w:customStyle="1" w:styleId="774">
    <w:name w:val="样式 宋体 四号 行距: 1.5 倍行距 首行缩进: 4 字符"/>
    <w:basedOn w:val="1"/>
    <w:autoRedefine/>
    <w:qFormat/>
    <w:uiPriority w:val="0"/>
    <w:pPr>
      <w:ind w:firstLine="400" w:firstLineChars="400"/>
      <w:jc w:val="left"/>
    </w:pPr>
    <w:rPr>
      <w:sz w:val="21"/>
      <w:szCs w:val="20"/>
    </w:rPr>
  </w:style>
  <w:style w:type="paragraph" w:customStyle="1" w:styleId="775">
    <w:name w:val="报告表正文"/>
    <w:basedOn w:val="1"/>
    <w:autoRedefine/>
    <w:qFormat/>
    <w:uiPriority w:val="0"/>
    <w:pPr>
      <w:adjustRightInd w:val="0"/>
      <w:spacing w:line="300" w:lineRule="auto"/>
      <w:ind w:left="113" w:right="113"/>
      <w:textAlignment w:val="baseline"/>
    </w:pPr>
    <w:rPr>
      <w:rFonts w:cs="Times New Roman"/>
      <w:kern w:val="0"/>
      <w:szCs w:val="20"/>
    </w:rPr>
  </w:style>
  <w:style w:type="paragraph" w:customStyle="1" w:styleId="776">
    <w:name w:val="正文文本缩进2"/>
    <w:basedOn w:val="41"/>
    <w:autoRedefine/>
    <w:qFormat/>
    <w:uiPriority w:val="0"/>
    <w:pPr>
      <w:spacing w:after="0" w:line="360" w:lineRule="auto"/>
      <w:ind w:left="0" w:leftChars="0" w:firstLine="570"/>
    </w:pPr>
    <w:rPr>
      <w:rFonts w:ascii="黑体" w:eastAsia="黑体"/>
      <w:b/>
      <w:bCs/>
      <w:iCs/>
      <w:color w:val="000000"/>
      <w:kern w:val="2"/>
      <w:sz w:val="28"/>
    </w:rPr>
  </w:style>
  <w:style w:type="paragraph" w:customStyle="1" w:styleId="777">
    <w:name w:val="reader-word-layer reader-word-s5-10"/>
    <w:basedOn w:val="1"/>
    <w:autoRedefine/>
    <w:qFormat/>
    <w:uiPriority w:val="0"/>
    <w:pPr>
      <w:widowControl/>
      <w:spacing w:before="100" w:beforeAutospacing="1" w:after="100" w:afterAutospacing="1" w:line="240" w:lineRule="auto"/>
      <w:jc w:val="left"/>
    </w:pPr>
    <w:rPr>
      <w:kern w:val="0"/>
    </w:rPr>
  </w:style>
  <w:style w:type="paragraph" w:customStyle="1" w:styleId="778">
    <w:name w:val="xl68"/>
    <w:basedOn w:val="1"/>
    <w:autoRedefine/>
    <w:qFormat/>
    <w:uiPriority w:val="0"/>
    <w:pPr>
      <w:widowControl/>
      <w:pBdr>
        <w:left w:val="single" w:color="auto" w:sz="8" w:space="0"/>
        <w:bottom w:val="single" w:color="auto" w:sz="8" w:space="0"/>
        <w:right w:val="single" w:color="auto" w:sz="4" w:space="0"/>
      </w:pBdr>
      <w:spacing w:before="100" w:beforeAutospacing="1" w:after="100" w:afterAutospacing="1" w:line="240" w:lineRule="auto"/>
      <w:textAlignment w:val="center"/>
    </w:pPr>
    <w:rPr>
      <w:rFonts w:eastAsia="Arial Unicode MS" w:cs="Times New Roman"/>
      <w:kern w:val="0"/>
      <w:sz w:val="20"/>
      <w:szCs w:val="20"/>
    </w:rPr>
  </w:style>
  <w:style w:type="paragraph" w:customStyle="1" w:styleId="779">
    <w:name w:val="xl63"/>
    <w:basedOn w:val="1"/>
    <w:autoRedefine/>
    <w:qFormat/>
    <w:uiPriority w:val="0"/>
    <w:pPr>
      <w:widowControl/>
      <w:pBdr>
        <w:left w:val="single" w:color="auto" w:sz="8" w:space="0"/>
        <w:bottom w:val="single" w:color="auto" w:sz="4" w:space="0"/>
        <w:right w:val="single" w:color="auto" w:sz="4" w:space="0"/>
      </w:pBdr>
      <w:spacing w:before="100" w:beforeAutospacing="1" w:after="100" w:afterAutospacing="1" w:line="240" w:lineRule="auto"/>
      <w:textAlignment w:val="center"/>
    </w:pPr>
    <w:rPr>
      <w:rFonts w:eastAsia="Arial Unicode MS" w:cs="Times New Roman"/>
      <w:kern w:val="0"/>
      <w:sz w:val="20"/>
      <w:szCs w:val="20"/>
    </w:rPr>
  </w:style>
  <w:style w:type="paragraph" w:customStyle="1" w:styleId="780">
    <w:name w:val="pic-info"/>
    <w:basedOn w:val="1"/>
    <w:autoRedefine/>
    <w:qFormat/>
    <w:uiPriority w:val="0"/>
    <w:pPr>
      <w:widowControl/>
      <w:spacing w:before="100" w:beforeAutospacing="1" w:after="100" w:afterAutospacing="1" w:line="240" w:lineRule="auto"/>
      <w:jc w:val="left"/>
    </w:pPr>
    <w:rPr>
      <w:kern w:val="0"/>
    </w:rPr>
  </w:style>
  <w:style w:type="paragraph" w:customStyle="1" w:styleId="781">
    <w:name w:val="1"/>
    <w:basedOn w:val="1"/>
    <w:autoRedefine/>
    <w:qFormat/>
    <w:uiPriority w:val="0"/>
    <w:pPr>
      <w:widowControl/>
      <w:spacing w:after="160" w:line="240" w:lineRule="exact"/>
      <w:jc w:val="left"/>
    </w:pPr>
    <w:rPr>
      <w:rFonts w:ascii="Verdana" w:hAnsi="Verdana" w:cs="Times New Roman"/>
      <w:kern w:val="0"/>
      <w:sz w:val="20"/>
      <w:szCs w:val="20"/>
      <w:lang w:eastAsia="en-US"/>
    </w:rPr>
  </w:style>
  <w:style w:type="paragraph" w:customStyle="1" w:styleId="782">
    <w:name w:val="xl73"/>
    <w:basedOn w:val="1"/>
    <w:autoRedefine/>
    <w:qFormat/>
    <w:uiPriority w:val="0"/>
    <w:pPr>
      <w:widowControl/>
      <w:spacing w:before="100" w:beforeAutospacing="1" w:after="100" w:afterAutospacing="1" w:line="240" w:lineRule="auto"/>
      <w:jc w:val="left"/>
    </w:pPr>
    <w:rPr>
      <w:rFonts w:ascii="Arial Unicode MS" w:hAnsi="Arial Unicode MS" w:eastAsia="Arial Unicode MS" w:cs="Arial Unicode MS"/>
      <w:kern w:val="0"/>
      <w:sz w:val="20"/>
      <w:szCs w:val="20"/>
      <w:u w:val="single"/>
    </w:rPr>
  </w:style>
  <w:style w:type="paragraph" w:customStyle="1" w:styleId="783">
    <w:name w:val="news_content"/>
    <w:basedOn w:val="1"/>
    <w:autoRedefine/>
    <w:qFormat/>
    <w:uiPriority w:val="0"/>
    <w:pPr>
      <w:widowControl/>
      <w:spacing w:before="100" w:beforeAutospacing="1" w:after="100" w:afterAutospacing="1"/>
      <w:ind w:left="300" w:firstLine="660"/>
      <w:jc w:val="left"/>
    </w:pPr>
    <w:rPr>
      <w:rFonts w:ascii="Arial Unicode MS" w:hAnsi="Arial Unicode MS" w:eastAsia="Arial Unicode MS" w:cs="Arial Unicode MS"/>
      <w:color w:val="000000"/>
      <w:kern w:val="0"/>
    </w:rPr>
  </w:style>
  <w:style w:type="paragraph" w:customStyle="1" w:styleId="784">
    <w:name w:val="xl103"/>
    <w:basedOn w:val="1"/>
    <w:autoRedefine/>
    <w:qFormat/>
    <w:uiPriority w:val="0"/>
    <w:pPr>
      <w:widowControl/>
      <w:pBdr>
        <w:top w:val="single" w:color="auto" w:sz="4" w:space="0"/>
        <w:left w:val="single" w:color="auto" w:sz="8" w:space="0"/>
      </w:pBdr>
      <w:spacing w:before="100" w:beforeAutospacing="1" w:after="100" w:afterAutospacing="1" w:line="240" w:lineRule="auto"/>
      <w:jc w:val="left"/>
      <w:textAlignment w:val="center"/>
    </w:pPr>
    <w:rPr>
      <w:rFonts w:ascii="Arial Unicode MS" w:hAnsi="Arial Unicode MS" w:eastAsia="Arial Unicode MS" w:cs="Arial Unicode MS"/>
      <w:kern w:val="0"/>
      <w:sz w:val="16"/>
      <w:szCs w:val="16"/>
    </w:rPr>
  </w:style>
  <w:style w:type="paragraph" w:customStyle="1" w:styleId="785">
    <w:name w:val="xl44"/>
    <w:basedOn w:val="1"/>
    <w:autoRedefine/>
    <w:qFormat/>
    <w:uiPriority w:val="0"/>
    <w:pPr>
      <w:widowControl/>
      <w:pBdr>
        <w:right w:val="single" w:color="auto" w:sz="4" w:space="0"/>
      </w:pBdr>
      <w:spacing w:before="100" w:beforeAutospacing="1" w:after="100" w:afterAutospacing="1" w:line="240" w:lineRule="auto"/>
      <w:textAlignment w:val="center"/>
    </w:pPr>
    <w:rPr>
      <w:rFonts w:eastAsia="Arial Unicode MS" w:cs="Times New Roman"/>
      <w:kern w:val="0"/>
      <w:sz w:val="21"/>
      <w:szCs w:val="21"/>
    </w:rPr>
  </w:style>
  <w:style w:type="paragraph" w:customStyle="1" w:styleId="786">
    <w:name w:val="font14"/>
    <w:basedOn w:val="1"/>
    <w:autoRedefine/>
    <w:qFormat/>
    <w:uiPriority w:val="0"/>
    <w:pPr>
      <w:widowControl/>
      <w:spacing w:before="100" w:beforeAutospacing="1" w:after="100" w:afterAutospacing="1" w:line="240" w:lineRule="auto"/>
      <w:jc w:val="left"/>
    </w:pPr>
    <w:rPr>
      <w:rFonts w:hint="eastAsia" w:cs="Arial Unicode MS"/>
      <w:b/>
      <w:bCs/>
      <w:kern w:val="0"/>
      <w:sz w:val="16"/>
      <w:szCs w:val="16"/>
    </w:rPr>
  </w:style>
  <w:style w:type="paragraph" w:customStyle="1" w:styleId="787">
    <w:name w:val="正文文字缩进二"/>
    <w:basedOn w:val="1"/>
    <w:autoRedefine/>
    <w:qFormat/>
    <w:uiPriority w:val="0"/>
    <w:pPr>
      <w:ind w:firstLine="560" w:firstLineChars="200"/>
    </w:pPr>
    <w:rPr>
      <w:rFonts w:cs="Times New Roman"/>
      <w:bCs/>
      <w:sz w:val="28"/>
      <w:szCs w:val="28"/>
    </w:rPr>
  </w:style>
  <w:style w:type="paragraph" w:customStyle="1" w:styleId="788">
    <w:name w:val="xl56"/>
    <w:basedOn w:val="1"/>
    <w:autoRedefine/>
    <w:qFormat/>
    <w:uiPriority w:val="0"/>
    <w:pPr>
      <w:widowControl/>
      <w:pBdr>
        <w:top w:val="single" w:color="auto" w:sz="8" w:space="0"/>
        <w:left w:val="single" w:color="auto" w:sz="8" w:space="0"/>
        <w:right w:val="single" w:color="auto" w:sz="4" w:space="0"/>
      </w:pBdr>
      <w:spacing w:before="100" w:beforeAutospacing="1" w:after="100" w:afterAutospacing="1" w:line="240" w:lineRule="auto"/>
      <w:textAlignment w:val="center"/>
    </w:pPr>
    <w:rPr>
      <w:rFonts w:eastAsia="Arial Unicode MS" w:cs="Times New Roman"/>
      <w:kern w:val="0"/>
      <w:sz w:val="20"/>
      <w:szCs w:val="20"/>
    </w:rPr>
  </w:style>
  <w:style w:type="paragraph" w:customStyle="1" w:styleId="789">
    <w:name w:val="p15"/>
    <w:basedOn w:val="1"/>
    <w:autoRedefine/>
    <w:qFormat/>
    <w:uiPriority w:val="0"/>
    <w:pPr>
      <w:widowControl/>
      <w:ind w:firstLine="298"/>
      <w:jc w:val="left"/>
    </w:pPr>
    <w:rPr>
      <w:kern w:val="0"/>
      <w:sz w:val="21"/>
      <w:szCs w:val="28"/>
    </w:rPr>
  </w:style>
  <w:style w:type="paragraph" w:customStyle="1" w:styleId="790">
    <w:name w:val="xl67"/>
    <w:basedOn w:val="1"/>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line="240" w:lineRule="auto"/>
      <w:textAlignment w:val="center"/>
    </w:pPr>
    <w:rPr>
      <w:rFonts w:eastAsia="Arial Unicode MS" w:cs="Times New Roman"/>
      <w:kern w:val="0"/>
      <w:sz w:val="20"/>
      <w:szCs w:val="20"/>
    </w:rPr>
  </w:style>
  <w:style w:type="paragraph" w:customStyle="1" w:styleId="791">
    <w:name w:val="xl28"/>
    <w:basedOn w:val="1"/>
    <w:autoRedefine/>
    <w:qFormat/>
    <w:uiPriority w:val="0"/>
    <w:pPr>
      <w:widowControl/>
      <w:pBdr>
        <w:top w:val="single" w:color="auto" w:sz="8" w:space="0"/>
        <w:left w:val="single" w:color="auto" w:sz="8" w:space="0"/>
        <w:right w:val="single" w:color="auto" w:sz="8" w:space="0"/>
      </w:pBdr>
      <w:spacing w:before="100" w:beforeAutospacing="1" w:after="100" w:afterAutospacing="1" w:line="240" w:lineRule="auto"/>
      <w:textAlignment w:val="center"/>
    </w:pPr>
    <w:rPr>
      <w:rFonts w:ascii="Arial Unicode MS" w:hAnsi="Arial Unicode MS" w:eastAsia="Arial Unicode MS" w:cs="Times New Roman"/>
      <w:kern w:val="0"/>
    </w:rPr>
  </w:style>
  <w:style w:type="paragraph" w:customStyle="1" w:styleId="792">
    <w:name w:val="xl23"/>
    <w:basedOn w:val="1"/>
    <w:autoRedefine/>
    <w:qFormat/>
    <w:uiPriority w:val="0"/>
    <w:pPr>
      <w:widowControl/>
      <w:spacing w:before="100" w:beforeAutospacing="1" w:after="100" w:afterAutospacing="1" w:line="240" w:lineRule="auto"/>
    </w:pPr>
    <w:rPr>
      <w:rFonts w:ascii="Arial" w:hAnsi="Arial" w:cs="Arial"/>
      <w:kern w:val="0"/>
    </w:rPr>
  </w:style>
  <w:style w:type="paragraph" w:customStyle="1" w:styleId="793">
    <w:name w:val="reader-word-layer reader-word-s2-5"/>
    <w:basedOn w:val="1"/>
    <w:autoRedefine/>
    <w:qFormat/>
    <w:uiPriority w:val="0"/>
    <w:pPr>
      <w:widowControl/>
      <w:spacing w:before="100" w:beforeAutospacing="1" w:after="100" w:afterAutospacing="1" w:line="240" w:lineRule="auto"/>
      <w:jc w:val="left"/>
    </w:pPr>
    <w:rPr>
      <w:kern w:val="0"/>
    </w:rPr>
  </w:style>
  <w:style w:type="paragraph" w:customStyle="1" w:styleId="794">
    <w:name w:val="正文文字缩进C"/>
    <w:basedOn w:val="1"/>
    <w:autoRedefine/>
    <w:qFormat/>
    <w:uiPriority w:val="0"/>
    <w:pPr>
      <w:ind w:firstLine="561" w:firstLineChars="200"/>
    </w:pPr>
    <w:rPr>
      <w:rFonts w:ascii="黑体" w:hAnsi="黑体" w:eastAsia="黑体" w:cs="Times New Roman"/>
      <w:b/>
      <w:color w:val="000000"/>
      <w:kern w:val="0"/>
      <w:sz w:val="28"/>
      <w:szCs w:val="28"/>
    </w:rPr>
  </w:style>
  <w:style w:type="paragraph" w:customStyle="1" w:styleId="795">
    <w:name w:val="Char Char Char Char Char Char1 Char"/>
    <w:basedOn w:val="1"/>
    <w:autoRedefine/>
    <w:qFormat/>
    <w:uiPriority w:val="0"/>
    <w:pPr>
      <w:spacing w:line="240" w:lineRule="auto"/>
    </w:pPr>
    <w:rPr>
      <w:rFonts w:cs="Times New Roman"/>
      <w:sz w:val="21"/>
      <w:szCs w:val="20"/>
    </w:rPr>
  </w:style>
  <w:style w:type="paragraph" w:customStyle="1" w:styleId="796">
    <w:name w:val="正文文本缩进B"/>
    <w:basedOn w:val="27"/>
    <w:autoRedefine/>
    <w:qFormat/>
    <w:uiPriority w:val="0"/>
    <w:pPr>
      <w:spacing w:after="0"/>
      <w:ind w:left="0" w:leftChars="0" w:firstLine="480" w:firstLineChars="200"/>
    </w:pPr>
    <w:rPr>
      <w:rFonts w:cs="Times New Roman"/>
    </w:rPr>
  </w:style>
  <w:style w:type="paragraph" w:customStyle="1" w:styleId="797">
    <w:name w:val="xl77"/>
    <w:basedOn w:val="1"/>
    <w:autoRedefine/>
    <w:qFormat/>
    <w:uiPriority w:val="0"/>
    <w:pPr>
      <w:widowControl/>
      <w:pBdr>
        <w:top w:val="single" w:color="auto" w:sz="8" w:space="0"/>
        <w:left w:val="single" w:color="auto" w:sz="4" w:space="0"/>
        <w:bottom w:val="single" w:color="auto" w:sz="4" w:space="0"/>
        <w:right w:val="single" w:color="auto" w:sz="8"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798">
    <w:name w:val="xl59"/>
    <w:basedOn w:val="1"/>
    <w:autoRedefine/>
    <w:qFormat/>
    <w:uiPriority w:val="0"/>
    <w:pPr>
      <w:widowControl/>
      <w:pBdr>
        <w:top w:val="single" w:color="auto" w:sz="8" w:space="0"/>
        <w:bottom w:val="single" w:color="auto" w:sz="4" w:space="0"/>
        <w:right w:val="single" w:color="auto" w:sz="4" w:space="0"/>
      </w:pBdr>
      <w:spacing w:before="100" w:beforeAutospacing="1" w:after="100" w:afterAutospacing="1" w:line="240" w:lineRule="auto"/>
      <w:textAlignment w:val="center"/>
    </w:pPr>
    <w:rPr>
      <w:rFonts w:eastAsia="Arial Unicode MS" w:cs="Times New Roman"/>
      <w:kern w:val="0"/>
    </w:rPr>
  </w:style>
  <w:style w:type="paragraph" w:customStyle="1" w:styleId="799">
    <w:name w:val="表中"/>
    <w:autoRedefine/>
    <w:qFormat/>
    <w:uiPriority w:val="0"/>
    <w:pPr>
      <w:spacing w:line="240" w:lineRule="exact"/>
      <w:jc w:val="center"/>
    </w:pPr>
    <w:rPr>
      <w:rFonts w:ascii="Times New Roman" w:hAnsi="Times New Roman" w:eastAsia="宋体" w:cs="Times New Roman"/>
      <w:color w:val="000000"/>
      <w:kern w:val="44"/>
      <w:sz w:val="18"/>
      <w:lang w:val="en-US" w:eastAsia="zh-CN" w:bidi="ar-SA"/>
    </w:rPr>
  </w:style>
  <w:style w:type="paragraph" w:customStyle="1" w:styleId="800">
    <w:name w:val="小四表文左齐"/>
    <w:basedOn w:val="1"/>
    <w:autoRedefine/>
    <w:qFormat/>
    <w:uiPriority w:val="0"/>
    <w:pPr>
      <w:spacing w:line="360" w:lineRule="exact"/>
    </w:pPr>
    <w:rPr>
      <w:rFonts w:cs="Times New Roman"/>
      <w:sz w:val="21"/>
      <w:szCs w:val="21"/>
    </w:rPr>
  </w:style>
  <w:style w:type="paragraph" w:customStyle="1" w:styleId="801">
    <w:name w:val="xl65"/>
    <w:basedOn w:val="1"/>
    <w:autoRedefine/>
    <w:qFormat/>
    <w:uiPriority w:val="0"/>
    <w:pPr>
      <w:widowControl/>
      <w:pBdr>
        <w:left w:val="single" w:color="auto" w:sz="8" w:space="0"/>
        <w:right w:val="single" w:color="auto" w:sz="4" w:space="0"/>
      </w:pBdr>
      <w:spacing w:before="100" w:beforeAutospacing="1" w:after="100" w:afterAutospacing="1" w:line="240" w:lineRule="auto"/>
      <w:textAlignment w:val="center"/>
    </w:pPr>
    <w:rPr>
      <w:rFonts w:eastAsia="Arial Unicode MS" w:cs="Times New Roman"/>
      <w:kern w:val="0"/>
      <w:sz w:val="20"/>
      <w:szCs w:val="20"/>
    </w:rPr>
  </w:style>
  <w:style w:type="paragraph" w:customStyle="1" w:styleId="802">
    <w:name w:val="xl97"/>
    <w:basedOn w:val="1"/>
    <w:autoRedefine/>
    <w:qFormat/>
    <w:uiPriority w:val="0"/>
    <w:pPr>
      <w:widowControl/>
      <w:pBdr>
        <w:left w:val="single" w:color="auto" w:sz="8" w:space="0"/>
        <w:right w:val="single" w:color="auto" w:sz="4" w:space="0"/>
      </w:pBdr>
      <w:spacing w:before="100" w:beforeAutospacing="1" w:after="100" w:afterAutospacing="1" w:line="240" w:lineRule="auto"/>
      <w:textAlignment w:val="center"/>
    </w:pPr>
    <w:rPr>
      <w:rFonts w:eastAsia="Arial Unicode MS" w:cs="Times New Roman"/>
      <w:kern w:val="0"/>
      <w:sz w:val="16"/>
      <w:szCs w:val="16"/>
    </w:rPr>
  </w:style>
  <w:style w:type="paragraph" w:customStyle="1" w:styleId="803">
    <w:name w:val="font6"/>
    <w:basedOn w:val="1"/>
    <w:autoRedefine/>
    <w:qFormat/>
    <w:uiPriority w:val="0"/>
    <w:pPr>
      <w:widowControl/>
      <w:spacing w:before="100" w:beforeAutospacing="1" w:after="100" w:afterAutospacing="1" w:line="240" w:lineRule="auto"/>
      <w:jc w:val="left"/>
    </w:pPr>
    <w:rPr>
      <w:rFonts w:hint="eastAsia" w:cs="Times New Roman"/>
      <w:kern w:val="0"/>
      <w:sz w:val="21"/>
      <w:szCs w:val="21"/>
    </w:rPr>
  </w:style>
  <w:style w:type="paragraph" w:customStyle="1" w:styleId="804">
    <w:name w:val="xl3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eastAsia="Arial Unicode MS" w:cs="Times New Roman"/>
      <w:kern w:val="0"/>
      <w:sz w:val="21"/>
      <w:szCs w:val="21"/>
    </w:rPr>
  </w:style>
  <w:style w:type="paragraph" w:customStyle="1" w:styleId="805">
    <w:name w:val="xl72"/>
    <w:basedOn w:val="1"/>
    <w:autoRedefine/>
    <w:qFormat/>
    <w:uiPriority w:val="0"/>
    <w:pPr>
      <w:widowControl/>
      <w:pBdr>
        <w:left w:val="single" w:color="auto" w:sz="4" w:space="0"/>
        <w:bottom w:val="single" w:color="auto" w:sz="8" w:space="0"/>
        <w:right w:val="single" w:color="auto" w:sz="8" w:space="0"/>
      </w:pBdr>
      <w:spacing w:before="100" w:beforeAutospacing="1" w:after="100" w:afterAutospacing="1" w:line="240" w:lineRule="auto"/>
      <w:jc w:val="left"/>
      <w:textAlignment w:val="center"/>
    </w:pPr>
    <w:rPr>
      <w:rFonts w:ascii="Arial Unicode MS" w:hAnsi="Arial Unicode MS" w:eastAsia="Arial Unicode MS" w:cs="Times New Roman"/>
      <w:kern w:val="0"/>
    </w:rPr>
  </w:style>
  <w:style w:type="paragraph" w:customStyle="1" w:styleId="806">
    <w:name w:val="xl37"/>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ascii="Arial Unicode MS" w:hAnsi="Arial Unicode MS" w:eastAsia="Arial Unicode MS" w:cs="Times New Roman"/>
      <w:kern w:val="0"/>
      <w:sz w:val="21"/>
      <w:szCs w:val="21"/>
    </w:rPr>
  </w:style>
  <w:style w:type="paragraph" w:customStyle="1" w:styleId="807">
    <w:name w:val="xl55"/>
    <w:basedOn w:val="1"/>
    <w:autoRedefine/>
    <w:qFormat/>
    <w:uiPriority w:val="0"/>
    <w:pPr>
      <w:widowControl/>
      <w:pBdr>
        <w:top w:val="single" w:color="auto" w:sz="4" w:space="0"/>
        <w:right w:val="single" w:color="auto" w:sz="4" w:space="0"/>
      </w:pBdr>
      <w:spacing w:before="100" w:beforeAutospacing="1" w:after="100" w:afterAutospacing="1" w:line="240" w:lineRule="auto"/>
      <w:textAlignment w:val="center"/>
    </w:pPr>
    <w:rPr>
      <w:rFonts w:ascii="Arial Unicode MS" w:hAnsi="Arial Unicode MS" w:eastAsia="Arial Unicode MS" w:cs="Times New Roman"/>
      <w:kern w:val="0"/>
      <w:sz w:val="21"/>
      <w:szCs w:val="21"/>
    </w:rPr>
  </w:style>
  <w:style w:type="paragraph" w:customStyle="1" w:styleId="808">
    <w:name w:val="qilu"/>
    <w:basedOn w:val="1"/>
    <w:autoRedefine/>
    <w:qFormat/>
    <w:uiPriority w:val="0"/>
    <w:pPr>
      <w:autoSpaceDE w:val="0"/>
      <w:autoSpaceDN w:val="0"/>
      <w:adjustRightInd w:val="0"/>
      <w:spacing w:line="240" w:lineRule="auto"/>
      <w:jc w:val="left"/>
      <w:textAlignment w:val="baseline"/>
    </w:pPr>
    <w:rPr>
      <w:rFonts w:cs="Times New Roman"/>
      <w:b/>
      <w:kern w:val="0"/>
      <w:sz w:val="28"/>
      <w:szCs w:val="20"/>
    </w:rPr>
  </w:style>
  <w:style w:type="paragraph" w:customStyle="1" w:styleId="809">
    <w:name w:val="xl45"/>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eastAsia="Arial Unicode MS" w:cs="Times New Roman"/>
      <w:kern w:val="0"/>
    </w:rPr>
  </w:style>
  <w:style w:type="paragraph" w:customStyle="1" w:styleId="810">
    <w:name w:val="Body Text 22"/>
    <w:basedOn w:val="1"/>
    <w:autoRedefine/>
    <w:qFormat/>
    <w:uiPriority w:val="0"/>
    <w:pPr>
      <w:adjustRightInd w:val="0"/>
      <w:spacing w:line="440" w:lineRule="atLeast"/>
      <w:ind w:firstLine="480"/>
      <w:textAlignment w:val="baseline"/>
    </w:pPr>
    <w:rPr>
      <w:rFonts w:eastAsia="仿宋_GB2312" w:cs="Times New Roman"/>
      <w:szCs w:val="20"/>
    </w:rPr>
  </w:style>
  <w:style w:type="paragraph" w:customStyle="1" w:styleId="811">
    <w:name w:val="xl83"/>
    <w:basedOn w:val="1"/>
    <w:autoRedefine/>
    <w:qFormat/>
    <w:uiPriority w:val="0"/>
    <w:pPr>
      <w:widowControl/>
      <w:pBdr>
        <w:top w:val="single" w:color="auto" w:sz="4"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812">
    <w:name w:val="news_bt"/>
    <w:basedOn w:val="1"/>
    <w:autoRedefine/>
    <w:qFormat/>
    <w:uiPriority w:val="0"/>
    <w:pPr>
      <w:widowControl/>
      <w:spacing w:before="100" w:beforeAutospacing="1" w:after="100" w:afterAutospacing="1" w:line="240" w:lineRule="auto"/>
      <w:jc w:val="left"/>
    </w:pPr>
    <w:rPr>
      <w:kern w:val="0"/>
    </w:rPr>
  </w:style>
  <w:style w:type="paragraph" w:customStyle="1" w:styleId="813">
    <w:name w:val="标一"/>
    <w:next w:val="1"/>
    <w:autoRedefine/>
    <w:semiHidden/>
    <w:qFormat/>
    <w:uiPriority w:val="0"/>
    <w:pPr>
      <w:spacing w:line="600" w:lineRule="exact"/>
    </w:pPr>
    <w:rPr>
      <w:rFonts w:ascii="宋体" w:hAnsi="宋体" w:eastAsia="黑体" w:cs="Courier New"/>
      <w:kern w:val="2"/>
      <w:sz w:val="32"/>
      <w:szCs w:val="32"/>
      <w:lang w:val="en-US" w:eastAsia="zh-CN" w:bidi="ar-SA"/>
    </w:rPr>
  </w:style>
  <w:style w:type="paragraph" w:customStyle="1" w:styleId="814">
    <w:name w:val="reader-word-layer reader-word-s2-11"/>
    <w:basedOn w:val="1"/>
    <w:autoRedefine/>
    <w:qFormat/>
    <w:uiPriority w:val="0"/>
    <w:pPr>
      <w:widowControl/>
      <w:spacing w:before="100" w:beforeAutospacing="1" w:after="100" w:afterAutospacing="1" w:line="240" w:lineRule="auto"/>
      <w:jc w:val="left"/>
    </w:pPr>
    <w:rPr>
      <w:kern w:val="0"/>
    </w:rPr>
  </w:style>
  <w:style w:type="paragraph" w:customStyle="1" w:styleId="815">
    <w:name w:val="Char Char Char Char111"/>
    <w:basedOn w:val="1"/>
    <w:link w:val="816"/>
    <w:autoRedefine/>
    <w:qFormat/>
    <w:uiPriority w:val="0"/>
    <w:pPr>
      <w:spacing w:line="240" w:lineRule="auto"/>
    </w:pPr>
    <w:rPr>
      <w:rFonts w:cs="Times New Roman"/>
      <w:sz w:val="21"/>
    </w:rPr>
  </w:style>
  <w:style w:type="character" w:customStyle="1" w:styleId="816">
    <w:name w:val="Char Char Char Char Char"/>
    <w:link w:val="815"/>
    <w:autoRedefine/>
    <w:qFormat/>
    <w:uiPriority w:val="0"/>
    <w:rPr>
      <w:kern w:val="2"/>
      <w:sz w:val="21"/>
      <w:szCs w:val="24"/>
      <w:lang w:val="zh-CN" w:eastAsia="zh-CN"/>
    </w:rPr>
  </w:style>
  <w:style w:type="paragraph" w:customStyle="1" w:styleId="817">
    <w:name w:val="正文文本缩进b"/>
    <w:basedOn w:val="27"/>
    <w:autoRedefine/>
    <w:qFormat/>
    <w:uiPriority w:val="0"/>
    <w:pPr>
      <w:spacing w:after="0"/>
      <w:ind w:left="0" w:leftChars="0" w:firstLine="480" w:firstLineChars="200"/>
    </w:pPr>
    <w:rPr>
      <w:rFonts w:hAnsi="BankGothic Lt BT" w:cs="Times New Roman"/>
      <w:color w:val="000000"/>
    </w:rPr>
  </w:style>
  <w:style w:type="paragraph" w:customStyle="1" w:styleId="818">
    <w:name w:val="页脚1"/>
    <w:basedOn w:val="681"/>
    <w:autoRedefine/>
    <w:qFormat/>
    <w:uiPriority w:val="0"/>
    <w:pPr>
      <w:tabs>
        <w:tab w:val="center" w:pos="4153"/>
        <w:tab w:val="right" w:pos="8306"/>
      </w:tabs>
      <w:spacing w:line="240" w:lineRule="atLeast"/>
    </w:pPr>
    <w:rPr>
      <w:sz w:val="18"/>
      <w:szCs w:val="20"/>
    </w:rPr>
  </w:style>
  <w:style w:type="paragraph" w:customStyle="1" w:styleId="819">
    <w:name w:val="font5"/>
    <w:basedOn w:val="1"/>
    <w:autoRedefine/>
    <w:qFormat/>
    <w:uiPriority w:val="0"/>
    <w:pPr>
      <w:widowControl/>
      <w:spacing w:before="100" w:beforeAutospacing="1" w:after="100" w:afterAutospacing="1" w:line="240" w:lineRule="auto"/>
      <w:jc w:val="left"/>
    </w:pPr>
    <w:rPr>
      <w:rFonts w:eastAsia="Arial Unicode MS" w:cs="Times New Roman"/>
      <w:kern w:val="0"/>
      <w:sz w:val="21"/>
      <w:szCs w:val="21"/>
    </w:rPr>
  </w:style>
  <w:style w:type="paragraph" w:customStyle="1" w:styleId="820">
    <w:name w:val="CCCCCCCCCCCCCCCCCCCCCCC"/>
    <w:basedOn w:val="3"/>
    <w:autoRedefine/>
    <w:qFormat/>
    <w:uiPriority w:val="0"/>
    <w:pPr>
      <w:spacing w:before="120" w:after="120" w:line="360" w:lineRule="auto"/>
      <w:jc w:val="left"/>
    </w:pPr>
    <w:rPr>
      <w:rFonts w:cs="Times New Roman"/>
      <w:bCs/>
      <w:sz w:val="24"/>
      <w:szCs w:val="44"/>
    </w:rPr>
  </w:style>
  <w:style w:type="paragraph" w:customStyle="1" w:styleId="821">
    <w:name w:val="font10"/>
    <w:basedOn w:val="1"/>
    <w:autoRedefine/>
    <w:qFormat/>
    <w:uiPriority w:val="0"/>
    <w:pPr>
      <w:widowControl/>
      <w:spacing w:before="100" w:beforeAutospacing="1" w:after="100" w:afterAutospacing="1" w:line="240" w:lineRule="auto"/>
      <w:jc w:val="left"/>
    </w:pPr>
    <w:rPr>
      <w:rFonts w:hint="eastAsia" w:cs="Times New Roman"/>
      <w:kern w:val="0"/>
      <w:sz w:val="20"/>
      <w:szCs w:val="20"/>
    </w:rPr>
  </w:style>
  <w:style w:type="paragraph" w:customStyle="1" w:styleId="822">
    <w:name w:val="Char Char Char Char Char Char1 Char Char Char Char Char Char Char Char Char1 Char Char Char Char Char Char Char Char Char Char Char Char Char"/>
    <w:basedOn w:val="1"/>
    <w:autoRedefine/>
    <w:qFormat/>
    <w:uiPriority w:val="0"/>
    <w:pPr>
      <w:widowControl/>
      <w:spacing w:line="240" w:lineRule="auto"/>
      <w:jc w:val="left"/>
    </w:pPr>
    <w:rPr>
      <w:rFonts w:cs="Times New Roman"/>
      <w:kern w:val="0"/>
    </w:rPr>
  </w:style>
  <w:style w:type="paragraph" w:customStyle="1" w:styleId="823">
    <w:name w:val="表1"/>
    <w:next w:val="1"/>
    <w:link w:val="824"/>
    <w:autoRedefine/>
    <w:qFormat/>
    <w:uiPriority w:val="0"/>
    <w:pPr>
      <w:adjustRightInd w:val="0"/>
      <w:snapToGrid w:val="0"/>
      <w:jc w:val="center"/>
    </w:pPr>
    <w:rPr>
      <w:rFonts w:ascii="Times New Roman" w:hAnsi="Times New Roman" w:eastAsia="宋体" w:cs="Times New Roman"/>
      <w:sz w:val="21"/>
      <w:lang w:val="en-US" w:eastAsia="zh-CN" w:bidi="ar-SA"/>
    </w:rPr>
  </w:style>
  <w:style w:type="character" w:customStyle="1" w:styleId="824">
    <w:name w:val="表1 Char"/>
    <w:link w:val="823"/>
    <w:autoRedefine/>
    <w:qFormat/>
    <w:locked/>
    <w:uiPriority w:val="0"/>
    <w:rPr>
      <w:sz w:val="21"/>
    </w:rPr>
  </w:style>
  <w:style w:type="paragraph" w:customStyle="1" w:styleId="825">
    <w:name w:val="样式 标题 1 + 自动设置"/>
    <w:basedOn w:val="3"/>
    <w:autoRedefine/>
    <w:qFormat/>
    <w:uiPriority w:val="0"/>
    <w:pPr>
      <w:tabs>
        <w:tab w:val="left" w:pos="700"/>
        <w:tab w:val="left" w:pos="1454"/>
      </w:tabs>
      <w:autoSpaceDE w:val="0"/>
      <w:autoSpaceDN w:val="0"/>
      <w:adjustRightInd w:val="0"/>
      <w:spacing w:before="120" w:after="60" w:line="240" w:lineRule="auto"/>
      <w:ind w:left="1454" w:hanging="720"/>
      <w:jc w:val="left"/>
    </w:pPr>
    <w:rPr>
      <w:rFonts w:cs="Times New Roman"/>
      <w:bCs/>
      <w:sz w:val="28"/>
      <w:szCs w:val="20"/>
    </w:rPr>
  </w:style>
  <w:style w:type="paragraph" w:customStyle="1" w:styleId="826">
    <w:name w:val="newsinfo"/>
    <w:basedOn w:val="1"/>
    <w:autoRedefine/>
    <w:qFormat/>
    <w:uiPriority w:val="0"/>
    <w:pPr>
      <w:widowControl/>
      <w:spacing w:before="100" w:beforeAutospacing="1" w:after="100" w:afterAutospacing="1" w:line="400" w:lineRule="atLeast"/>
    </w:pPr>
    <w:rPr>
      <w:kern w:val="0"/>
    </w:rPr>
  </w:style>
  <w:style w:type="paragraph" w:customStyle="1" w:styleId="827">
    <w:name w:val="f13 m"/>
    <w:basedOn w:val="1"/>
    <w:autoRedefine/>
    <w:qFormat/>
    <w:uiPriority w:val="0"/>
    <w:pPr>
      <w:widowControl/>
      <w:spacing w:line="240" w:lineRule="auto"/>
      <w:jc w:val="left"/>
    </w:pPr>
    <w:rPr>
      <w:kern w:val="0"/>
    </w:rPr>
  </w:style>
  <w:style w:type="paragraph" w:customStyle="1" w:styleId="828">
    <w:name w:val="Char111"/>
    <w:basedOn w:val="1"/>
    <w:autoRedefine/>
    <w:qFormat/>
    <w:uiPriority w:val="0"/>
    <w:pPr>
      <w:spacing w:line="240" w:lineRule="auto"/>
    </w:pPr>
    <w:rPr>
      <w:rFonts w:cs="Times New Roman"/>
      <w:sz w:val="21"/>
    </w:rPr>
  </w:style>
  <w:style w:type="paragraph" w:customStyle="1" w:styleId="829">
    <w:name w:val="xl109"/>
    <w:basedOn w:val="1"/>
    <w:autoRedefine/>
    <w:qFormat/>
    <w:uiPriority w:val="0"/>
    <w:pPr>
      <w:widowControl/>
      <w:pBdr>
        <w:top w:val="single" w:color="auto" w:sz="4" w:space="0"/>
        <w:right w:val="single" w:color="auto" w:sz="8"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830">
    <w:name w:val="xl32"/>
    <w:basedOn w:val="1"/>
    <w:autoRedefine/>
    <w:qFormat/>
    <w:uiPriority w:val="0"/>
    <w:pPr>
      <w:widowControl/>
      <w:pBdr>
        <w:left w:val="single" w:color="auto" w:sz="8" w:space="0"/>
        <w:bottom w:val="single" w:color="auto" w:sz="8" w:space="0"/>
        <w:right w:val="single" w:color="auto" w:sz="8" w:space="0"/>
      </w:pBdr>
      <w:spacing w:before="100" w:beforeAutospacing="1" w:after="100" w:afterAutospacing="1" w:line="240" w:lineRule="auto"/>
      <w:textAlignment w:val="center"/>
    </w:pPr>
    <w:rPr>
      <w:rFonts w:ascii="Arial Unicode MS" w:hAnsi="Arial Unicode MS" w:eastAsia="Arial Unicode MS" w:cs="Times New Roman"/>
      <w:kern w:val="0"/>
    </w:rPr>
  </w:style>
  <w:style w:type="paragraph" w:customStyle="1" w:styleId="831">
    <w:name w:val="WW-Body Text Indent 3"/>
    <w:basedOn w:val="1"/>
    <w:autoRedefine/>
    <w:qFormat/>
    <w:uiPriority w:val="0"/>
    <w:pPr>
      <w:suppressAutoHyphens/>
      <w:spacing w:after="120"/>
      <w:ind w:firstLine="420"/>
    </w:pPr>
    <w:rPr>
      <w:rFonts w:ascii="Arial" w:hAnsi="Arial" w:cs="Times New Roman"/>
      <w:kern w:val="20481"/>
      <w:szCs w:val="20"/>
    </w:rPr>
  </w:style>
  <w:style w:type="paragraph" w:customStyle="1" w:styleId="832">
    <w:name w:val="章标题(不加入目录内)"/>
    <w:basedOn w:val="66"/>
    <w:autoRedefine/>
    <w:qFormat/>
    <w:uiPriority w:val="0"/>
    <w:pPr>
      <w:outlineLvl w:val="9"/>
    </w:pPr>
  </w:style>
  <w:style w:type="paragraph" w:customStyle="1" w:styleId="833">
    <w:name w:val="reader-word-layer reader-word-s1-14"/>
    <w:basedOn w:val="1"/>
    <w:autoRedefine/>
    <w:qFormat/>
    <w:uiPriority w:val="0"/>
    <w:pPr>
      <w:widowControl/>
      <w:spacing w:before="100" w:beforeAutospacing="1" w:after="100" w:afterAutospacing="1" w:line="240" w:lineRule="auto"/>
      <w:jc w:val="left"/>
    </w:pPr>
    <w:rPr>
      <w:kern w:val="0"/>
    </w:rPr>
  </w:style>
  <w:style w:type="paragraph" w:customStyle="1" w:styleId="834">
    <w:name w:val="font12"/>
    <w:basedOn w:val="1"/>
    <w:autoRedefine/>
    <w:qFormat/>
    <w:uiPriority w:val="0"/>
    <w:pPr>
      <w:widowControl/>
      <w:spacing w:before="100" w:beforeAutospacing="1" w:after="100" w:afterAutospacing="1" w:line="240" w:lineRule="auto"/>
      <w:jc w:val="left"/>
    </w:pPr>
    <w:rPr>
      <w:rFonts w:eastAsia="Arial Unicode MS" w:cs="Times New Roman"/>
      <w:b/>
      <w:bCs/>
      <w:kern w:val="0"/>
      <w:sz w:val="20"/>
      <w:szCs w:val="20"/>
    </w:rPr>
  </w:style>
  <w:style w:type="paragraph" w:customStyle="1" w:styleId="835">
    <w:name w:val="reader-word-layer reader-word-s1-9"/>
    <w:basedOn w:val="1"/>
    <w:autoRedefine/>
    <w:qFormat/>
    <w:uiPriority w:val="0"/>
    <w:pPr>
      <w:widowControl/>
      <w:spacing w:before="100" w:beforeAutospacing="1" w:after="100" w:afterAutospacing="1" w:line="240" w:lineRule="auto"/>
      <w:jc w:val="left"/>
    </w:pPr>
    <w:rPr>
      <w:kern w:val="0"/>
    </w:rPr>
  </w:style>
  <w:style w:type="paragraph" w:customStyle="1" w:styleId="836">
    <w:name w:val="xl46"/>
    <w:basedOn w:val="1"/>
    <w:autoRedefine/>
    <w:qFormat/>
    <w:uiPriority w:val="0"/>
    <w:pPr>
      <w:widowControl/>
      <w:pBdr>
        <w:bottom w:val="single" w:color="auto" w:sz="8" w:space="0"/>
        <w:right w:val="single" w:color="auto" w:sz="4" w:space="0"/>
      </w:pBdr>
      <w:spacing w:before="100" w:beforeAutospacing="1" w:after="100" w:afterAutospacing="1" w:line="240" w:lineRule="auto"/>
      <w:textAlignment w:val="center"/>
    </w:pPr>
    <w:rPr>
      <w:rFonts w:eastAsia="Arial Unicode MS" w:cs="Times New Roman"/>
      <w:kern w:val="0"/>
      <w:sz w:val="21"/>
      <w:szCs w:val="21"/>
    </w:rPr>
  </w:style>
  <w:style w:type="paragraph" w:customStyle="1" w:styleId="837">
    <w:name w:val="Char Char Char Char Char Char Char Char1 Char Char Char Char Char Char Char"/>
    <w:basedOn w:val="1"/>
    <w:autoRedefine/>
    <w:qFormat/>
    <w:uiPriority w:val="0"/>
    <w:pPr>
      <w:widowControl/>
      <w:snapToGrid w:val="0"/>
      <w:ind w:firstLine="200" w:firstLineChars="200"/>
      <w:jc w:val="left"/>
    </w:pPr>
    <w:rPr>
      <w:rFonts w:eastAsia="仿宋_GB2312" w:cs="Times New Roman"/>
      <w:kern w:val="0"/>
    </w:rPr>
  </w:style>
  <w:style w:type="paragraph" w:customStyle="1" w:styleId="838">
    <w:name w:val="xl51"/>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line="240" w:lineRule="auto"/>
      <w:textAlignment w:val="center"/>
    </w:pPr>
    <w:rPr>
      <w:rFonts w:eastAsia="Arial Unicode MS" w:cs="Times New Roman"/>
      <w:kern w:val="0"/>
    </w:rPr>
  </w:style>
  <w:style w:type="paragraph" w:customStyle="1" w:styleId="839">
    <w:name w:val="正文文本最新 Char Char Char1 Char Char Char Char Char"/>
    <w:autoRedefine/>
    <w:qFormat/>
    <w:uiPriority w:val="0"/>
    <w:pPr>
      <w:spacing w:line="360" w:lineRule="auto"/>
      <w:ind w:firstLine="200" w:firstLineChars="200"/>
      <w:jc w:val="both"/>
    </w:pPr>
    <w:rPr>
      <w:rFonts w:ascii="Times New Roman" w:hAnsi="Times New Roman" w:eastAsia="宋体" w:cs="Times New Roman"/>
      <w:bCs/>
      <w:kern w:val="2"/>
      <w:sz w:val="28"/>
      <w:szCs w:val="24"/>
      <w:lang w:val="en-US" w:eastAsia="zh-CN" w:bidi="ar-SA"/>
    </w:rPr>
  </w:style>
  <w:style w:type="paragraph" w:customStyle="1" w:styleId="840">
    <w:name w:val="普通 (Web)"/>
    <w:basedOn w:val="1"/>
    <w:autoRedefine/>
    <w:qFormat/>
    <w:uiPriority w:val="0"/>
    <w:pPr>
      <w:widowControl/>
      <w:spacing w:before="100" w:after="100" w:line="240" w:lineRule="auto"/>
      <w:jc w:val="left"/>
    </w:pPr>
    <w:rPr>
      <w:rFonts w:cs="Times New Roman"/>
      <w:kern w:val="0"/>
      <w:szCs w:val="20"/>
    </w:rPr>
  </w:style>
  <w:style w:type="paragraph" w:customStyle="1" w:styleId="841">
    <w:name w:val="页脚2"/>
    <w:basedOn w:val="96"/>
    <w:autoRedefine/>
    <w:qFormat/>
    <w:uiPriority w:val="0"/>
    <w:pPr>
      <w:tabs>
        <w:tab w:val="center" w:pos="4153"/>
        <w:tab w:val="right" w:pos="8306"/>
      </w:tabs>
      <w:spacing w:line="240" w:lineRule="atLeast"/>
      <w:textAlignment w:val="baseline"/>
    </w:pPr>
    <w:rPr>
      <w:kern w:val="0"/>
      <w:sz w:val="18"/>
      <w:szCs w:val="20"/>
    </w:rPr>
  </w:style>
  <w:style w:type="paragraph" w:customStyle="1" w:styleId="842">
    <w:name w:val="xl33"/>
    <w:basedOn w:val="1"/>
    <w:autoRedefine/>
    <w:qFormat/>
    <w:uiPriority w:val="0"/>
    <w:pPr>
      <w:widowControl/>
      <w:pBdr>
        <w:bottom w:val="single" w:color="auto" w:sz="4" w:space="0"/>
        <w:right w:val="single" w:color="auto" w:sz="4" w:space="0"/>
      </w:pBdr>
      <w:spacing w:before="100" w:beforeAutospacing="1" w:after="100" w:afterAutospacing="1" w:line="240" w:lineRule="auto"/>
    </w:pPr>
    <w:rPr>
      <w:rFonts w:ascii="Arial Unicode MS" w:hAnsi="Arial Unicode MS" w:cs="Times New Roman"/>
      <w:kern w:val="0"/>
    </w:rPr>
  </w:style>
  <w:style w:type="paragraph" w:customStyle="1" w:styleId="843">
    <w:name w:val="图表目录11"/>
    <w:basedOn w:val="96"/>
    <w:next w:val="96"/>
    <w:autoRedefine/>
    <w:qFormat/>
    <w:uiPriority w:val="0"/>
    <w:pPr>
      <w:tabs>
        <w:tab w:val="right" w:leader="dot" w:pos="8051"/>
      </w:tabs>
      <w:ind w:left="840" w:hanging="840"/>
      <w:textAlignment w:val="baseline"/>
    </w:pPr>
    <w:rPr>
      <w:kern w:val="0"/>
      <w:szCs w:val="20"/>
    </w:rPr>
  </w:style>
  <w:style w:type="paragraph" w:customStyle="1" w:styleId="844">
    <w:name w:val="reader-word-layer reader-word-s2-14"/>
    <w:basedOn w:val="1"/>
    <w:autoRedefine/>
    <w:qFormat/>
    <w:uiPriority w:val="0"/>
    <w:pPr>
      <w:widowControl/>
      <w:spacing w:before="100" w:beforeAutospacing="1" w:after="100" w:afterAutospacing="1" w:line="240" w:lineRule="auto"/>
      <w:jc w:val="left"/>
    </w:pPr>
    <w:rPr>
      <w:kern w:val="0"/>
    </w:rPr>
  </w:style>
  <w:style w:type="paragraph" w:customStyle="1" w:styleId="845">
    <w:name w:val="样式 题注 + 五号 加粗 居中"/>
    <w:basedOn w:val="1"/>
    <w:autoRedefine/>
    <w:qFormat/>
    <w:uiPriority w:val="0"/>
    <w:pPr>
      <w:spacing w:beforeLines="20" w:afterLines="20"/>
    </w:pPr>
    <w:rPr>
      <w:rFonts w:ascii="Arial" w:hAnsi="Arial" w:eastAsia="黑体" w:cs="Times New Roman"/>
      <w:b/>
      <w:bCs/>
      <w:szCs w:val="21"/>
    </w:rPr>
  </w:style>
  <w:style w:type="paragraph" w:customStyle="1" w:styleId="846">
    <w:name w:val="正文文本缩进 21"/>
    <w:basedOn w:val="1"/>
    <w:autoRedefine/>
    <w:qFormat/>
    <w:uiPriority w:val="0"/>
    <w:pPr>
      <w:adjustRightInd w:val="0"/>
      <w:ind w:firstLine="510"/>
      <w:textAlignment w:val="baseline"/>
    </w:pPr>
    <w:rPr>
      <w:rFonts w:cs="Times New Roman"/>
      <w:sz w:val="28"/>
      <w:szCs w:val="20"/>
    </w:rPr>
  </w:style>
  <w:style w:type="paragraph" w:customStyle="1" w:styleId="847">
    <w:name w:val="表格文字"/>
    <w:basedOn w:val="1"/>
    <w:link w:val="1399"/>
    <w:autoRedefine/>
    <w:qFormat/>
    <w:uiPriority w:val="0"/>
    <w:pPr>
      <w:spacing w:line="400" w:lineRule="exact"/>
    </w:pPr>
    <w:rPr>
      <w:rFonts w:cs="Times New Roman"/>
      <w:sz w:val="21"/>
      <w:szCs w:val="20"/>
    </w:rPr>
  </w:style>
  <w:style w:type="paragraph" w:styleId="848">
    <w:name w:val="No Spacing"/>
    <w:autoRedefine/>
    <w:qFormat/>
    <w:uiPriority w:val="1"/>
    <w:pPr>
      <w:widowControl w:val="0"/>
      <w:jc w:val="both"/>
    </w:pPr>
    <w:rPr>
      <w:rFonts w:ascii="Calibri" w:hAnsi="Calibri" w:eastAsia="宋体" w:cs="Times New Roman"/>
      <w:kern w:val="2"/>
      <w:sz w:val="21"/>
      <w:szCs w:val="22"/>
      <w:lang w:val="en-US" w:eastAsia="zh-CN" w:bidi="ar-SA"/>
    </w:rPr>
  </w:style>
  <w:style w:type="paragraph" w:customStyle="1" w:styleId="849">
    <w:name w:val="acee正文"/>
    <w:basedOn w:val="1"/>
    <w:autoRedefine/>
    <w:qFormat/>
    <w:uiPriority w:val="0"/>
    <w:pPr>
      <w:adjustRightInd w:val="0"/>
      <w:snapToGrid w:val="0"/>
      <w:spacing w:line="480" w:lineRule="exact"/>
      <w:ind w:firstLine="640" w:firstLineChars="200"/>
    </w:pPr>
    <w:rPr>
      <w:rFonts w:ascii="仿宋_GB2312" w:eastAsia="仿宋_GB2312" w:cs="Times New Roman"/>
      <w:sz w:val="32"/>
    </w:rPr>
  </w:style>
  <w:style w:type="paragraph" w:customStyle="1" w:styleId="850">
    <w:name w:val="font9"/>
    <w:basedOn w:val="1"/>
    <w:autoRedefine/>
    <w:qFormat/>
    <w:uiPriority w:val="0"/>
    <w:pPr>
      <w:widowControl/>
      <w:spacing w:before="100" w:beforeAutospacing="1" w:after="100" w:afterAutospacing="1" w:line="240" w:lineRule="auto"/>
      <w:jc w:val="left"/>
    </w:pPr>
    <w:rPr>
      <w:rFonts w:hint="eastAsia" w:cs="Times New Roman"/>
      <w:kern w:val="0"/>
      <w:sz w:val="20"/>
      <w:szCs w:val="20"/>
    </w:rPr>
  </w:style>
  <w:style w:type="paragraph" w:customStyle="1" w:styleId="851">
    <w:name w:val="xl34"/>
    <w:basedOn w:val="1"/>
    <w:autoRedefine/>
    <w:qFormat/>
    <w:uiPriority w:val="0"/>
    <w:pPr>
      <w:widowControl/>
      <w:pBdr>
        <w:left w:val="single" w:color="auto" w:sz="4" w:space="0"/>
        <w:right w:val="single" w:color="auto" w:sz="4" w:space="0"/>
      </w:pBdr>
      <w:spacing w:before="100" w:beforeAutospacing="1" w:after="100" w:afterAutospacing="1" w:line="240" w:lineRule="auto"/>
      <w:textAlignment w:val="center"/>
    </w:pPr>
    <w:rPr>
      <w:rFonts w:cs="Times New Roman"/>
      <w:kern w:val="0"/>
    </w:rPr>
  </w:style>
  <w:style w:type="paragraph" w:customStyle="1" w:styleId="852">
    <w:name w:val="前言、引言标题"/>
    <w:next w:val="1"/>
    <w:autoRedefine/>
    <w:qFormat/>
    <w:uiPriority w:val="0"/>
    <w:p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853">
    <w:name w:val="样式 样式1 + 两端对齐 左侧:  0 厘米 首行缩进:  0 厘米"/>
    <w:basedOn w:val="186"/>
    <w:autoRedefine/>
    <w:qFormat/>
    <w:uiPriority w:val="0"/>
    <w:pPr>
      <w:keepLines/>
      <w:pageBreakBefore/>
      <w:adjustRightInd/>
      <w:spacing w:before="240" w:after="120" w:line="240" w:lineRule="auto"/>
      <w:ind w:firstLine="0"/>
      <w:textAlignment w:val="auto"/>
      <w:outlineLvl w:val="0"/>
    </w:pPr>
    <w:rPr>
      <w:rFonts w:eastAsia="黑体" w:cs="宋体"/>
      <w:kern w:val="2"/>
      <w:sz w:val="36"/>
    </w:rPr>
  </w:style>
  <w:style w:type="paragraph" w:customStyle="1" w:styleId="854">
    <w:name w:val="正文文本 21"/>
    <w:basedOn w:val="1"/>
    <w:autoRedefine/>
    <w:qFormat/>
    <w:uiPriority w:val="0"/>
    <w:pPr>
      <w:adjustRightInd w:val="0"/>
      <w:spacing w:line="240" w:lineRule="auto"/>
      <w:ind w:left="425"/>
      <w:jc w:val="left"/>
      <w:textAlignment w:val="baseline"/>
    </w:pPr>
    <w:rPr>
      <w:rFonts w:cs="Times New Roman"/>
      <w:kern w:val="0"/>
      <w:szCs w:val="20"/>
    </w:rPr>
  </w:style>
  <w:style w:type="paragraph" w:customStyle="1" w:styleId="855">
    <w:name w:val="font17"/>
    <w:basedOn w:val="1"/>
    <w:autoRedefine/>
    <w:qFormat/>
    <w:uiPriority w:val="0"/>
    <w:pPr>
      <w:widowControl/>
      <w:spacing w:before="100" w:beforeAutospacing="1" w:after="100" w:afterAutospacing="1" w:line="240" w:lineRule="auto"/>
      <w:jc w:val="left"/>
    </w:pPr>
    <w:rPr>
      <w:rFonts w:eastAsia="Arial Unicode MS" w:cs="Times New Roman"/>
      <w:kern w:val="0"/>
      <w:sz w:val="20"/>
      <w:szCs w:val="20"/>
      <w:u w:val="single"/>
    </w:rPr>
  </w:style>
  <w:style w:type="paragraph" w:customStyle="1" w:styleId="856">
    <w:name w:val="xl7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eastAsia="Arial Unicode MS" w:cs="Times New Roman"/>
      <w:kern w:val="0"/>
      <w:sz w:val="16"/>
      <w:szCs w:val="16"/>
    </w:rPr>
  </w:style>
  <w:style w:type="paragraph" w:customStyle="1" w:styleId="857">
    <w:name w:val="reader-word-layer reader-word-s2-7"/>
    <w:basedOn w:val="1"/>
    <w:autoRedefine/>
    <w:qFormat/>
    <w:uiPriority w:val="0"/>
    <w:pPr>
      <w:widowControl/>
      <w:spacing w:before="100" w:beforeAutospacing="1" w:after="100" w:afterAutospacing="1" w:line="240" w:lineRule="auto"/>
      <w:jc w:val="left"/>
    </w:pPr>
    <w:rPr>
      <w:kern w:val="0"/>
    </w:rPr>
  </w:style>
  <w:style w:type="paragraph" w:customStyle="1" w:styleId="858">
    <w:name w:val="正文文本 22"/>
    <w:basedOn w:val="1"/>
    <w:autoRedefine/>
    <w:qFormat/>
    <w:uiPriority w:val="0"/>
    <w:pPr>
      <w:adjustRightInd w:val="0"/>
      <w:spacing w:line="240" w:lineRule="auto"/>
      <w:ind w:left="425"/>
      <w:jc w:val="left"/>
      <w:textAlignment w:val="baseline"/>
    </w:pPr>
    <w:rPr>
      <w:rFonts w:cs="Times New Roman"/>
      <w:kern w:val="0"/>
      <w:szCs w:val="20"/>
    </w:rPr>
  </w:style>
  <w:style w:type="paragraph" w:customStyle="1" w:styleId="859">
    <w:name w:val="xl43"/>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ascii="Arial Unicode MS" w:hAnsi="Arial Unicode MS" w:eastAsia="Arial Unicode MS" w:cs="Times New Roman"/>
      <w:kern w:val="0"/>
      <w:sz w:val="21"/>
      <w:szCs w:val="21"/>
    </w:rPr>
  </w:style>
  <w:style w:type="paragraph" w:customStyle="1" w:styleId="860">
    <w:name w:val="表内5中"/>
    <w:basedOn w:val="1"/>
    <w:autoRedefine/>
    <w:qFormat/>
    <w:uiPriority w:val="0"/>
    <w:pPr>
      <w:spacing w:line="240" w:lineRule="auto"/>
    </w:pPr>
    <w:rPr>
      <w:rFonts w:cs="Times New Roman"/>
      <w:sz w:val="21"/>
      <w:szCs w:val="21"/>
    </w:rPr>
  </w:style>
  <w:style w:type="paragraph" w:customStyle="1" w:styleId="861">
    <w:name w:val="xl41"/>
    <w:basedOn w:val="1"/>
    <w:autoRedefine/>
    <w:qFormat/>
    <w:uiPriority w:val="0"/>
    <w:pPr>
      <w:widowControl/>
      <w:pBdr>
        <w:bottom w:val="single" w:color="auto" w:sz="4" w:space="0"/>
        <w:right w:val="single" w:color="auto" w:sz="4" w:space="0"/>
      </w:pBdr>
      <w:spacing w:before="100" w:beforeAutospacing="1" w:after="100" w:afterAutospacing="1" w:line="240" w:lineRule="auto"/>
      <w:textAlignment w:val="center"/>
    </w:pPr>
    <w:rPr>
      <w:rFonts w:eastAsia="Arial Unicode MS" w:cs="Times New Roman"/>
      <w:kern w:val="0"/>
    </w:rPr>
  </w:style>
  <w:style w:type="paragraph" w:customStyle="1" w:styleId="862">
    <w:name w:val="样式 正文首行缩进 + 首行缩进:  2 字符1"/>
    <w:basedOn w:val="1"/>
    <w:next w:val="803"/>
    <w:autoRedefine/>
    <w:qFormat/>
    <w:uiPriority w:val="0"/>
    <w:pPr>
      <w:ind w:firstLine="480" w:firstLineChars="200"/>
    </w:pPr>
    <w:rPr>
      <w:rFonts w:cs="Times New Roman"/>
    </w:rPr>
  </w:style>
  <w:style w:type="paragraph" w:customStyle="1" w:styleId="863">
    <w:name w:val="xl35"/>
    <w:basedOn w:val="1"/>
    <w:autoRedefine/>
    <w:qFormat/>
    <w:uiPriority w:val="0"/>
    <w:pPr>
      <w:widowControl/>
      <w:pBdr>
        <w:top w:val="single" w:color="auto" w:sz="8" w:space="0"/>
        <w:bottom w:val="single" w:color="auto" w:sz="8" w:space="0"/>
        <w:right w:val="single" w:color="auto" w:sz="8" w:space="0"/>
      </w:pBdr>
      <w:spacing w:before="100" w:beforeAutospacing="1" w:after="100" w:afterAutospacing="1" w:line="240" w:lineRule="auto"/>
      <w:textAlignment w:val="center"/>
    </w:pPr>
    <w:rPr>
      <w:rFonts w:ascii="Arial Unicode MS" w:hAnsi="Arial Unicode MS" w:eastAsia="Arial Unicode MS" w:cs="Times New Roman"/>
      <w:kern w:val="0"/>
    </w:rPr>
  </w:style>
  <w:style w:type="paragraph" w:customStyle="1" w:styleId="864">
    <w:name w:val="自定义正文 Char Char Char"/>
    <w:autoRedefine/>
    <w:qFormat/>
    <w:uiPriority w:val="0"/>
    <w:pPr>
      <w:widowControl w:val="0"/>
      <w:adjustRightInd w:val="0"/>
      <w:snapToGrid w:val="0"/>
      <w:spacing w:line="360" w:lineRule="auto"/>
      <w:ind w:firstLine="510"/>
      <w:jc w:val="both"/>
    </w:pPr>
    <w:rPr>
      <w:rFonts w:ascii="Times New Roman" w:hAnsi="Times New Roman" w:eastAsia="宋体" w:cs="Times New Roman"/>
      <w:spacing w:val="-2"/>
      <w:kern w:val="2"/>
      <w:sz w:val="28"/>
      <w:szCs w:val="24"/>
      <w:lang w:val="en-US" w:eastAsia="zh-CN" w:bidi="ar-SA"/>
    </w:rPr>
  </w:style>
  <w:style w:type="paragraph" w:customStyle="1" w:styleId="865">
    <w:name w:val="reader-word-layer reader-word-s1-10"/>
    <w:basedOn w:val="1"/>
    <w:autoRedefine/>
    <w:qFormat/>
    <w:uiPriority w:val="0"/>
    <w:pPr>
      <w:widowControl/>
      <w:spacing w:before="100" w:beforeAutospacing="1" w:after="100" w:afterAutospacing="1" w:line="240" w:lineRule="auto"/>
      <w:jc w:val="left"/>
    </w:pPr>
    <w:rPr>
      <w:kern w:val="0"/>
    </w:rPr>
  </w:style>
  <w:style w:type="paragraph" w:customStyle="1" w:styleId="866">
    <w:name w:val="样式 样式 仿宋_GB2312 三号 首行缩进:  2 字符 + 首行缩进:  2 字符"/>
    <w:basedOn w:val="1"/>
    <w:autoRedefine/>
    <w:qFormat/>
    <w:uiPriority w:val="0"/>
    <w:pPr>
      <w:ind w:firstLine="600" w:firstLineChars="200"/>
    </w:pPr>
    <w:rPr>
      <w:rFonts w:eastAsia="仿宋_GB2312"/>
      <w:sz w:val="30"/>
      <w:szCs w:val="30"/>
    </w:rPr>
  </w:style>
  <w:style w:type="paragraph" w:customStyle="1" w:styleId="867">
    <w:name w:val="xl96"/>
    <w:basedOn w:val="1"/>
    <w:autoRedefine/>
    <w:qFormat/>
    <w:uiPriority w:val="0"/>
    <w:pPr>
      <w:widowControl/>
      <w:pBdr>
        <w:left w:val="single" w:color="auto" w:sz="8" w:space="0"/>
        <w:right w:val="single" w:color="auto" w:sz="4"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868">
    <w:name w:val="样式 样式 样式 首行缩进:  2 字符 + 首行缩进:  2 字符 + 首行缩进:  2 字符"/>
    <w:basedOn w:val="1"/>
    <w:autoRedefine/>
    <w:qFormat/>
    <w:uiPriority w:val="0"/>
    <w:pPr>
      <w:spacing w:line="240" w:lineRule="auto"/>
      <w:ind w:firstLine="567" w:firstLineChars="200"/>
    </w:pPr>
    <w:rPr>
      <w:rFonts w:cs="Times New Roman"/>
      <w:sz w:val="27"/>
      <w:szCs w:val="20"/>
    </w:rPr>
  </w:style>
  <w:style w:type="paragraph" w:customStyle="1" w:styleId="869">
    <w:name w:val="默认段落字体 Para Char Char Char Char"/>
    <w:basedOn w:val="1"/>
    <w:autoRedefine/>
    <w:qFormat/>
    <w:uiPriority w:val="0"/>
    <w:pPr>
      <w:ind w:firstLine="200" w:firstLineChars="200"/>
    </w:pPr>
  </w:style>
  <w:style w:type="paragraph" w:customStyle="1" w:styleId="870">
    <w:name w:val="Char Char Char Char Char Char Char"/>
    <w:basedOn w:val="1"/>
    <w:autoRedefine/>
    <w:qFormat/>
    <w:uiPriority w:val="0"/>
    <w:pPr>
      <w:spacing w:line="240" w:lineRule="auto"/>
    </w:pPr>
    <w:rPr>
      <w:rFonts w:cs="Times New Roman"/>
      <w:sz w:val="21"/>
    </w:rPr>
  </w:style>
  <w:style w:type="paragraph" w:customStyle="1" w:styleId="871">
    <w:name w:val="表中文字----------------"/>
    <w:basedOn w:val="1"/>
    <w:autoRedefine/>
    <w:qFormat/>
    <w:uiPriority w:val="0"/>
    <w:pPr>
      <w:spacing w:line="240" w:lineRule="auto"/>
    </w:pPr>
    <w:rPr>
      <w:rFonts w:cs="Times New Roman"/>
      <w:sz w:val="21"/>
      <w:szCs w:val="20"/>
    </w:rPr>
  </w:style>
  <w:style w:type="paragraph" w:customStyle="1" w:styleId="872">
    <w:name w:val="xl98"/>
    <w:basedOn w:val="1"/>
    <w:autoRedefine/>
    <w:qFormat/>
    <w:uiPriority w:val="0"/>
    <w:pPr>
      <w:widowControl/>
      <w:pBdr>
        <w:left w:val="single" w:color="auto" w:sz="8" w:space="0"/>
        <w:bottom w:val="single" w:color="auto" w:sz="8" w:space="0"/>
        <w:right w:val="single" w:color="auto" w:sz="4" w:space="0"/>
      </w:pBdr>
      <w:spacing w:before="100" w:beforeAutospacing="1" w:after="100" w:afterAutospacing="1" w:line="240" w:lineRule="auto"/>
      <w:textAlignment w:val="center"/>
    </w:pPr>
    <w:rPr>
      <w:rFonts w:eastAsia="Arial Unicode MS" w:cs="Times New Roman"/>
      <w:kern w:val="0"/>
      <w:sz w:val="16"/>
      <w:szCs w:val="16"/>
    </w:rPr>
  </w:style>
  <w:style w:type="paragraph" w:customStyle="1" w:styleId="873">
    <w:name w:val="Body Text First Indent3"/>
    <w:basedOn w:val="26"/>
    <w:autoRedefine/>
    <w:qFormat/>
    <w:uiPriority w:val="0"/>
    <w:pPr>
      <w:adjustRightInd w:val="0"/>
      <w:spacing w:line="312" w:lineRule="auto"/>
      <w:ind w:firstLine="567"/>
      <w:textAlignment w:val="baseline"/>
    </w:pPr>
    <w:rPr>
      <w:rFonts w:ascii="Times New Roman" w:hAnsi="Times New Roman" w:cs="Times New Roman"/>
      <w:kern w:val="0"/>
      <w:sz w:val="28"/>
      <w:szCs w:val="20"/>
      <w:lang w:val="en-US" w:bidi="ar-SA"/>
    </w:rPr>
  </w:style>
  <w:style w:type="paragraph" w:customStyle="1" w:styleId="874">
    <w:name w:val="1 Char"/>
    <w:basedOn w:val="1"/>
    <w:autoRedefine/>
    <w:qFormat/>
    <w:uiPriority w:val="0"/>
    <w:pPr>
      <w:adjustRightInd w:val="0"/>
      <w:spacing w:line="240" w:lineRule="auto"/>
      <w:jc w:val="left"/>
      <w:textAlignment w:val="baseline"/>
    </w:pPr>
    <w:rPr>
      <w:rFonts w:eastAsia="楷体_GB2312" w:cs="Times New Roman"/>
      <w:kern w:val="0"/>
    </w:rPr>
  </w:style>
  <w:style w:type="paragraph" w:customStyle="1" w:styleId="875">
    <w:name w:val="xl31"/>
    <w:basedOn w:val="1"/>
    <w:autoRedefine/>
    <w:qFormat/>
    <w:uiPriority w:val="0"/>
    <w:pPr>
      <w:widowControl/>
      <w:spacing w:before="100" w:beforeAutospacing="1" w:after="100" w:afterAutospacing="1" w:line="348" w:lineRule="auto"/>
      <w:textAlignment w:val="center"/>
    </w:pPr>
    <w:rPr>
      <w:rFonts w:ascii="Arial Unicode MS" w:hAnsi="Arial Unicode MS" w:eastAsia="Arial Unicode MS" w:cs="Times New Roman"/>
      <w:kern w:val="0"/>
    </w:rPr>
  </w:style>
  <w:style w:type="paragraph" w:customStyle="1" w:styleId="876">
    <w:name w:val="标题4"/>
    <w:basedOn w:val="1"/>
    <w:autoRedefine/>
    <w:qFormat/>
    <w:uiPriority w:val="0"/>
    <w:pPr>
      <w:adjustRightInd w:val="0"/>
      <w:snapToGrid w:val="0"/>
      <w:spacing w:beforeLines="50" w:afterLines="50" w:line="500" w:lineRule="exact"/>
      <w:outlineLvl w:val="3"/>
    </w:pPr>
    <w:rPr>
      <w:rFonts w:cs="Times New Roman"/>
      <w:b/>
      <w:color w:val="000000"/>
    </w:rPr>
  </w:style>
  <w:style w:type="paragraph" w:customStyle="1" w:styleId="877">
    <w:name w:val="xl107"/>
    <w:basedOn w:val="1"/>
    <w:autoRedefine/>
    <w:qFormat/>
    <w:uiPriority w:val="0"/>
    <w:pPr>
      <w:widowControl/>
      <w:pBdr>
        <w:top w:val="single" w:color="auto" w:sz="4" w:space="0"/>
        <w:right w:val="single" w:color="auto" w:sz="8"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878">
    <w:name w:val="规划正文样式"/>
    <w:basedOn w:val="1"/>
    <w:autoRedefine/>
    <w:qFormat/>
    <w:uiPriority w:val="0"/>
    <w:pPr>
      <w:spacing w:line="400" w:lineRule="exact"/>
      <w:ind w:firstLine="480" w:firstLineChars="200"/>
    </w:pPr>
    <w:rPr>
      <w:rFonts w:cs="Times New Roman"/>
    </w:rPr>
  </w:style>
  <w:style w:type="paragraph" w:customStyle="1" w:styleId="879">
    <w:name w:val="正文文字缩进A"/>
    <w:basedOn w:val="880"/>
    <w:autoRedefine/>
    <w:qFormat/>
    <w:uiPriority w:val="0"/>
    <w:pPr>
      <w:ind w:firstLine="480"/>
    </w:pPr>
    <w:rPr>
      <w:rFonts w:ascii="Times New Roman" w:hAnsi="黑体" w:eastAsia="宋体"/>
      <w:bCs w:val="0"/>
      <w:color w:val="000000"/>
      <w:kern w:val="0"/>
      <w:sz w:val="24"/>
    </w:rPr>
  </w:style>
  <w:style w:type="paragraph" w:customStyle="1" w:styleId="880">
    <w:name w:val="正文文字缩进1"/>
    <w:basedOn w:val="41"/>
    <w:autoRedefine/>
    <w:qFormat/>
    <w:uiPriority w:val="0"/>
    <w:pPr>
      <w:spacing w:after="0" w:line="360" w:lineRule="auto"/>
      <w:ind w:left="0" w:leftChars="0" w:firstLine="560"/>
    </w:pPr>
    <w:rPr>
      <w:rFonts w:ascii="黑体" w:hAnsi="Arial Black" w:eastAsia="黑体"/>
      <w:b/>
      <w:bCs/>
      <w:kern w:val="2"/>
      <w:sz w:val="28"/>
      <w:szCs w:val="20"/>
    </w:rPr>
  </w:style>
  <w:style w:type="paragraph" w:customStyle="1" w:styleId="881">
    <w:name w:val="xl69"/>
    <w:basedOn w:val="1"/>
    <w:autoRedefine/>
    <w:qFormat/>
    <w:uiPriority w:val="0"/>
    <w:pPr>
      <w:widowControl/>
      <w:pBdr>
        <w:left w:val="single" w:color="auto" w:sz="4" w:space="0"/>
        <w:bottom w:val="single" w:color="auto" w:sz="8" w:space="0"/>
        <w:right w:val="single" w:color="auto" w:sz="4" w:space="0"/>
      </w:pBdr>
      <w:spacing w:before="100" w:beforeAutospacing="1" w:after="100" w:afterAutospacing="1" w:line="240" w:lineRule="auto"/>
      <w:textAlignment w:val="center"/>
    </w:pPr>
    <w:rPr>
      <w:rFonts w:ascii="Arial Unicode MS" w:hAnsi="Arial Unicode MS" w:eastAsia="Arial Unicode MS" w:cs="Times New Roman"/>
      <w:kern w:val="0"/>
      <w:sz w:val="21"/>
      <w:szCs w:val="21"/>
    </w:rPr>
  </w:style>
  <w:style w:type="paragraph" w:customStyle="1" w:styleId="882">
    <w:name w:val="reader-word-layer reader-word-s2-10"/>
    <w:basedOn w:val="1"/>
    <w:autoRedefine/>
    <w:qFormat/>
    <w:uiPriority w:val="0"/>
    <w:pPr>
      <w:widowControl/>
      <w:spacing w:before="100" w:beforeAutospacing="1" w:after="100" w:afterAutospacing="1" w:line="240" w:lineRule="auto"/>
      <w:jc w:val="left"/>
    </w:pPr>
    <w:rPr>
      <w:kern w:val="0"/>
    </w:rPr>
  </w:style>
  <w:style w:type="paragraph" w:customStyle="1" w:styleId="883">
    <w:name w:val="xl40"/>
    <w:basedOn w:val="1"/>
    <w:autoRedefine/>
    <w:qFormat/>
    <w:uiPriority w:val="0"/>
    <w:pPr>
      <w:widowControl/>
      <w:pBdr>
        <w:bottom w:val="single" w:color="auto" w:sz="4" w:space="0"/>
        <w:right w:val="single" w:color="auto" w:sz="4" w:space="0"/>
      </w:pBdr>
      <w:spacing w:before="100" w:beforeAutospacing="1" w:after="100" w:afterAutospacing="1" w:line="240" w:lineRule="auto"/>
      <w:textAlignment w:val="center"/>
    </w:pPr>
    <w:rPr>
      <w:rFonts w:ascii="Arial Unicode MS" w:hAnsi="Arial Unicode MS" w:eastAsia="Arial Unicode MS" w:cs="Times New Roman"/>
      <w:kern w:val="0"/>
      <w:sz w:val="21"/>
      <w:szCs w:val="21"/>
    </w:rPr>
  </w:style>
  <w:style w:type="paragraph" w:customStyle="1" w:styleId="884">
    <w:name w:val="Style3"/>
    <w:basedOn w:val="1"/>
    <w:autoRedefine/>
    <w:qFormat/>
    <w:uiPriority w:val="0"/>
    <w:pPr>
      <w:widowControl/>
      <w:adjustRightInd w:val="0"/>
      <w:jc w:val="left"/>
    </w:pPr>
    <w:rPr>
      <w:rFonts w:hAnsi="Calibri" w:cs="Times New Roman"/>
      <w:kern w:val="0"/>
      <w:szCs w:val="20"/>
    </w:rPr>
  </w:style>
  <w:style w:type="paragraph" w:customStyle="1" w:styleId="885">
    <w:name w:val="修订1"/>
    <w:autoRedefine/>
    <w:semiHidden/>
    <w:qFormat/>
    <w:uiPriority w:val="99"/>
    <w:rPr>
      <w:rFonts w:ascii="Times New Roman" w:hAnsi="Times New Roman" w:eastAsia="宋体" w:cs="Times New Roman"/>
      <w:kern w:val="2"/>
      <w:sz w:val="21"/>
      <w:lang w:val="en-US" w:eastAsia="zh-CN" w:bidi="ar-SA"/>
    </w:rPr>
  </w:style>
  <w:style w:type="paragraph" w:customStyle="1" w:styleId="886">
    <w:name w:val="reader-word-layer reader-word-s1-15"/>
    <w:basedOn w:val="1"/>
    <w:autoRedefine/>
    <w:qFormat/>
    <w:uiPriority w:val="0"/>
    <w:pPr>
      <w:widowControl/>
      <w:spacing w:before="100" w:beforeAutospacing="1" w:after="100" w:afterAutospacing="1" w:line="240" w:lineRule="auto"/>
      <w:jc w:val="left"/>
    </w:pPr>
    <w:rPr>
      <w:kern w:val="0"/>
    </w:rPr>
  </w:style>
  <w:style w:type="paragraph" w:customStyle="1" w:styleId="887">
    <w:name w:val="正文文本缩进一"/>
    <w:basedOn w:val="27"/>
    <w:autoRedefine/>
    <w:qFormat/>
    <w:uiPriority w:val="0"/>
    <w:pPr>
      <w:spacing w:after="0"/>
      <w:ind w:left="0" w:leftChars="0" w:firstLine="560" w:firstLineChars="200"/>
    </w:pPr>
    <w:rPr>
      <w:rFonts w:cs="Times New Roman"/>
      <w:sz w:val="28"/>
    </w:rPr>
  </w:style>
  <w:style w:type="paragraph" w:customStyle="1" w:styleId="888">
    <w:name w:val="font8"/>
    <w:basedOn w:val="1"/>
    <w:autoRedefine/>
    <w:qFormat/>
    <w:uiPriority w:val="0"/>
    <w:pPr>
      <w:widowControl/>
      <w:spacing w:before="100" w:beforeAutospacing="1" w:after="100" w:afterAutospacing="1" w:line="240" w:lineRule="auto"/>
      <w:jc w:val="left"/>
    </w:pPr>
    <w:rPr>
      <w:rFonts w:hint="eastAsia" w:cs="Times New Roman"/>
      <w:b/>
      <w:bCs/>
      <w:kern w:val="0"/>
      <w:sz w:val="44"/>
      <w:szCs w:val="44"/>
    </w:rPr>
  </w:style>
  <w:style w:type="paragraph" w:customStyle="1" w:styleId="889">
    <w:name w:val="xl24"/>
    <w:basedOn w:val="1"/>
    <w:autoRedefine/>
    <w:qFormat/>
    <w:uiPriority w:val="0"/>
    <w:pPr>
      <w:widowControl/>
      <w:pBdr>
        <w:left w:val="single" w:color="auto" w:sz="4" w:space="0"/>
      </w:pBdr>
      <w:spacing w:before="100" w:beforeAutospacing="1" w:after="100" w:afterAutospacing="1"/>
      <w:textAlignment w:val="center"/>
    </w:pPr>
    <w:rPr>
      <w:rFonts w:ascii="Arial Unicode MS" w:hAnsi="Arial Unicode MS" w:eastAsia="Arial Unicode MS" w:cs="Times New Roman"/>
      <w:kern w:val="0"/>
    </w:rPr>
  </w:style>
  <w:style w:type="paragraph" w:customStyle="1" w:styleId="890">
    <w:name w:val="正文文本缩进1"/>
    <w:basedOn w:val="27"/>
    <w:autoRedefine/>
    <w:qFormat/>
    <w:uiPriority w:val="0"/>
    <w:pPr>
      <w:spacing w:after="0"/>
      <w:ind w:left="0" w:leftChars="0" w:firstLine="560" w:firstLineChars="200"/>
    </w:pPr>
    <w:rPr>
      <w:rFonts w:cs="Times New Roman"/>
      <w:sz w:val="28"/>
      <w:szCs w:val="28"/>
    </w:rPr>
  </w:style>
  <w:style w:type="paragraph" w:customStyle="1" w:styleId="891">
    <w:name w:val="_Style 235"/>
    <w:basedOn w:val="1"/>
    <w:autoRedefine/>
    <w:qFormat/>
    <w:uiPriority w:val="0"/>
    <w:pPr>
      <w:spacing w:line="240" w:lineRule="auto"/>
    </w:pPr>
    <w:rPr>
      <w:rFonts w:cs="Times New Roman"/>
      <w:sz w:val="21"/>
    </w:rPr>
  </w:style>
  <w:style w:type="paragraph" w:customStyle="1" w:styleId="892">
    <w:name w:val="Char Char Char Char Char Char Char11"/>
    <w:basedOn w:val="1"/>
    <w:autoRedefine/>
    <w:qFormat/>
    <w:uiPriority w:val="0"/>
    <w:pPr>
      <w:spacing w:line="240" w:lineRule="auto"/>
    </w:pPr>
    <w:rPr>
      <w:rFonts w:cs="Times New Roman"/>
      <w:sz w:val="21"/>
    </w:rPr>
  </w:style>
  <w:style w:type="paragraph" w:customStyle="1" w:styleId="893">
    <w:name w:val="xl58"/>
    <w:basedOn w:val="1"/>
    <w:autoRedefine/>
    <w:qFormat/>
    <w:uiPriority w:val="0"/>
    <w:pPr>
      <w:widowControl/>
      <w:pBdr>
        <w:top w:val="single" w:color="auto" w:sz="8" w:space="0"/>
        <w:bottom w:val="single" w:color="auto" w:sz="4" w:space="0"/>
        <w:right w:val="single" w:color="auto" w:sz="4" w:space="0"/>
      </w:pBdr>
      <w:spacing w:before="100" w:beforeAutospacing="1" w:after="100" w:afterAutospacing="1" w:line="240" w:lineRule="auto"/>
      <w:textAlignment w:val="center"/>
    </w:pPr>
    <w:rPr>
      <w:rFonts w:eastAsia="Arial Unicode MS" w:cs="Times New Roman"/>
      <w:kern w:val="0"/>
      <w:sz w:val="21"/>
      <w:szCs w:val="21"/>
    </w:rPr>
  </w:style>
  <w:style w:type="paragraph" w:customStyle="1" w:styleId="894">
    <w:name w:val="lyh 0.0.0.0"/>
    <w:next w:val="1"/>
    <w:autoRedefine/>
    <w:qFormat/>
    <w:uiPriority w:val="0"/>
    <w:pPr>
      <w:adjustRightInd w:val="0"/>
      <w:snapToGrid w:val="0"/>
      <w:spacing w:line="360" w:lineRule="auto"/>
      <w:outlineLvl w:val="3"/>
    </w:pPr>
    <w:rPr>
      <w:rFonts w:ascii="宋体" w:hAnsi="宋体" w:eastAsia="宋体" w:cs="宋体"/>
      <w:sz w:val="28"/>
      <w:szCs w:val="24"/>
      <w:lang w:val="en-US" w:eastAsia="zh-CN" w:bidi="ar-SA"/>
    </w:rPr>
  </w:style>
  <w:style w:type="paragraph" w:customStyle="1" w:styleId="895">
    <w:name w:val="样式 标题2　自动设置"/>
    <w:basedOn w:val="4"/>
    <w:autoRedefine/>
    <w:qFormat/>
    <w:uiPriority w:val="0"/>
    <w:pPr>
      <w:tabs>
        <w:tab w:val="left" w:pos="1574"/>
      </w:tabs>
      <w:spacing w:before="120" w:after="60"/>
      <w:ind w:left="1574" w:hanging="420"/>
    </w:pPr>
    <w:rPr>
      <w:rFonts w:ascii="宋体" w:hAnsi="宋体" w:eastAsia="宋体"/>
      <w:bCs/>
      <w:color w:val="000000"/>
      <w:kern w:val="0"/>
      <w:sz w:val="28"/>
      <w:szCs w:val="20"/>
    </w:rPr>
  </w:style>
  <w:style w:type="paragraph" w:customStyle="1" w:styleId="896">
    <w:name w:val="标二"/>
    <w:next w:val="1"/>
    <w:autoRedefine/>
    <w:qFormat/>
    <w:uiPriority w:val="0"/>
    <w:pPr>
      <w:spacing w:line="800" w:lineRule="exact"/>
      <w:outlineLvl w:val="1"/>
    </w:pPr>
    <w:rPr>
      <w:rFonts w:ascii="Times New Roman" w:hAnsi="Times New Roman" w:eastAsia="黑体" w:cs="Times New Roman"/>
      <w:kern w:val="2"/>
      <w:sz w:val="28"/>
      <w:szCs w:val="24"/>
      <w:lang w:val="en-US" w:eastAsia="zh-CN" w:bidi="ar-SA"/>
    </w:rPr>
  </w:style>
  <w:style w:type="paragraph" w:customStyle="1" w:styleId="897">
    <w:name w:val="font1"/>
    <w:basedOn w:val="1"/>
    <w:autoRedefine/>
    <w:qFormat/>
    <w:uiPriority w:val="0"/>
    <w:pPr>
      <w:widowControl/>
      <w:spacing w:before="100" w:beforeAutospacing="1" w:after="100" w:afterAutospacing="1" w:line="240" w:lineRule="auto"/>
      <w:jc w:val="left"/>
    </w:pPr>
    <w:rPr>
      <w:rFonts w:hint="eastAsia" w:cs="Times New Roman"/>
      <w:kern w:val="0"/>
    </w:rPr>
  </w:style>
  <w:style w:type="paragraph" w:customStyle="1" w:styleId="898">
    <w:name w:val="xl66"/>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240" w:lineRule="auto"/>
      <w:jc w:val="left"/>
      <w:textAlignment w:val="center"/>
    </w:pPr>
    <w:rPr>
      <w:rFonts w:ascii="Arial Unicode MS" w:hAnsi="Arial Unicode MS" w:eastAsia="Arial Unicode MS" w:cs="Times New Roman"/>
      <w:kern w:val="0"/>
    </w:rPr>
  </w:style>
  <w:style w:type="paragraph" w:customStyle="1" w:styleId="899">
    <w:name w:val="xl75"/>
    <w:basedOn w:val="1"/>
    <w:autoRedefine/>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900">
    <w:name w:val="首行缩进"/>
    <w:basedOn w:val="1"/>
    <w:autoRedefine/>
    <w:qFormat/>
    <w:uiPriority w:val="0"/>
    <w:pPr>
      <w:adjustRightInd w:val="0"/>
      <w:spacing w:line="360" w:lineRule="exact"/>
    </w:pPr>
    <w:rPr>
      <w:rFonts w:ascii="仿宋_GB2312" w:eastAsia="仿宋_GB2312" w:cs="Times New Roman"/>
      <w:kern w:val="0"/>
      <w:sz w:val="21"/>
      <w:szCs w:val="21"/>
    </w:rPr>
  </w:style>
  <w:style w:type="paragraph" w:customStyle="1" w:styleId="901">
    <w:name w:val="灯泡注释(打印无效)"/>
    <w:basedOn w:val="67"/>
    <w:autoRedefine/>
    <w:qFormat/>
    <w:uiPriority w:val="0"/>
    <w:pPr>
      <w:snapToGrid w:val="0"/>
      <w:spacing w:after="0" w:line="240" w:lineRule="auto"/>
      <w:ind w:firstLine="0" w:firstLineChars="0"/>
    </w:pPr>
    <w:rPr>
      <w:rFonts w:eastAsia="宋体" w:cs="Times New Roman"/>
      <w:i/>
      <w:vanish/>
      <w:color w:val="FF0000"/>
      <w:sz w:val="21"/>
      <w:szCs w:val="21"/>
      <w:lang w:val="zh-CN"/>
    </w:rPr>
  </w:style>
  <w:style w:type="paragraph" w:customStyle="1" w:styleId="902">
    <w:name w:val="a0"/>
    <w:basedOn w:val="1"/>
    <w:autoRedefine/>
    <w:qFormat/>
    <w:uiPriority w:val="0"/>
    <w:pPr>
      <w:widowControl/>
      <w:spacing w:before="100" w:beforeAutospacing="1" w:after="100" w:afterAutospacing="1" w:line="240" w:lineRule="auto"/>
      <w:jc w:val="left"/>
    </w:pPr>
    <w:rPr>
      <w:kern w:val="0"/>
    </w:rPr>
  </w:style>
  <w:style w:type="paragraph" w:customStyle="1" w:styleId="903">
    <w:name w:val="Char Char Char Char Char Char Char Char Char Char Char Char Char Char Char Char Char Char Char"/>
    <w:basedOn w:val="1"/>
    <w:autoRedefine/>
    <w:qFormat/>
    <w:uiPriority w:val="0"/>
    <w:pPr>
      <w:widowControl/>
      <w:spacing w:after="160" w:line="240" w:lineRule="exact"/>
      <w:jc w:val="left"/>
    </w:pPr>
    <w:rPr>
      <w:rFonts w:ascii="Verdana" w:hAnsi="Verdana" w:cs="Times New Roman"/>
      <w:kern w:val="0"/>
      <w:sz w:val="20"/>
      <w:szCs w:val="20"/>
      <w:lang w:eastAsia="en-US"/>
    </w:rPr>
  </w:style>
  <w:style w:type="paragraph" w:customStyle="1" w:styleId="904">
    <w:name w:val="表内文字"/>
    <w:autoRedefine/>
    <w:qFormat/>
    <w:uiPriority w:val="0"/>
    <w:pPr>
      <w:adjustRightInd w:val="0"/>
      <w:snapToGrid w:val="0"/>
      <w:jc w:val="center"/>
    </w:pPr>
    <w:rPr>
      <w:rFonts w:ascii="Times New Roman" w:hAnsi="Times New Roman" w:eastAsia="宋体" w:cs="Times New Roman"/>
      <w:bCs/>
      <w:sz w:val="21"/>
      <w:lang w:val="en-US" w:eastAsia="zh-CN" w:bidi="ar-SA"/>
    </w:rPr>
  </w:style>
  <w:style w:type="paragraph" w:customStyle="1" w:styleId="905">
    <w:name w:val="xl76"/>
    <w:basedOn w:val="1"/>
    <w:autoRedefine/>
    <w:qFormat/>
    <w:uiPriority w:val="0"/>
    <w:pPr>
      <w:widowControl/>
      <w:pBdr>
        <w:top w:val="single" w:color="auto" w:sz="8" w:space="0"/>
        <w:left w:val="single" w:color="auto" w:sz="4" w:space="0"/>
        <w:bottom w:val="single" w:color="auto" w:sz="8" w:space="0"/>
        <w:right w:val="single" w:color="auto" w:sz="4"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906">
    <w:name w:val="正文文字进缩A"/>
    <w:basedOn w:val="715"/>
    <w:autoRedefine/>
    <w:qFormat/>
    <w:uiPriority w:val="0"/>
    <w:rPr>
      <w:rFonts w:ascii="Times New Roman" w:hAnsi="Times New Roman"/>
      <w:sz w:val="24"/>
      <w:szCs w:val="24"/>
    </w:rPr>
  </w:style>
  <w:style w:type="paragraph" w:customStyle="1" w:styleId="907">
    <w:name w:val="表体宋旭峰"/>
    <w:basedOn w:val="1"/>
    <w:autoRedefine/>
    <w:qFormat/>
    <w:uiPriority w:val="0"/>
    <w:pPr>
      <w:overflowPunct w:val="0"/>
      <w:spacing w:line="240" w:lineRule="auto"/>
      <w:textAlignment w:val="baseline"/>
    </w:pPr>
    <w:rPr>
      <w:rFonts w:cs="Times New Roman"/>
      <w:snapToGrid w:val="0"/>
      <w:spacing w:val="-20"/>
      <w:kern w:val="24"/>
      <w:sz w:val="21"/>
      <w:szCs w:val="21"/>
    </w:rPr>
  </w:style>
  <w:style w:type="paragraph" w:customStyle="1" w:styleId="908">
    <w:name w:val="xl52"/>
    <w:basedOn w:val="1"/>
    <w:autoRedefine/>
    <w:qFormat/>
    <w:uiPriority w:val="0"/>
    <w:pPr>
      <w:widowControl/>
      <w:pBdr>
        <w:bottom w:val="single" w:color="auto" w:sz="4" w:space="0"/>
        <w:right w:val="single" w:color="auto" w:sz="4" w:space="0"/>
      </w:pBdr>
      <w:spacing w:before="100" w:beforeAutospacing="1" w:after="100" w:afterAutospacing="1" w:line="240" w:lineRule="auto"/>
      <w:textAlignment w:val="center"/>
    </w:pPr>
    <w:rPr>
      <w:rFonts w:ascii="Arial Unicode MS" w:hAnsi="Arial Unicode MS" w:eastAsia="Arial Unicode MS" w:cs="Times New Roman"/>
      <w:kern w:val="0"/>
      <w:sz w:val="20"/>
      <w:szCs w:val="20"/>
    </w:rPr>
  </w:style>
  <w:style w:type="paragraph" w:customStyle="1" w:styleId="909">
    <w:name w:val="xl90"/>
    <w:basedOn w:val="1"/>
    <w:autoRedefine/>
    <w:qFormat/>
    <w:uiPriority w:val="0"/>
    <w:pPr>
      <w:widowControl/>
      <w:pBdr>
        <w:top w:val="single" w:color="auto" w:sz="4" w:space="0"/>
        <w:left w:val="single" w:color="auto" w:sz="8" w:space="0"/>
        <w:bottom w:val="single" w:color="auto" w:sz="8" w:space="0"/>
      </w:pBdr>
      <w:spacing w:before="100" w:beforeAutospacing="1" w:after="100" w:afterAutospacing="1" w:line="240" w:lineRule="auto"/>
      <w:jc w:val="left"/>
    </w:pPr>
    <w:rPr>
      <w:rFonts w:eastAsia="Arial Unicode MS" w:cs="Times New Roman"/>
      <w:kern w:val="0"/>
      <w:sz w:val="16"/>
      <w:szCs w:val="16"/>
    </w:rPr>
  </w:style>
  <w:style w:type="paragraph" w:customStyle="1" w:styleId="910">
    <w:name w:val="02"/>
    <w:basedOn w:val="4"/>
    <w:autoRedefine/>
    <w:qFormat/>
    <w:uiPriority w:val="0"/>
    <w:pPr>
      <w:spacing w:line="480" w:lineRule="auto"/>
    </w:pPr>
    <w:rPr>
      <w:rFonts w:ascii="Times New Roman" w:hAnsi="Times New Roman" w:eastAsia="宋体" w:cs="Times New Roman"/>
      <w:bCs/>
      <w:color w:val="333333"/>
      <w:sz w:val="24"/>
      <w:szCs w:val="20"/>
    </w:rPr>
  </w:style>
  <w:style w:type="paragraph" w:customStyle="1" w:styleId="911">
    <w:name w:val="xl39"/>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textAlignment w:val="center"/>
    </w:pPr>
    <w:rPr>
      <w:rFonts w:eastAsia="Arial Unicode MS" w:cs="Times New Roman"/>
      <w:kern w:val="0"/>
    </w:rPr>
  </w:style>
  <w:style w:type="paragraph" w:customStyle="1" w:styleId="912">
    <w:name w:val="xl95"/>
    <w:basedOn w:val="1"/>
    <w:autoRedefine/>
    <w:qFormat/>
    <w:uiPriority w:val="0"/>
    <w:pPr>
      <w:widowControl/>
      <w:pBdr>
        <w:top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Arial Unicode MS" w:hAnsi="Arial Unicode MS" w:eastAsia="Arial Unicode MS" w:cs="Arial Unicode MS"/>
      <w:kern w:val="0"/>
      <w:sz w:val="16"/>
      <w:szCs w:val="16"/>
    </w:rPr>
  </w:style>
  <w:style w:type="paragraph" w:customStyle="1" w:styleId="913">
    <w:name w:val="纯文本1"/>
    <w:basedOn w:val="1"/>
    <w:autoRedefine/>
    <w:qFormat/>
    <w:uiPriority w:val="0"/>
    <w:pPr>
      <w:adjustRightInd w:val="0"/>
      <w:spacing w:line="240" w:lineRule="auto"/>
      <w:jc w:val="left"/>
      <w:textAlignment w:val="baseline"/>
    </w:pPr>
    <w:rPr>
      <w:rFonts w:cs="Times New Roman"/>
      <w:kern w:val="0"/>
      <w:szCs w:val="20"/>
    </w:rPr>
  </w:style>
  <w:style w:type="paragraph" w:customStyle="1" w:styleId="914">
    <w:name w:val="xl64"/>
    <w:basedOn w:val="1"/>
    <w:autoRedefine/>
    <w:qFormat/>
    <w:uiPriority w:val="0"/>
    <w:pPr>
      <w:widowControl/>
      <w:pBdr>
        <w:left w:val="single" w:color="auto" w:sz="4" w:space="0"/>
        <w:bottom w:val="single" w:color="auto" w:sz="4" w:space="0"/>
        <w:right w:val="single" w:color="auto" w:sz="8" w:space="0"/>
      </w:pBdr>
      <w:spacing w:before="100" w:beforeAutospacing="1" w:after="100" w:afterAutospacing="1" w:line="240" w:lineRule="auto"/>
      <w:jc w:val="left"/>
      <w:textAlignment w:val="center"/>
    </w:pPr>
    <w:rPr>
      <w:rFonts w:ascii="Arial Unicode MS" w:hAnsi="Arial Unicode MS" w:eastAsia="Arial Unicode MS" w:cs="Times New Roman"/>
      <w:kern w:val="0"/>
    </w:rPr>
  </w:style>
  <w:style w:type="paragraph" w:customStyle="1" w:styleId="915">
    <w:name w:val="xl42"/>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textAlignment w:val="center"/>
    </w:pPr>
    <w:rPr>
      <w:rFonts w:eastAsia="Arial Unicode MS" w:cs="Times New Roman"/>
      <w:kern w:val="0"/>
      <w:sz w:val="21"/>
      <w:szCs w:val="21"/>
    </w:rPr>
  </w:style>
  <w:style w:type="paragraph" w:customStyle="1" w:styleId="916">
    <w:name w:val="xl94"/>
    <w:basedOn w:val="1"/>
    <w:autoRedefine/>
    <w:qFormat/>
    <w:uiPriority w:val="0"/>
    <w:pPr>
      <w:widowControl/>
      <w:spacing w:before="100" w:beforeAutospacing="1" w:after="100" w:afterAutospacing="1" w:line="240" w:lineRule="auto"/>
    </w:pPr>
    <w:rPr>
      <w:rFonts w:eastAsia="Arial Unicode MS" w:cs="Times New Roman"/>
      <w:kern w:val="0"/>
      <w:sz w:val="20"/>
      <w:szCs w:val="20"/>
    </w:rPr>
  </w:style>
  <w:style w:type="paragraph" w:customStyle="1" w:styleId="917">
    <w:name w:val="样式 首行缩进:  2.57 字符"/>
    <w:basedOn w:val="1"/>
    <w:autoRedefine/>
    <w:qFormat/>
    <w:uiPriority w:val="0"/>
    <w:pPr>
      <w:spacing w:line="240" w:lineRule="auto"/>
      <w:ind w:firstLine="720" w:firstLineChars="257"/>
      <w:jc w:val="left"/>
    </w:pPr>
    <w:rPr>
      <w:sz w:val="28"/>
      <w:szCs w:val="20"/>
    </w:rPr>
  </w:style>
  <w:style w:type="paragraph" w:customStyle="1" w:styleId="918">
    <w:name w:val="font7"/>
    <w:basedOn w:val="1"/>
    <w:autoRedefine/>
    <w:qFormat/>
    <w:uiPriority w:val="0"/>
    <w:pPr>
      <w:widowControl/>
      <w:spacing w:before="100" w:beforeAutospacing="1" w:after="100" w:afterAutospacing="1" w:line="240" w:lineRule="auto"/>
      <w:jc w:val="left"/>
    </w:pPr>
    <w:rPr>
      <w:rFonts w:hint="eastAsia" w:cs="Times New Roman"/>
      <w:kern w:val="0"/>
    </w:rPr>
  </w:style>
  <w:style w:type="paragraph" w:customStyle="1" w:styleId="919">
    <w:name w:val="121111111111"/>
    <w:basedOn w:val="1"/>
    <w:autoRedefine/>
    <w:qFormat/>
    <w:uiPriority w:val="0"/>
    <w:pPr>
      <w:spacing w:line="460" w:lineRule="exact"/>
    </w:pPr>
    <w:rPr>
      <w:rFonts w:eastAsia="黑体" w:cs="Times New Roman"/>
      <w:color w:val="000000"/>
      <w:spacing w:val="16"/>
    </w:rPr>
  </w:style>
  <w:style w:type="paragraph" w:customStyle="1" w:styleId="920">
    <w:name w:val="纯文本2"/>
    <w:basedOn w:val="1"/>
    <w:autoRedefine/>
    <w:qFormat/>
    <w:uiPriority w:val="0"/>
    <w:pPr>
      <w:adjustRightInd w:val="0"/>
      <w:spacing w:line="240" w:lineRule="auto"/>
      <w:jc w:val="left"/>
      <w:textAlignment w:val="baseline"/>
    </w:pPr>
    <w:rPr>
      <w:rFonts w:cs="Times New Roman"/>
      <w:kern w:val="0"/>
      <w:szCs w:val="20"/>
    </w:rPr>
  </w:style>
  <w:style w:type="paragraph" w:customStyle="1" w:styleId="921">
    <w:name w:val="xl81"/>
    <w:basedOn w:val="1"/>
    <w:autoRedefine/>
    <w:qFormat/>
    <w:uiPriority w:val="0"/>
    <w:pPr>
      <w:widowControl/>
      <w:pBdr>
        <w:top w:val="single" w:color="auto" w:sz="4" w:space="0"/>
        <w:left w:val="single" w:color="auto" w:sz="4" w:space="0"/>
        <w:bottom w:val="single" w:color="auto" w:sz="8" w:space="0"/>
        <w:right w:val="single" w:color="auto" w:sz="8"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922">
    <w:name w:val="样式2"/>
    <w:basedOn w:val="3"/>
    <w:autoRedefine/>
    <w:qFormat/>
    <w:uiPriority w:val="0"/>
    <w:pPr>
      <w:keepNext w:val="0"/>
      <w:pageBreakBefore/>
      <w:snapToGrid w:val="0"/>
      <w:spacing w:before="100" w:beforeAutospacing="1" w:after="100" w:afterAutospacing="1" w:line="500" w:lineRule="exact"/>
    </w:pPr>
    <w:rPr>
      <w:rFonts w:ascii="黑体" w:hAnsi="黑体" w:eastAsia="黑体" w:cs="Times New Roman"/>
      <w:kern w:val="2"/>
      <w:sz w:val="32"/>
      <w:szCs w:val="32"/>
    </w:rPr>
  </w:style>
  <w:style w:type="paragraph" w:customStyle="1" w:styleId="923">
    <w:name w:val="样式 四号 行距: 1.5 倍行距"/>
    <w:basedOn w:val="1"/>
    <w:autoRedefine/>
    <w:qFormat/>
    <w:uiPriority w:val="0"/>
    <w:pPr>
      <w:ind w:firstLine="560" w:firstLineChars="200"/>
    </w:pPr>
    <w:rPr>
      <w:szCs w:val="20"/>
    </w:rPr>
  </w:style>
  <w:style w:type="paragraph" w:customStyle="1" w:styleId="924">
    <w:name w:val="xl29"/>
    <w:basedOn w:val="1"/>
    <w:autoRedefine/>
    <w:qFormat/>
    <w:uiPriority w:val="0"/>
    <w:pPr>
      <w:widowControl/>
      <w:pBdr>
        <w:left w:val="single" w:color="auto" w:sz="8" w:space="0"/>
        <w:right w:val="single" w:color="auto" w:sz="8" w:space="0"/>
      </w:pBdr>
      <w:spacing w:before="100" w:beforeAutospacing="1" w:after="100" w:afterAutospacing="1" w:line="240" w:lineRule="auto"/>
      <w:textAlignment w:val="center"/>
    </w:pPr>
    <w:rPr>
      <w:rFonts w:ascii="Arial Unicode MS" w:hAnsi="Arial Unicode MS" w:eastAsia="Arial Unicode MS" w:cs="Arial Unicode MS"/>
      <w:kern w:val="0"/>
    </w:rPr>
  </w:style>
  <w:style w:type="paragraph" w:customStyle="1" w:styleId="925">
    <w:name w:val="正文文本缩进 31"/>
    <w:basedOn w:val="1"/>
    <w:autoRedefine/>
    <w:qFormat/>
    <w:uiPriority w:val="0"/>
    <w:pPr>
      <w:adjustRightInd w:val="0"/>
      <w:spacing w:line="360" w:lineRule="atLeast"/>
      <w:ind w:firstLine="480"/>
      <w:textAlignment w:val="baseline"/>
    </w:pPr>
    <w:rPr>
      <w:rFonts w:cs="Times New Roman"/>
      <w:kern w:val="0"/>
      <w:szCs w:val="20"/>
    </w:rPr>
  </w:style>
  <w:style w:type="paragraph" w:customStyle="1" w:styleId="926">
    <w:name w:val="尾注文本1"/>
    <w:basedOn w:val="96"/>
    <w:autoRedefine/>
    <w:qFormat/>
    <w:uiPriority w:val="0"/>
    <w:pPr>
      <w:textAlignment w:val="baseline"/>
    </w:pPr>
    <w:rPr>
      <w:kern w:val="0"/>
      <w:sz w:val="21"/>
      <w:szCs w:val="20"/>
    </w:rPr>
  </w:style>
  <w:style w:type="paragraph" w:customStyle="1" w:styleId="927">
    <w:name w:val="符号说明"/>
    <w:basedOn w:val="1"/>
    <w:autoRedefine/>
    <w:qFormat/>
    <w:uiPriority w:val="0"/>
    <w:pPr>
      <w:tabs>
        <w:tab w:val="left" w:pos="1260"/>
        <w:tab w:val="left" w:pos="3780"/>
        <w:tab w:val="left" w:pos="4680"/>
      </w:tabs>
      <w:ind w:firstLine="840" w:firstLineChars="400"/>
    </w:pPr>
    <w:rPr>
      <w:rFonts w:cs="Times New Roman"/>
      <w:sz w:val="21"/>
      <w:szCs w:val="21"/>
    </w:rPr>
  </w:style>
  <w:style w:type="paragraph" w:customStyle="1" w:styleId="928">
    <w:name w:val="标题样式2"/>
    <w:basedOn w:val="4"/>
    <w:autoRedefine/>
    <w:qFormat/>
    <w:uiPriority w:val="0"/>
    <w:pPr>
      <w:keepNext w:val="0"/>
      <w:keepLines w:val="0"/>
      <w:tabs>
        <w:tab w:val="left" w:pos="1260"/>
        <w:tab w:val="left" w:pos="4142"/>
        <w:tab w:val="left" w:pos="6833"/>
        <w:tab w:val="left" w:pos="9030"/>
        <w:tab w:val="left" w:pos="9287"/>
      </w:tabs>
      <w:overflowPunct w:val="0"/>
      <w:topLinePunct/>
      <w:autoSpaceDE w:val="0"/>
      <w:autoSpaceDN w:val="0"/>
      <w:spacing w:beforeLines="5" w:afterLines="5" w:line="360" w:lineRule="atLeast"/>
      <w:ind w:left="1260" w:hanging="420"/>
      <w:textAlignment w:val="baseline"/>
      <w:outlineLvl w:val="9"/>
    </w:pPr>
    <w:rPr>
      <w:rFonts w:cs="Times New Roman"/>
      <w:b w:val="0"/>
      <w:bCs/>
      <w:kern w:val="0"/>
      <w:sz w:val="24"/>
      <w:szCs w:val="20"/>
    </w:rPr>
  </w:style>
  <w:style w:type="paragraph" w:customStyle="1" w:styleId="929">
    <w:name w:val="xl93"/>
    <w:basedOn w:val="1"/>
    <w:autoRedefine/>
    <w:qFormat/>
    <w:uiPriority w:val="0"/>
    <w:pPr>
      <w:widowControl/>
      <w:pBdr>
        <w:top w:val="single" w:color="auto" w:sz="4" w:space="0"/>
        <w:bottom w:val="single" w:color="auto" w:sz="8" w:space="0"/>
        <w:right w:val="single" w:color="auto" w:sz="8" w:space="0"/>
      </w:pBdr>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930">
    <w:name w:val="xl86"/>
    <w:basedOn w:val="1"/>
    <w:autoRedefine/>
    <w:qFormat/>
    <w:uiPriority w:val="0"/>
    <w:pPr>
      <w:widowControl/>
      <w:pBdr>
        <w:top w:val="single" w:color="auto" w:sz="8" w:space="0"/>
        <w:left w:val="single" w:color="auto" w:sz="8" w:space="0"/>
        <w:bottom w:val="single" w:color="auto" w:sz="4" w:space="0"/>
      </w:pBdr>
      <w:spacing w:before="100" w:beforeAutospacing="1" w:after="100" w:afterAutospacing="1" w:line="240" w:lineRule="auto"/>
      <w:jc w:val="left"/>
    </w:pPr>
    <w:rPr>
      <w:rFonts w:eastAsia="Arial Unicode MS" w:cs="Times New Roman"/>
      <w:kern w:val="0"/>
      <w:sz w:val="16"/>
      <w:szCs w:val="16"/>
    </w:rPr>
  </w:style>
  <w:style w:type="paragraph" w:customStyle="1" w:styleId="931">
    <w:name w:val="xl84"/>
    <w:basedOn w:val="1"/>
    <w:autoRedefine/>
    <w:qFormat/>
    <w:uiPriority w:val="0"/>
    <w:pPr>
      <w:widowControl/>
      <w:pBdr>
        <w:bottom w:val="single" w:color="auto" w:sz="4"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932">
    <w:name w:val="表格样式1"/>
    <w:basedOn w:val="1"/>
    <w:autoRedefine/>
    <w:qFormat/>
    <w:uiPriority w:val="0"/>
    <w:pPr>
      <w:adjustRightInd w:val="0"/>
      <w:spacing w:line="20" w:lineRule="atLeast"/>
      <w:textAlignment w:val="baseline"/>
    </w:pPr>
    <w:rPr>
      <w:rFonts w:cs="Times New Roman"/>
      <w:kern w:val="0"/>
      <w:sz w:val="21"/>
      <w:szCs w:val="20"/>
    </w:rPr>
  </w:style>
  <w:style w:type="paragraph" w:customStyle="1" w:styleId="933">
    <w:name w:val="xl22"/>
    <w:basedOn w:val="1"/>
    <w:autoRedefine/>
    <w:qFormat/>
    <w:uiPriority w:val="0"/>
    <w:pPr>
      <w:widowControl/>
      <w:pBdr>
        <w:right w:val="single" w:color="auto" w:sz="4" w:space="0"/>
      </w:pBdr>
      <w:spacing w:before="100" w:beforeAutospacing="1" w:after="100" w:afterAutospacing="1" w:line="240" w:lineRule="auto"/>
    </w:pPr>
    <w:rPr>
      <w:rFonts w:ascii="Arial Unicode MS" w:hAnsi="Arial Unicode MS" w:eastAsia="Arial Unicode MS" w:cs="Times New Roman"/>
      <w:kern w:val="0"/>
      <w:sz w:val="21"/>
      <w:szCs w:val="21"/>
    </w:rPr>
  </w:style>
  <w:style w:type="paragraph" w:customStyle="1" w:styleId="934">
    <w:name w:val="样式 标题 3 + Arial"/>
    <w:basedOn w:val="1"/>
    <w:autoRedefine/>
    <w:qFormat/>
    <w:uiPriority w:val="0"/>
    <w:pPr>
      <w:spacing w:line="240" w:lineRule="auto"/>
    </w:pPr>
    <w:rPr>
      <w:rFonts w:cs="Times New Roman"/>
      <w:sz w:val="21"/>
      <w:szCs w:val="20"/>
    </w:rPr>
  </w:style>
  <w:style w:type="paragraph" w:customStyle="1" w:styleId="935">
    <w:name w:val="尾注文本2"/>
    <w:basedOn w:val="681"/>
    <w:autoRedefine/>
    <w:qFormat/>
    <w:uiPriority w:val="0"/>
    <w:rPr>
      <w:sz w:val="21"/>
      <w:szCs w:val="20"/>
    </w:rPr>
  </w:style>
  <w:style w:type="paragraph" w:customStyle="1" w:styleId="936">
    <w:name w:val="res-desc1"/>
    <w:basedOn w:val="1"/>
    <w:autoRedefine/>
    <w:qFormat/>
    <w:uiPriority w:val="0"/>
    <w:pPr>
      <w:widowControl/>
      <w:wordWrap w:val="0"/>
      <w:spacing w:before="100" w:beforeAutospacing="1" w:after="100" w:afterAutospacing="1" w:line="360" w:lineRule="atLeast"/>
    </w:pPr>
    <w:rPr>
      <w:kern w:val="0"/>
    </w:rPr>
  </w:style>
  <w:style w:type="paragraph" w:customStyle="1" w:styleId="937">
    <w:name w:val="8"/>
    <w:basedOn w:val="1"/>
    <w:next w:val="27"/>
    <w:autoRedefine/>
    <w:qFormat/>
    <w:uiPriority w:val="0"/>
    <w:pPr>
      <w:spacing w:line="400" w:lineRule="exact"/>
      <w:ind w:firstLine="516" w:firstLineChars="215"/>
    </w:pPr>
    <w:rPr>
      <w:rFonts w:cs="Times New Roman"/>
    </w:rPr>
  </w:style>
  <w:style w:type="paragraph" w:customStyle="1" w:styleId="938">
    <w:name w:val="图文框"/>
    <w:basedOn w:val="1"/>
    <w:autoRedefine/>
    <w:qFormat/>
    <w:uiPriority w:val="0"/>
    <w:pPr>
      <w:spacing w:line="320" w:lineRule="exact"/>
    </w:pPr>
    <w:rPr>
      <w:rFonts w:cs="Times New Roman"/>
      <w:sz w:val="21"/>
    </w:rPr>
  </w:style>
  <w:style w:type="paragraph" w:customStyle="1" w:styleId="939">
    <w:name w:val="表格文字小四"/>
    <w:basedOn w:val="1"/>
    <w:next w:val="26"/>
    <w:autoRedefine/>
    <w:qFormat/>
    <w:uiPriority w:val="0"/>
    <w:pPr>
      <w:framePr w:hSpace="180" w:wrap="around" w:vAnchor="text" w:hAnchor="margin" w:xAlign="center" w:y="319"/>
      <w:adjustRightInd w:val="0"/>
      <w:snapToGrid w:val="0"/>
      <w:spacing w:line="240" w:lineRule="auto"/>
      <w:ind w:left="-593"/>
    </w:pPr>
    <w:rPr>
      <w:rFonts w:cs="Times New Roman"/>
    </w:rPr>
  </w:style>
  <w:style w:type="paragraph" w:customStyle="1" w:styleId="940">
    <w:name w:val="reader-word-layer reader-word-s2-15"/>
    <w:basedOn w:val="1"/>
    <w:autoRedefine/>
    <w:qFormat/>
    <w:uiPriority w:val="0"/>
    <w:pPr>
      <w:widowControl/>
      <w:spacing w:before="100" w:beforeAutospacing="1" w:after="100" w:afterAutospacing="1" w:line="240" w:lineRule="auto"/>
      <w:jc w:val="left"/>
    </w:pPr>
    <w:rPr>
      <w:kern w:val="0"/>
    </w:rPr>
  </w:style>
  <w:style w:type="paragraph" w:customStyle="1" w:styleId="941">
    <w:name w:val="reader-word-layer reader-word-s1-16"/>
    <w:basedOn w:val="1"/>
    <w:autoRedefine/>
    <w:qFormat/>
    <w:uiPriority w:val="0"/>
    <w:pPr>
      <w:widowControl/>
      <w:spacing w:before="100" w:beforeAutospacing="1" w:after="100" w:afterAutospacing="1" w:line="240" w:lineRule="auto"/>
      <w:jc w:val="left"/>
    </w:pPr>
    <w:rPr>
      <w:kern w:val="0"/>
    </w:rPr>
  </w:style>
  <w:style w:type="paragraph" w:customStyle="1" w:styleId="942">
    <w:name w:val="xl70"/>
    <w:basedOn w:val="1"/>
    <w:autoRedefine/>
    <w:qFormat/>
    <w:uiPriority w:val="0"/>
    <w:pPr>
      <w:widowControl/>
      <w:pBdr>
        <w:left w:val="single" w:color="auto" w:sz="4" w:space="0"/>
        <w:bottom w:val="single" w:color="auto" w:sz="8" w:space="0"/>
        <w:right w:val="single" w:color="auto" w:sz="4" w:space="0"/>
      </w:pBdr>
      <w:spacing w:before="100" w:beforeAutospacing="1" w:after="100" w:afterAutospacing="1" w:line="240" w:lineRule="auto"/>
      <w:textAlignment w:val="center"/>
    </w:pPr>
    <w:rPr>
      <w:rFonts w:eastAsia="Arial Unicode MS" w:cs="Times New Roman"/>
      <w:kern w:val="0"/>
      <w:sz w:val="21"/>
      <w:szCs w:val="21"/>
    </w:rPr>
  </w:style>
  <w:style w:type="paragraph" w:customStyle="1" w:styleId="943">
    <w:name w:val="reader-word-layer reader-word-s1-13"/>
    <w:basedOn w:val="1"/>
    <w:autoRedefine/>
    <w:qFormat/>
    <w:uiPriority w:val="0"/>
    <w:pPr>
      <w:widowControl/>
      <w:spacing w:before="100" w:beforeAutospacing="1" w:after="100" w:afterAutospacing="1" w:line="240" w:lineRule="auto"/>
      <w:jc w:val="left"/>
    </w:pPr>
    <w:rPr>
      <w:kern w:val="0"/>
    </w:rPr>
  </w:style>
  <w:style w:type="paragraph" w:customStyle="1" w:styleId="944">
    <w:name w:val="unnamed2"/>
    <w:basedOn w:val="1"/>
    <w:autoRedefine/>
    <w:qFormat/>
    <w:uiPriority w:val="0"/>
    <w:pPr>
      <w:widowControl/>
      <w:spacing w:before="100" w:beforeAutospacing="1" w:after="100" w:afterAutospacing="1" w:line="240" w:lineRule="auto"/>
      <w:jc w:val="left"/>
    </w:pPr>
    <w:rPr>
      <w:rFonts w:ascii="Arial Unicode MS" w:hAnsi="Arial Unicode MS" w:eastAsia="Arial Unicode MS" w:cs="Arial Unicode MS"/>
      <w:color w:val="000000"/>
      <w:kern w:val="0"/>
    </w:rPr>
  </w:style>
  <w:style w:type="paragraph" w:customStyle="1" w:styleId="945">
    <w:name w:val="正文文本缩进A"/>
    <w:basedOn w:val="735"/>
    <w:autoRedefine/>
    <w:qFormat/>
    <w:uiPriority w:val="0"/>
    <w:pPr>
      <w:ind w:firstLine="480" w:firstLineChars="200"/>
    </w:pPr>
    <w:rPr>
      <w:rFonts w:ascii="Times New Roman" w:eastAsia="宋体"/>
      <w:sz w:val="24"/>
      <w:szCs w:val="24"/>
    </w:rPr>
  </w:style>
  <w:style w:type="paragraph" w:customStyle="1" w:styleId="946">
    <w:name w:val="正文文字缩进 1"/>
    <w:basedOn w:val="56"/>
    <w:autoRedefine/>
    <w:qFormat/>
    <w:uiPriority w:val="0"/>
    <w:pPr>
      <w:autoSpaceDE w:val="0"/>
      <w:autoSpaceDN w:val="0"/>
      <w:adjustRightInd w:val="0"/>
      <w:spacing w:line="360" w:lineRule="auto"/>
      <w:ind w:firstLine="561" w:firstLineChars="200"/>
    </w:pPr>
    <w:rPr>
      <w:rFonts w:ascii="黑体" w:eastAsia="黑体"/>
      <w:b/>
      <w:bCs/>
      <w:color w:val="000000"/>
      <w:sz w:val="28"/>
    </w:rPr>
  </w:style>
  <w:style w:type="paragraph" w:customStyle="1" w:styleId="947">
    <w:name w:val="xl53"/>
    <w:basedOn w:val="1"/>
    <w:autoRedefine/>
    <w:qFormat/>
    <w:uiPriority w:val="0"/>
    <w:pPr>
      <w:widowControl/>
      <w:pBdr>
        <w:top w:val="single" w:color="auto" w:sz="4" w:space="0"/>
        <w:left w:val="single" w:color="auto" w:sz="4" w:space="0"/>
      </w:pBdr>
      <w:spacing w:before="100" w:beforeAutospacing="1" w:after="100" w:afterAutospacing="1" w:line="240" w:lineRule="auto"/>
      <w:textAlignment w:val="center"/>
    </w:pPr>
    <w:rPr>
      <w:rFonts w:eastAsia="Arial Unicode MS" w:cs="Times New Roman"/>
      <w:kern w:val="0"/>
    </w:rPr>
  </w:style>
  <w:style w:type="paragraph" w:customStyle="1" w:styleId="948">
    <w:name w:val="正文文本缩进 211"/>
    <w:basedOn w:val="1"/>
    <w:autoRedefine/>
    <w:qFormat/>
    <w:uiPriority w:val="0"/>
    <w:pPr>
      <w:adjustRightInd w:val="0"/>
      <w:ind w:firstLine="510"/>
      <w:textAlignment w:val="baseline"/>
    </w:pPr>
    <w:rPr>
      <w:rFonts w:cs="Times New Roman"/>
      <w:sz w:val="28"/>
      <w:szCs w:val="20"/>
    </w:rPr>
  </w:style>
  <w:style w:type="paragraph" w:customStyle="1" w:styleId="949">
    <w:name w:val="表格小四号"/>
    <w:basedOn w:val="1"/>
    <w:autoRedefine/>
    <w:qFormat/>
    <w:uiPriority w:val="0"/>
    <w:pPr>
      <w:topLinePunct/>
      <w:adjustRightInd w:val="0"/>
      <w:snapToGrid w:val="0"/>
      <w:spacing w:line="240" w:lineRule="auto"/>
      <w:textAlignment w:val="baseline"/>
    </w:pPr>
    <w:rPr>
      <w:rFonts w:cs="Times New Roman"/>
      <w:snapToGrid w:val="0"/>
      <w:kern w:val="0"/>
      <w:szCs w:val="28"/>
    </w:rPr>
  </w:style>
  <w:style w:type="paragraph" w:customStyle="1" w:styleId="950">
    <w:name w:val="样式"/>
    <w:autoRedefine/>
    <w:qFormat/>
    <w:uiPriority w:val="0"/>
    <w:pPr>
      <w:widowControl w:val="0"/>
      <w:autoSpaceDE w:val="0"/>
      <w:autoSpaceDN w:val="0"/>
      <w:adjustRightInd w:val="0"/>
    </w:pPr>
    <w:rPr>
      <w:rFonts w:ascii="宋体" w:hAnsi="宋体" w:eastAsia="宋体" w:cs="Times New Roman"/>
      <w:sz w:val="24"/>
      <w:szCs w:val="24"/>
      <w:lang w:val="en-US" w:eastAsia="zh-CN" w:bidi="ar-SA"/>
    </w:rPr>
  </w:style>
  <w:style w:type="paragraph" w:customStyle="1" w:styleId="951">
    <w:name w:val="lyh正文"/>
    <w:autoRedefine/>
    <w:qFormat/>
    <w:uiPriority w:val="0"/>
    <w:pPr>
      <w:adjustRightInd w:val="0"/>
      <w:snapToGrid w:val="0"/>
      <w:spacing w:line="360" w:lineRule="auto"/>
      <w:ind w:firstLine="200" w:firstLineChars="200"/>
    </w:pPr>
    <w:rPr>
      <w:rFonts w:ascii="Times New Roman" w:hAnsi="Times New Roman" w:eastAsia="宋体" w:cs="Times New Roman"/>
      <w:bCs/>
      <w:szCs w:val="32"/>
      <w:lang w:val="en-US" w:eastAsia="zh-CN" w:bidi="ar-SA"/>
    </w:rPr>
  </w:style>
  <w:style w:type="paragraph" w:customStyle="1" w:styleId="952">
    <w:name w:val="Знак Знак Знак Char Char Char"/>
    <w:basedOn w:val="26"/>
    <w:next w:val="26"/>
    <w:autoRedefine/>
    <w:qFormat/>
    <w:uiPriority w:val="0"/>
    <w:pPr>
      <w:widowControl/>
      <w:spacing w:before="60" w:after="160" w:line="240" w:lineRule="auto"/>
      <w:ind w:left="794"/>
    </w:pPr>
    <w:rPr>
      <w:rFonts w:ascii="Times New Roman" w:hAnsi="Times New Roman" w:cs="Times New Roman"/>
      <w:sz w:val="21"/>
      <w:lang w:val="en-US" w:bidi="ar-SA"/>
    </w:rPr>
  </w:style>
  <w:style w:type="paragraph" w:customStyle="1" w:styleId="953">
    <w:name w:val="样式 标题 3样式　标题 3　自动设置标题 3 Char章 + Times New 表题3"/>
    <w:basedOn w:val="5"/>
    <w:autoRedefine/>
    <w:qFormat/>
    <w:uiPriority w:val="0"/>
    <w:pPr>
      <w:tabs>
        <w:tab w:val="left" w:pos="1994"/>
        <w:tab w:val="left" w:pos="3800"/>
        <w:tab w:val="left" w:pos="5200"/>
      </w:tabs>
      <w:autoSpaceDE w:val="0"/>
      <w:autoSpaceDN w:val="0"/>
      <w:spacing w:before="120" w:after="120"/>
      <w:ind w:left="1994" w:hanging="420"/>
    </w:pPr>
    <w:rPr>
      <w:bCs/>
      <w:sz w:val="28"/>
      <w:szCs w:val="28"/>
    </w:rPr>
  </w:style>
  <w:style w:type="paragraph" w:customStyle="1" w:styleId="954">
    <w:name w:val="6"/>
    <w:basedOn w:val="1"/>
    <w:next w:val="27"/>
    <w:autoRedefine/>
    <w:qFormat/>
    <w:uiPriority w:val="0"/>
    <w:pPr>
      <w:spacing w:line="400" w:lineRule="exact"/>
      <w:ind w:firstLine="516" w:firstLineChars="215"/>
    </w:pPr>
    <w:rPr>
      <w:rFonts w:cs="Times New Roman"/>
    </w:rPr>
  </w:style>
  <w:style w:type="paragraph" w:customStyle="1" w:styleId="955">
    <w:name w:val="样式 仿宋_GB2312 小三 黑色 行距: 1.5 倍行距"/>
    <w:basedOn w:val="1"/>
    <w:autoRedefine/>
    <w:qFormat/>
    <w:uiPriority w:val="0"/>
    <w:pPr>
      <w:ind w:firstLine="600" w:firstLineChars="200"/>
    </w:pPr>
    <w:rPr>
      <w:rFonts w:ascii="仿宋_GB2312" w:eastAsia="仿宋"/>
      <w:color w:val="000000"/>
      <w:sz w:val="30"/>
      <w:szCs w:val="20"/>
    </w:rPr>
  </w:style>
  <w:style w:type="paragraph" w:customStyle="1" w:styleId="956">
    <w:name w:val="正文文字缩进一"/>
    <w:basedOn w:val="817"/>
    <w:autoRedefine/>
    <w:qFormat/>
    <w:uiPriority w:val="0"/>
    <w:pPr>
      <w:ind w:firstLine="560"/>
    </w:pPr>
    <w:rPr>
      <w:rFonts w:hAnsi="宋体"/>
      <w:color w:val="auto"/>
      <w:sz w:val="28"/>
      <w:szCs w:val="28"/>
    </w:rPr>
  </w:style>
  <w:style w:type="paragraph" w:customStyle="1" w:styleId="957">
    <w:name w:val="正文标题3"/>
    <w:basedOn w:val="5"/>
    <w:autoRedefine/>
    <w:qFormat/>
    <w:uiPriority w:val="0"/>
    <w:rPr>
      <w:rFonts w:eastAsia="黑体" w:cs="Times New Roman"/>
      <w:b w:val="0"/>
      <w:bCs/>
      <w:sz w:val="28"/>
      <w:szCs w:val="32"/>
    </w:rPr>
  </w:style>
  <w:style w:type="paragraph" w:customStyle="1" w:styleId="958">
    <w:name w:val="样式 标题 3 + 黑色 首行缩进:  2 字符"/>
    <w:basedOn w:val="5"/>
    <w:autoRedefine/>
    <w:qFormat/>
    <w:uiPriority w:val="0"/>
    <w:pPr>
      <w:widowControl/>
      <w:spacing w:line="360" w:lineRule="auto"/>
      <w:ind w:firstLine="600" w:firstLineChars="200"/>
      <w:jc w:val="left"/>
    </w:pPr>
    <w:rPr>
      <w:rFonts w:ascii="仿宋_GB2312" w:eastAsia="仿宋_GB2312"/>
      <w:b w:val="0"/>
      <w:bCs/>
      <w:color w:val="000000"/>
      <w:kern w:val="0"/>
      <w:sz w:val="30"/>
      <w:szCs w:val="20"/>
    </w:rPr>
  </w:style>
  <w:style w:type="paragraph" w:customStyle="1" w:styleId="959">
    <w:name w:val="xl105"/>
    <w:basedOn w:val="1"/>
    <w:autoRedefine/>
    <w:qFormat/>
    <w:uiPriority w:val="0"/>
    <w:pPr>
      <w:widowControl/>
      <w:pBdr>
        <w:top w:val="single" w:color="auto" w:sz="4" w:space="0"/>
        <w:right w:val="single" w:color="auto" w:sz="4"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960">
    <w:name w:val="WPS Plain"/>
    <w:autoRedefine/>
    <w:qFormat/>
    <w:uiPriority w:val="0"/>
    <w:rPr>
      <w:rFonts w:ascii="Times New Roman" w:hAnsi="Times New Roman" w:eastAsia="宋体" w:cs="Times New Roman"/>
      <w:lang w:val="en-US" w:eastAsia="zh-CN" w:bidi="ar-SA"/>
    </w:rPr>
  </w:style>
  <w:style w:type="paragraph" w:customStyle="1" w:styleId="961">
    <w:name w:val="xl25"/>
    <w:basedOn w:val="1"/>
    <w:autoRedefine/>
    <w:qFormat/>
    <w:uiPriority w:val="0"/>
    <w:pPr>
      <w:widowControl/>
      <w:pBdr>
        <w:top w:val="single" w:color="auto" w:sz="8" w:space="0"/>
        <w:left w:val="single" w:color="auto" w:sz="8" w:space="0"/>
        <w:right w:val="single" w:color="auto" w:sz="8" w:space="0"/>
      </w:pBdr>
      <w:spacing w:before="100" w:beforeAutospacing="1" w:after="100" w:afterAutospacing="1" w:line="240" w:lineRule="auto"/>
      <w:textAlignment w:val="center"/>
    </w:pPr>
    <w:rPr>
      <w:rFonts w:ascii="Arial Unicode MS" w:hAnsi="Arial Unicode MS" w:eastAsia="Arial Unicode MS" w:cs="Times New Roman"/>
      <w:kern w:val="0"/>
      <w:sz w:val="20"/>
      <w:szCs w:val="20"/>
    </w:rPr>
  </w:style>
  <w:style w:type="paragraph" w:customStyle="1" w:styleId="962">
    <w:name w:val="xl79"/>
    <w:basedOn w:val="1"/>
    <w:autoRedefine/>
    <w:qFormat/>
    <w:uiPriority w:val="0"/>
    <w:pPr>
      <w:widowControl/>
      <w:pBdr>
        <w:top w:val="single" w:color="auto" w:sz="4" w:space="0"/>
        <w:right w:val="single" w:color="auto" w:sz="8"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963">
    <w:name w:val="Char Char Char1"/>
    <w:basedOn w:val="1"/>
    <w:autoRedefine/>
    <w:qFormat/>
    <w:uiPriority w:val="0"/>
    <w:pPr>
      <w:spacing w:beforeLines="100" w:line="240" w:lineRule="auto"/>
    </w:pPr>
    <w:rPr>
      <w:rFonts w:cs="Times New Roman"/>
      <w:sz w:val="21"/>
    </w:rPr>
  </w:style>
  <w:style w:type="paragraph" w:customStyle="1" w:styleId="964">
    <w:name w:val="xl78"/>
    <w:basedOn w:val="1"/>
    <w:autoRedefine/>
    <w:qFormat/>
    <w:uiPriority w:val="0"/>
    <w:pPr>
      <w:widowControl/>
      <w:pBdr>
        <w:top w:val="single" w:color="auto" w:sz="4" w:space="0"/>
        <w:left w:val="single" w:color="auto" w:sz="4" w:space="0"/>
        <w:bottom w:val="single" w:color="auto" w:sz="4" w:space="0"/>
        <w:right w:val="single" w:color="auto" w:sz="8"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965">
    <w:name w:val="xl110"/>
    <w:basedOn w:val="1"/>
    <w:autoRedefine/>
    <w:qFormat/>
    <w:uiPriority w:val="0"/>
    <w:pPr>
      <w:widowControl/>
      <w:pBdr>
        <w:bottom w:val="single" w:color="auto" w:sz="4" w:space="0"/>
        <w:right w:val="single" w:color="auto" w:sz="8"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966">
    <w:name w:val="样式 标题 2H2节标题 1.1节标题 1.1 Char1.1  标题 2  节标题 1.1第一章 标题 2Head..."/>
    <w:basedOn w:val="4"/>
    <w:autoRedefine/>
    <w:qFormat/>
    <w:uiPriority w:val="0"/>
    <w:pPr>
      <w:spacing w:line="360" w:lineRule="auto"/>
    </w:pPr>
    <w:rPr>
      <w:rFonts w:ascii="Times New Roman" w:hAnsi="Times New Roman" w:eastAsia="宋体"/>
      <w:bCs/>
      <w:sz w:val="24"/>
      <w:szCs w:val="20"/>
    </w:rPr>
  </w:style>
  <w:style w:type="paragraph" w:customStyle="1" w:styleId="967">
    <w:name w:val="5"/>
    <w:basedOn w:val="1"/>
    <w:next w:val="17"/>
    <w:autoRedefine/>
    <w:qFormat/>
    <w:uiPriority w:val="0"/>
    <w:pPr>
      <w:spacing w:line="240" w:lineRule="auto"/>
      <w:ind w:firstLine="420"/>
    </w:pPr>
    <w:rPr>
      <w:rFonts w:cs="Times New Roman"/>
      <w:sz w:val="21"/>
      <w:szCs w:val="21"/>
    </w:rPr>
  </w:style>
  <w:style w:type="paragraph" w:customStyle="1" w:styleId="968">
    <w:name w:val="xl102"/>
    <w:basedOn w:val="1"/>
    <w:autoRedefine/>
    <w:qFormat/>
    <w:uiPriority w:val="0"/>
    <w:pPr>
      <w:widowControl/>
      <w:pBdr>
        <w:top w:val="single" w:color="auto" w:sz="4" w:space="0"/>
        <w:bottom w:val="single" w:color="auto" w:sz="4" w:space="0"/>
        <w:right w:val="single" w:color="auto" w:sz="8" w:space="0"/>
      </w:pBdr>
      <w:spacing w:before="100" w:beforeAutospacing="1" w:after="100" w:afterAutospacing="1" w:line="240" w:lineRule="auto"/>
      <w:jc w:val="left"/>
    </w:pPr>
    <w:rPr>
      <w:rFonts w:ascii="Arial Unicode MS" w:hAnsi="Arial Unicode MS" w:eastAsia="Arial Unicode MS" w:cs="Arial Unicode MS"/>
      <w:kern w:val="0"/>
    </w:rPr>
  </w:style>
  <w:style w:type="paragraph" w:customStyle="1" w:styleId="969">
    <w:name w:val="xl106"/>
    <w:basedOn w:val="1"/>
    <w:autoRedefine/>
    <w:qFormat/>
    <w:uiPriority w:val="0"/>
    <w:pPr>
      <w:widowControl/>
      <w:pBdr>
        <w:bottom w:val="single" w:color="auto" w:sz="4" w:space="0"/>
        <w:right w:val="single" w:color="auto" w:sz="4" w:space="0"/>
      </w:pBdr>
      <w:spacing w:before="100" w:beforeAutospacing="1" w:after="100" w:afterAutospacing="1" w:line="240" w:lineRule="auto"/>
      <w:textAlignment w:val="center"/>
    </w:pPr>
    <w:rPr>
      <w:rFonts w:ascii="Arial Unicode MS" w:hAnsi="Arial Unicode MS" w:eastAsia="Arial Unicode MS" w:cs="Arial Unicode MS"/>
      <w:kern w:val="0"/>
      <w:sz w:val="16"/>
      <w:szCs w:val="16"/>
    </w:rPr>
  </w:style>
  <w:style w:type="paragraph" w:customStyle="1" w:styleId="970">
    <w:name w:val="表格小四"/>
    <w:basedOn w:val="1"/>
    <w:autoRedefine/>
    <w:qFormat/>
    <w:uiPriority w:val="0"/>
    <w:pPr>
      <w:adjustRightInd w:val="0"/>
      <w:snapToGrid w:val="0"/>
      <w:spacing w:line="240" w:lineRule="auto"/>
    </w:pPr>
    <w:rPr>
      <w:rFonts w:cs="Times New Roman"/>
      <w:snapToGrid w:val="0"/>
      <w:kern w:val="0"/>
      <w:szCs w:val="28"/>
    </w:rPr>
  </w:style>
  <w:style w:type="paragraph" w:customStyle="1" w:styleId="971">
    <w:name w:val="font0"/>
    <w:basedOn w:val="1"/>
    <w:autoRedefine/>
    <w:qFormat/>
    <w:uiPriority w:val="0"/>
    <w:pPr>
      <w:widowControl/>
      <w:spacing w:before="100" w:beforeAutospacing="1" w:after="100" w:afterAutospacing="1" w:line="240" w:lineRule="auto"/>
      <w:jc w:val="left"/>
    </w:pPr>
    <w:rPr>
      <w:kern w:val="0"/>
    </w:rPr>
  </w:style>
  <w:style w:type="paragraph" w:customStyle="1" w:styleId="972">
    <w:name w:val="正文211"/>
    <w:autoRedefine/>
    <w:qFormat/>
    <w:uiPriority w:val="0"/>
    <w:pPr>
      <w:tabs>
        <w:tab w:val="right" w:pos="1474"/>
      </w:tabs>
      <w:spacing w:line="360" w:lineRule="auto"/>
    </w:pPr>
    <w:rPr>
      <w:rFonts w:ascii="Times New Roman" w:hAnsi="Times New Roman" w:eastAsia="宋体" w:cs="Times New Roman"/>
      <w:sz w:val="24"/>
      <w:lang w:val="en-US" w:eastAsia="zh-CN" w:bidi="ar-SA"/>
    </w:rPr>
  </w:style>
  <w:style w:type="paragraph" w:customStyle="1" w:styleId="973">
    <w:name w:val="xl92"/>
    <w:basedOn w:val="1"/>
    <w:autoRedefine/>
    <w:qFormat/>
    <w:uiPriority w:val="0"/>
    <w:pPr>
      <w:widowControl/>
      <w:pBdr>
        <w:top w:val="single" w:color="auto" w:sz="4" w:space="0"/>
        <w:left w:val="single" w:color="auto" w:sz="4" w:space="0"/>
        <w:bottom w:val="single" w:color="auto" w:sz="8" w:space="0"/>
      </w:pBdr>
      <w:spacing w:before="100" w:beforeAutospacing="1" w:after="100" w:afterAutospacing="1" w:line="240" w:lineRule="auto"/>
    </w:pPr>
    <w:rPr>
      <w:rFonts w:ascii="Arial Unicode MS" w:hAnsi="Arial Unicode MS" w:eastAsia="Arial Unicode MS" w:cs="Arial Unicode MS"/>
      <w:kern w:val="0"/>
      <w:sz w:val="16"/>
      <w:szCs w:val="16"/>
    </w:rPr>
  </w:style>
  <w:style w:type="paragraph" w:customStyle="1" w:styleId="974">
    <w:name w:val="样式 标题 4常用标题 4 + 段前: 6 磅 段后: 6 磅 行距: 固定值 26 磅"/>
    <w:basedOn w:val="6"/>
    <w:autoRedefine/>
    <w:qFormat/>
    <w:uiPriority w:val="0"/>
    <w:pPr>
      <w:keepNext/>
      <w:keepLines/>
      <w:tabs>
        <w:tab w:val="left" w:pos="2414"/>
        <w:tab w:val="clear" w:pos="525"/>
      </w:tabs>
      <w:spacing w:before="120" w:after="120" w:line="240" w:lineRule="auto"/>
      <w:ind w:left="2414" w:hanging="420"/>
    </w:pPr>
    <w:rPr>
      <w:rFonts w:ascii="Arial" w:hAnsi="Arial"/>
      <w:b/>
      <w:bCs/>
      <w:sz w:val="28"/>
      <w:szCs w:val="20"/>
    </w:rPr>
  </w:style>
  <w:style w:type="paragraph" w:customStyle="1" w:styleId="975">
    <w:name w:val="正文3"/>
    <w:autoRedefine/>
    <w:qFormat/>
    <w:uiPriority w:val="0"/>
    <w:pPr>
      <w:widowControl w:val="0"/>
      <w:adjustRightInd w:val="0"/>
      <w:spacing w:line="360" w:lineRule="atLeast"/>
    </w:pPr>
    <w:rPr>
      <w:rFonts w:hint="eastAsia" w:ascii="宋体" w:hAnsi="Times New Roman" w:eastAsia="宋体" w:cs="Times New Roman"/>
      <w:sz w:val="24"/>
      <w:lang w:val="en-US" w:eastAsia="zh-CN" w:bidi="ar-SA"/>
    </w:rPr>
  </w:style>
  <w:style w:type="paragraph" w:customStyle="1" w:styleId="976">
    <w:name w:val="正文文本最新 Char Char Char1 Char Char Char Char Char Char"/>
    <w:autoRedefine/>
    <w:qFormat/>
    <w:uiPriority w:val="0"/>
    <w:pPr>
      <w:spacing w:line="360" w:lineRule="auto"/>
      <w:ind w:firstLine="200" w:firstLineChars="200"/>
      <w:jc w:val="both"/>
    </w:pPr>
    <w:rPr>
      <w:rFonts w:ascii="Times New Roman" w:hAnsi="Times New Roman" w:eastAsia="宋体" w:cs="Times New Roman"/>
      <w:b/>
      <w:bCs/>
      <w:kern w:val="2"/>
      <w:sz w:val="28"/>
      <w:szCs w:val="24"/>
      <w:lang w:val="en-US" w:eastAsia="zh-CN" w:bidi="ar-SA"/>
    </w:rPr>
  </w:style>
  <w:style w:type="paragraph" w:customStyle="1" w:styleId="977">
    <w:name w:val="【表格文字】"/>
    <w:autoRedefine/>
    <w:qFormat/>
    <w:uiPriority w:val="0"/>
    <w:pPr>
      <w:jc w:val="center"/>
    </w:pPr>
    <w:rPr>
      <w:rFonts w:ascii="Times New Roman" w:hAnsi="Times New Roman" w:eastAsia="宋体" w:cs="宋体"/>
      <w:sz w:val="21"/>
      <w:lang w:val="en-US" w:eastAsia="zh-CN" w:bidi="ar-SA"/>
    </w:rPr>
  </w:style>
  <w:style w:type="paragraph" w:customStyle="1" w:styleId="978">
    <w:name w:val="Char Char Char1 Char1"/>
    <w:basedOn w:val="1"/>
    <w:autoRedefine/>
    <w:semiHidden/>
    <w:qFormat/>
    <w:uiPriority w:val="0"/>
    <w:pPr>
      <w:spacing w:line="240" w:lineRule="auto"/>
    </w:pPr>
    <w:rPr>
      <w:rFonts w:cs="Times New Roman"/>
      <w:sz w:val="21"/>
    </w:rPr>
  </w:style>
  <w:style w:type="paragraph" w:customStyle="1" w:styleId="979">
    <w:name w:val="xl101"/>
    <w:basedOn w:val="1"/>
    <w:autoRedefine/>
    <w:qFormat/>
    <w:uiPriority w:val="0"/>
    <w:pPr>
      <w:widowControl/>
      <w:pBdr>
        <w:top w:val="single" w:color="auto" w:sz="4" w:space="0"/>
        <w:left w:val="single" w:color="auto" w:sz="4" w:space="0"/>
        <w:bottom w:val="single" w:color="auto" w:sz="4" w:space="0"/>
      </w:pBdr>
      <w:spacing w:before="100" w:beforeAutospacing="1" w:after="100" w:afterAutospacing="1" w:line="240" w:lineRule="auto"/>
    </w:pPr>
    <w:rPr>
      <w:rFonts w:ascii="Arial Unicode MS" w:hAnsi="Arial Unicode MS" w:eastAsia="Arial Unicode MS" w:cs="Arial Unicode MS"/>
      <w:kern w:val="0"/>
      <w:sz w:val="16"/>
      <w:szCs w:val="16"/>
    </w:rPr>
  </w:style>
  <w:style w:type="paragraph" w:customStyle="1" w:styleId="980">
    <w:name w:val="Char Char Char Char1"/>
    <w:basedOn w:val="1"/>
    <w:autoRedefine/>
    <w:qFormat/>
    <w:uiPriority w:val="0"/>
    <w:pPr>
      <w:snapToGrid w:val="0"/>
      <w:spacing w:line="440" w:lineRule="atLeast"/>
    </w:pPr>
    <w:rPr>
      <w:rFonts w:cs="Times New Roman"/>
    </w:rPr>
  </w:style>
  <w:style w:type="paragraph" w:customStyle="1" w:styleId="981">
    <w:name w:val="xl85"/>
    <w:basedOn w:val="1"/>
    <w:autoRedefine/>
    <w:qFormat/>
    <w:uiPriority w:val="0"/>
    <w:pPr>
      <w:widowControl/>
      <w:spacing w:before="100" w:beforeAutospacing="1" w:after="100" w:afterAutospacing="1" w:line="240" w:lineRule="auto"/>
      <w:jc w:val="left"/>
      <w:textAlignment w:val="center"/>
    </w:pPr>
    <w:rPr>
      <w:rFonts w:ascii="Arial Unicode MS" w:hAnsi="Arial Unicode MS" w:eastAsia="Arial Unicode MS" w:cs="Arial Unicode MS"/>
      <w:kern w:val="0"/>
      <w:sz w:val="20"/>
      <w:szCs w:val="20"/>
    </w:rPr>
  </w:style>
  <w:style w:type="paragraph" w:customStyle="1" w:styleId="982">
    <w:name w:val="04"/>
    <w:basedOn w:val="1"/>
    <w:autoRedefine/>
    <w:qFormat/>
    <w:uiPriority w:val="0"/>
    <w:pPr>
      <w:spacing w:line="312" w:lineRule="auto"/>
    </w:pPr>
    <w:rPr>
      <w:rFonts w:eastAsia="华文仿宋" w:cs="Times New Roman"/>
      <w:szCs w:val="30"/>
    </w:rPr>
  </w:style>
  <w:style w:type="paragraph" w:customStyle="1" w:styleId="983">
    <w:name w:val="4"/>
    <w:basedOn w:val="1"/>
    <w:next w:val="27"/>
    <w:autoRedefine/>
    <w:qFormat/>
    <w:uiPriority w:val="0"/>
    <w:pPr>
      <w:spacing w:line="240" w:lineRule="auto"/>
      <w:ind w:left="540"/>
    </w:pPr>
    <w:rPr>
      <w:rFonts w:cs="Times New Roman"/>
      <w:sz w:val="36"/>
      <w:szCs w:val="20"/>
    </w:rPr>
  </w:style>
  <w:style w:type="paragraph" w:customStyle="1" w:styleId="984">
    <w:name w:val="Char1"/>
    <w:basedOn w:val="1"/>
    <w:autoRedefine/>
    <w:qFormat/>
    <w:uiPriority w:val="0"/>
    <w:pPr>
      <w:spacing w:line="240" w:lineRule="auto"/>
    </w:pPr>
    <w:rPr>
      <w:rFonts w:cs="Times New Roman"/>
      <w:sz w:val="21"/>
    </w:rPr>
  </w:style>
  <w:style w:type="paragraph" w:customStyle="1" w:styleId="985">
    <w:name w:val="7"/>
    <w:basedOn w:val="1"/>
    <w:next w:val="27"/>
    <w:autoRedefine/>
    <w:qFormat/>
    <w:uiPriority w:val="0"/>
    <w:pPr>
      <w:spacing w:line="400" w:lineRule="exact"/>
      <w:ind w:firstLine="516" w:firstLineChars="215"/>
    </w:pPr>
    <w:rPr>
      <w:rFonts w:cs="Times New Roman"/>
    </w:rPr>
  </w:style>
  <w:style w:type="paragraph" w:customStyle="1" w:styleId="986">
    <w:name w:val="xl27"/>
    <w:basedOn w:val="1"/>
    <w:autoRedefine/>
    <w:qFormat/>
    <w:uiPriority w:val="0"/>
    <w:pPr>
      <w:widowControl/>
      <w:pBdr>
        <w:top w:val="single" w:color="auto" w:sz="8" w:space="0"/>
        <w:left w:val="single" w:color="auto" w:sz="8" w:space="0"/>
        <w:right w:val="single" w:color="auto" w:sz="8" w:space="0"/>
      </w:pBdr>
      <w:spacing w:before="100" w:beforeAutospacing="1" w:after="100" w:afterAutospacing="1" w:line="240" w:lineRule="auto"/>
      <w:textAlignment w:val="center"/>
    </w:pPr>
    <w:rPr>
      <w:rFonts w:ascii="Arial Unicode MS" w:hAnsi="Arial Unicode MS" w:eastAsia="Arial Unicode MS" w:cs="Times New Roman"/>
      <w:kern w:val="0"/>
      <w:sz w:val="22"/>
      <w:szCs w:val="22"/>
    </w:rPr>
  </w:style>
  <w:style w:type="paragraph" w:customStyle="1" w:styleId="987">
    <w:name w:val="xl87"/>
    <w:basedOn w:val="1"/>
    <w:autoRedefine/>
    <w:qFormat/>
    <w:uiPriority w:val="0"/>
    <w:pPr>
      <w:widowControl/>
      <w:pBdr>
        <w:top w:val="single" w:color="auto" w:sz="8" w:space="0"/>
        <w:bottom w:val="single" w:color="auto" w:sz="4" w:space="0"/>
        <w:right w:val="single" w:color="auto" w:sz="4" w:space="0"/>
      </w:pBdr>
      <w:spacing w:before="100" w:beforeAutospacing="1" w:after="100" w:afterAutospacing="1" w:line="240" w:lineRule="auto"/>
      <w:jc w:val="left"/>
    </w:pPr>
    <w:rPr>
      <w:rFonts w:eastAsia="Arial Unicode MS" w:cs="Times New Roman"/>
      <w:kern w:val="0"/>
      <w:sz w:val="16"/>
      <w:szCs w:val="16"/>
    </w:rPr>
  </w:style>
  <w:style w:type="paragraph" w:customStyle="1" w:styleId="988">
    <w:name w:val="xl38"/>
    <w:basedOn w:val="1"/>
    <w:autoRedefine/>
    <w:qFormat/>
    <w:uiPriority w:val="0"/>
    <w:pPr>
      <w:widowControl/>
      <w:pBdr>
        <w:bottom w:val="single" w:color="auto" w:sz="4" w:space="0"/>
        <w:right w:val="single" w:color="auto" w:sz="4" w:space="0"/>
      </w:pBdr>
      <w:spacing w:before="100" w:beforeAutospacing="1" w:after="100" w:afterAutospacing="1" w:line="240" w:lineRule="auto"/>
      <w:textAlignment w:val="center"/>
    </w:pPr>
    <w:rPr>
      <w:rFonts w:eastAsia="Arial Unicode MS" w:cs="Times New Roman"/>
      <w:kern w:val="0"/>
      <w:sz w:val="21"/>
      <w:szCs w:val="21"/>
    </w:rPr>
  </w:style>
  <w:style w:type="paragraph" w:customStyle="1" w:styleId="989">
    <w:name w:val="xl30"/>
    <w:basedOn w:val="1"/>
    <w:autoRedefine/>
    <w:qFormat/>
    <w:uiPriority w:val="0"/>
    <w:pPr>
      <w:widowControl/>
      <w:pBdr>
        <w:left w:val="single" w:color="auto" w:sz="8" w:space="0"/>
        <w:right w:val="single" w:color="auto" w:sz="8" w:space="0"/>
      </w:pBdr>
      <w:spacing w:before="100" w:beforeAutospacing="1" w:after="100" w:afterAutospacing="1" w:line="240" w:lineRule="auto"/>
      <w:textAlignment w:val="center"/>
    </w:pPr>
    <w:rPr>
      <w:rFonts w:ascii="Arial Unicode MS" w:hAnsi="Arial Unicode MS" w:eastAsia="Arial Unicode MS" w:cs="Times New Roman"/>
      <w:kern w:val="0"/>
      <w:sz w:val="20"/>
      <w:szCs w:val="20"/>
    </w:rPr>
  </w:style>
  <w:style w:type="paragraph" w:customStyle="1" w:styleId="990">
    <w:name w:val="工艺正文"/>
    <w:basedOn w:val="1"/>
    <w:autoRedefine/>
    <w:qFormat/>
    <w:uiPriority w:val="0"/>
    <w:pPr>
      <w:adjustRightInd w:val="0"/>
      <w:snapToGrid w:val="0"/>
      <w:ind w:firstLine="580"/>
    </w:pPr>
    <w:rPr>
      <w:rFonts w:cs="Times New Roman"/>
      <w:sz w:val="28"/>
      <w:szCs w:val="20"/>
    </w:rPr>
  </w:style>
  <w:style w:type="paragraph" w:customStyle="1" w:styleId="991">
    <w:name w:val="xl62"/>
    <w:basedOn w:val="1"/>
    <w:autoRedefine/>
    <w:qFormat/>
    <w:uiPriority w:val="0"/>
    <w:pPr>
      <w:widowControl/>
      <w:pBdr>
        <w:top w:val="single" w:color="auto" w:sz="4" w:space="0"/>
        <w:left w:val="single" w:color="auto" w:sz="4" w:space="0"/>
        <w:right w:val="single" w:color="auto" w:sz="8" w:space="0"/>
      </w:pBdr>
      <w:spacing w:before="100" w:beforeAutospacing="1" w:after="100" w:afterAutospacing="1" w:line="240" w:lineRule="auto"/>
      <w:jc w:val="left"/>
      <w:textAlignment w:val="center"/>
    </w:pPr>
    <w:rPr>
      <w:rFonts w:ascii="Arial Unicode MS" w:hAnsi="Arial Unicode MS" w:eastAsia="Arial Unicode MS" w:cs="Times New Roman"/>
      <w:kern w:val="0"/>
    </w:rPr>
  </w:style>
  <w:style w:type="paragraph" w:customStyle="1" w:styleId="992">
    <w:name w:val="正文文本缩进 32"/>
    <w:basedOn w:val="1"/>
    <w:autoRedefine/>
    <w:qFormat/>
    <w:uiPriority w:val="0"/>
    <w:pPr>
      <w:adjustRightInd w:val="0"/>
      <w:spacing w:line="360" w:lineRule="atLeast"/>
      <w:ind w:firstLine="480"/>
      <w:textAlignment w:val="baseline"/>
    </w:pPr>
    <w:rPr>
      <w:rFonts w:cs="Times New Roman"/>
      <w:kern w:val="0"/>
      <w:szCs w:val="20"/>
    </w:rPr>
  </w:style>
  <w:style w:type="table" w:customStyle="1" w:styleId="993">
    <w:name w:val="标准表格"/>
    <w:basedOn w:val="70"/>
    <w:autoRedefine/>
    <w:qFormat/>
    <w:uiPriority w:val="0"/>
    <w:pPr>
      <w:jc w:val="center"/>
    </w:pPr>
    <w:rPr>
      <w:sz w:val="21"/>
    </w:rPr>
    <w:tblPr>
      <w:jc w:val="center"/>
      <w:tblBorders>
        <w:top w:val="single" w:color="auto" w:sz="12" w:space="0"/>
        <w:bottom w:val="single" w:color="auto" w:sz="12" w:space="0"/>
        <w:insideH w:val="single" w:color="auto" w:sz="6" w:space="0"/>
        <w:insideV w:val="single" w:color="auto" w:sz="6" w:space="0"/>
      </w:tblBorders>
      <w:tblCellMar>
        <w:top w:w="0" w:type="dxa"/>
        <w:left w:w="108" w:type="dxa"/>
        <w:bottom w:w="0" w:type="dxa"/>
        <w:right w:w="108" w:type="dxa"/>
      </w:tblCellMar>
    </w:tblPr>
    <w:trPr>
      <w:jc w:val="center"/>
    </w:trPr>
  </w:style>
  <w:style w:type="character" w:customStyle="1" w:styleId="994">
    <w:name w:val="列表 2 Char"/>
    <w:link w:val="30"/>
    <w:autoRedefine/>
    <w:qFormat/>
    <w:uiPriority w:val="0"/>
    <w:rPr>
      <w:rFonts w:ascii="楷体_GB2312" w:hAnsi="宋体" w:eastAsia="楷体_GB2312"/>
      <w:color w:val="000000"/>
      <w:szCs w:val="28"/>
      <w:lang w:val="zh-CN" w:eastAsia="zh-CN"/>
    </w:rPr>
  </w:style>
  <w:style w:type="character" w:customStyle="1" w:styleId="995">
    <w:name w:val="【表中文字】 Char Char"/>
    <w:autoRedefine/>
    <w:qFormat/>
    <w:uiPriority w:val="0"/>
    <w:rPr>
      <w:rFonts w:eastAsia="宋体"/>
    </w:rPr>
  </w:style>
  <w:style w:type="character" w:customStyle="1" w:styleId="996">
    <w:name w:val="【正文】 Char Char"/>
    <w:autoRedefine/>
    <w:qFormat/>
    <w:uiPriority w:val="0"/>
    <w:rPr>
      <w:rFonts w:eastAsia="宋体" w:cs="宋体"/>
      <w:sz w:val="24"/>
    </w:rPr>
  </w:style>
  <w:style w:type="paragraph" w:customStyle="1" w:styleId="997">
    <w:name w:val="正文 New New New New New New New New New New New New New New New New New New New New New New New New New New New New New New New New New New New New New New New New New New New New New New New"/>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998">
    <w:name w:val="内容"/>
    <w:basedOn w:val="1"/>
    <w:link w:val="999"/>
    <w:autoRedefine/>
    <w:qFormat/>
    <w:uiPriority w:val="0"/>
    <w:pPr>
      <w:spacing w:beforeLines="50" w:afterLines="50" w:line="240" w:lineRule="auto"/>
      <w:ind w:firstLine="200" w:firstLineChars="200"/>
    </w:pPr>
    <w:rPr>
      <w:rFonts w:cs="Times New Roman"/>
      <w:color w:val="000000"/>
      <w:kern w:val="0"/>
    </w:rPr>
  </w:style>
  <w:style w:type="character" w:customStyle="1" w:styleId="999">
    <w:name w:val="内容 Char"/>
    <w:link w:val="998"/>
    <w:autoRedefine/>
    <w:qFormat/>
    <w:uiPriority w:val="0"/>
    <w:rPr>
      <w:color w:val="000000"/>
      <w:sz w:val="24"/>
      <w:szCs w:val="24"/>
      <w:lang w:val="zh-CN" w:eastAsia="zh-CN"/>
    </w:rPr>
  </w:style>
  <w:style w:type="character" w:customStyle="1" w:styleId="1000">
    <w:name w:val="表头 Char1"/>
    <w:autoRedefine/>
    <w:qFormat/>
    <w:uiPriority w:val="0"/>
    <w:rPr>
      <w:rFonts w:ascii="Times New Roman" w:hAnsi="宋体" w:eastAsia="仿宋_GB2312" w:cs="Times New Roman"/>
      <w:b/>
      <w:kern w:val="0"/>
      <w:sz w:val="28"/>
      <w:szCs w:val="28"/>
    </w:rPr>
  </w:style>
  <w:style w:type="paragraph" w:customStyle="1" w:styleId="1001">
    <w:name w:val="表格样式"/>
    <w:basedOn w:val="37"/>
    <w:autoRedefine/>
    <w:qFormat/>
    <w:uiPriority w:val="0"/>
    <w:pPr>
      <w:adjustRightInd/>
      <w:snapToGrid/>
      <w:spacing w:line="720" w:lineRule="auto"/>
      <w:jc w:val="both"/>
    </w:pPr>
    <w:rPr>
      <w:rFonts w:hAnsi="Courier New"/>
      <w:sz w:val="20"/>
      <w:szCs w:val="20"/>
    </w:rPr>
  </w:style>
  <w:style w:type="character" w:customStyle="1" w:styleId="1002">
    <w:name w:val="标题 2 Char1"/>
    <w:autoRedefine/>
    <w:qFormat/>
    <w:uiPriority w:val="0"/>
    <w:rPr>
      <w:rFonts w:ascii="宋体" w:hAnsi="宋体"/>
      <w:b/>
      <w:bCs/>
      <w:kern w:val="2"/>
      <w:sz w:val="30"/>
      <w:szCs w:val="30"/>
    </w:rPr>
  </w:style>
  <w:style w:type="paragraph" w:customStyle="1" w:styleId="1003">
    <w:name w:val="Char3"/>
    <w:basedOn w:val="1"/>
    <w:autoRedefine/>
    <w:qFormat/>
    <w:uiPriority w:val="0"/>
    <w:pPr>
      <w:spacing w:line="240" w:lineRule="auto"/>
    </w:pPr>
    <w:rPr>
      <w:rFonts w:cs="Times New Roman"/>
      <w:sz w:val="21"/>
    </w:rPr>
  </w:style>
  <w:style w:type="character" w:customStyle="1" w:styleId="1004">
    <w:name w:val="默认段落字体1"/>
    <w:autoRedefine/>
    <w:semiHidden/>
    <w:qFormat/>
    <w:uiPriority w:val="0"/>
    <w:rPr>
      <w:rFonts w:ascii="Times New Roman"/>
      <w:sz w:val="21"/>
    </w:rPr>
  </w:style>
  <w:style w:type="paragraph" w:customStyle="1" w:styleId="1005">
    <w:name w:val="Char Char Char Char Char Char Char Char Char Char1 Char Char Char Char Char Char Char Char Char Char Char Char Char"/>
    <w:basedOn w:val="1"/>
    <w:autoRedefine/>
    <w:qFormat/>
    <w:uiPriority w:val="0"/>
    <w:pPr>
      <w:spacing w:line="240" w:lineRule="auto"/>
    </w:pPr>
    <w:rPr>
      <w:rFonts w:cs="Times New Roman"/>
      <w:sz w:val="21"/>
    </w:rPr>
  </w:style>
  <w:style w:type="paragraph" w:customStyle="1" w:styleId="1006">
    <w:name w:val="样式 列表 2 + 华文仿宋 居中"/>
    <w:basedOn w:val="30"/>
    <w:autoRedefine/>
    <w:qFormat/>
    <w:uiPriority w:val="0"/>
    <w:pPr>
      <w:spacing w:line="500" w:lineRule="exact"/>
    </w:pPr>
    <w:rPr>
      <w:rFonts w:ascii="Times New Roman" w:hAnsi="Times New Roman"/>
      <w:sz w:val="24"/>
      <w:szCs w:val="24"/>
    </w:rPr>
  </w:style>
  <w:style w:type="paragraph" w:customStyle="1" w:styleId="1007">
    <w:name w:val="lily 正文"/>
    <w:basedOn w:val="1"/>
    <w:autoRedefine/>
    <w:qFormat/>
    <w:uiPriority w:val="0"/>
    <w:pPr>
      <w:spacing w:line="440" w:lineRule="atLeast"/>
      <w:ind w:firstLine="480" w:firstLineChars="200"/>
    </w:pPr>
    <w:rPr>
      <w:rFonts w:cs="Times New Roman"/>
    </w:rPr>
  </w:style>
  <w:style w:type="character" w:customStyle="1" w:styleId="1008">
    <w:name w:val="表内文字 Char"/>
    <w:autoRedefine/>
    <w:qFormat/>
    <w:uiPriority w:val="0"/>
    <w:rPr>
      <w:rFonts w:ascii="宋体" w:hAnsi="Courier New" w:cs="Courier New"/>
      <w:kern w:val="2"/>
      <w:sz w:val="21"/>
      <w:szCs w:val="21"/>
    </w:rPr>
  </w:style>
  <w:style w:type="character" w:customStyle="1" w:styleId="1009">
    <w:name w:val="正文111 Char"/>
    <w:link w:val="1010"/>
    <w:autoRedefine/>
    <w:qFormat/>
    <w:uiPriority w:val="0"/>
    <w:rPr>
      <w:rFonts w:hAnsi="宋体"/>
      <w:sz w:val="24"/>
      <w:szCs w:val="24"/>
    </w:rPr>
  </w:style>
  <w:style w:type="paragraph" w:customStyle="1" w:styleId="1010">
    <w:name w:val="正文111"/>
    <w:basedOn w:val="1"/>
    <w:link w:val="1009"/>
    <w:autoRedefine/>
    <w:qFormat/>
    <w:uiPriority w:val="0"/>
    <w:pPr>
      <w:spacing w:line="500" w:lineRule="exact"/>
      <w:ind w:firstLine="480" w:firstLineChars="200"/>
    </w:pPr>
    <w:rPr>
      <w:rFonts w:cs="Times New Roman"/>
      <w:kern w:val="0"/>
    </w:rPr>
  </w:style>
  <w:style w:type="paragraph" w:customStyle="1" w:styleId="1011">
    <w:name w:val="lily 表格标题"/>
    <w:basedOn w:val="1"/>
    <w:autoRedefine/>
    <w:qFormat/>
    <w:uiPriority w:val="0"/>
    <w:pPr>
      <w:spacing w:line="440" w:lineRule="atLeast"/>
    </w:pPr>
    <w:rPr>
      <w:rFonts w:eastAsia="黑体" w:cs="Times New Roman"/>
      <w:b/>
      <w:bCs/>
    </w:rPr>
  </w:style>
  <w:style w:type="paragraph" w:customStyle="1" w:styleId="1012">
    <w:name w:val="TOC 标题11"/>
    <w:basedOn w:val="3"/>
    <w:next w:val="1"/>
    <w:autoRedefine/>
    <w:qFormat/>
    <w:uiPriority w:val="39"/>
    <w:pPr>
      <w:pageBreakBefore/>
      <w:widowControl/>
      <w:tabs>
        <w:tab w:val="left" w:pos="2977"/>
      </w:tabs>
      <w:spacing w:beforeLines="50" w:afterLines="50" w:line="276" w:lineRule="auto"/>
      <w:ind w:left="2637" w:hanging="432"/>
      <w:jc w:val="left"/>
      <w:outlineLvl w:val="9"/>
    </w:pPr>
    <w:rPr>
      <w:rFonts w:ascii="Cambria" w:hAnsi="Cambria" w:cs="Times New Roman"/>
      <w:bCs/>
      <w:color w:val="365F91"/>
      <w:kern w:val="0"/>
      <w:sz w:val="28"/>
      <w:szCs w:val="28"/>
    </w:rPr>
  </w:style>
  <w:style w:type="paragraph" w:customStyle="1" w:styleId="1013">
    <w:name w:val="表序号"/>
    <w:basedOn w:val="3"/>
    <w:next w:val="1"/>
    <w:autoRedefine/>
    <w:qFormat/>
    <w:uiPriority w:val="0"/>
    <w:pPr>
      <w:keepNext w:val="0"/>
      <w:keepLines w:val="0"/>
      <w:pageBreakBefore/>
      <w:numPr>
        <w:ilvl w:val="5"/>
        <w:numId w:val="4"/>
      </w:numPr>
      <w:tabs>
        <w:tab w:val="left" w:pos="360"/>
        <w:tab w:val="left" w:pos="2977"/>
        <w:tab w:val="clear" w:pos="2520"/>
      </w:tabs>
      <w:spacing w:beforeLines="50" w:afterLines="50" w:line="500" w:lineRule="exact"/>
      <w:ind w:left="2637" w:hanging="432"/>
      <w:jc w:val="left"/>
    </w:pPr>
    <w:rPr>
      <w:rFonts w:cs="Times New Roman"/>
      <w:b w:val="0"/>
      <w:kern w:val="2"/>
      <w:sz w:val="32"/>
      <w:szCs w:val="32"/>
    </w:rPr>
  </w:style>
  <w:style w:type="paragraph" w:customStyle="1" w:styleId="1014">
    <w:name w:val="样式 标题 1标题1章标题 + 宋体"/>
    <w:basedOn w:val="3"/>
    <w:autoRedefine/>
    <w:qFormat/>
    <w:uiPriority w:val="0"/>
    <w:pPr>
      <w:keepNext w:val="0"/>
      <w:keepLines w:val="0"/>
      <w:pageBreakBefore/>
      <w:tabs>
        <w:tab w:val="left" w:pos="2977"/>
      </w:tabs>
      <w:spacing w:beforeLines="50" w:afterLines="50" w:line="500" w:lineRule="exact"/>
      <w:ind w:left="2637" w:hanging="432"/>
    </w:pPr>
    <w:rPr>
      <w:rFonts w:cs="Times New Roman"/>
      <w:bCs/>
      <w:kern w:val="2"/>
      <w:sz w:val="32"/>
      <w:szCs w:val="32"/>
    </w:rPr>
  </w:style>
  <w:style w:type="paragraph" w:customStyle="1" w:styleId="1015">
    <w:name w:val="表格内容"/>
    <w:basedOn w:val="1"/>
    <w:link w:val="1016"/>
    <w:autoRedefine/>
    <w:qFormat/>
    <w:uiPriority w:val="0"/>
    <w:pPr>
      <w:spacing w:line="340" w:lineRule="exact"/>
    </w:pPr>
    <w:rPr>
      <w:rFonts w:cs="Times New Roman"/>
      <w:sz w:val="21"/>
      <w:szCs w:val="21"/>
    </w:rPr>
  </w:style>
  <w:style w:type="character" w:customStyle="1" w:styleId="1016">
    <w:name w:val="表格内容 Char"/>
    <w:link w:val="1015"/>
    <w:autoRedefine/>
    <w:qFormat/>
    <w:uiPriority w:val="0"/>
    <w:rPr>
      <w:rFonts w:ascii="宋体" w:hAnsi="宋体"/>
      <w:kern w:val="2"/>
      <w:sz w:val="21"/>
      <w:szCs w:val="21"/>
      <w:lang w:val="zh-CN" w:eastAsia="zh-CN"/>
    </w:rPr>
  </w:style>
  <w:style w:type="paragraph" w:customStyle="1" w:styleId="1017">
    <w:name w:val="样式 表格标题 + 首行缩进:  0.61 字符"/>
    <w:basedOn w:val="1"/>
    <w:autoRedefine/>
    <w:qFormat/>
    <w:uiPriority w:val="0"/>
    <w:pPr>
      <w:wordWrap w:val="0"/>
      <w:adjustRightInd w:val="0"/>
      <w:snapToGrid w:val="0"/>
      <w:spacing w:line="400" w:lineRule="exact"/>
      <w:ind w:left="-143" w:leftChars="-68" w:firstLine="128" w:firstLineChars="61"/>
    </w:pPr>
    <w:rPr>
      <w:sz w:val="21"/>
      <w:szCs w:val="20"/>
    </w:rPr>
  </w:style>
  <w:style w:type="paragraph" w:customStyle="1" w:styleId="1018">
    <w:name w:val="图框文"/>
    <w:basedOn w:val="1"/>
    <w:autoRedefine/>
    <w:qFormat/>
    <w:uiPriority w:val="0"/>
    <w:pPr>
      <w:kinsoku w:val="0"/>
      <w:wordWrap w:val="0"/>
      <w:overflowPunct w:val="0"/>
      <w:autoSpaceDE w:val="0"/>
      <w:autoSpaceDN w:val="0"/>
      <w:spacing w:line="0" w:lineRule="atLeast"/>
    </w:pPr>
    <w:rPr>
      <w:rFonts w:ascii="仿宋_GB2312" w:eastAsia="仿宋_GB2312" w:cs="Times New Roman"/>
      <w:szCs w:val="20"/>
    </w:rPr>
  </w:style>
  <w:style w:type="paragraph" w:customStyle="1" w:styleId="1019">
    <w:name w:val="流程图"/>
    <w:basedOn w:val="1"/>
    <w:autoRedefine/>
    <w:qFormat/>
    <w:uiPriority w:val="0"/>
    <w:pPr>
      <w:tabs>
        <w:tab w:val="left" w:pos="0"/>
      </w:tabs>
      <w:autoSpaceDE w:val="0"/>
      <w:autoSpaceDN w:val="0"/>
      <w:adjustRightInd w:val="0"/>
      <w:spacing w:line="240" w:lineRule="atLeast"/>
      <w:textAlignment w:val="bottom"/>
    </w:pPr>
    <w:rPr>
      <w:rFonts w:cs="Times New Roman"/>
      <w:sz w:val="21"/>
      <w:szCs w:val="20"/>
    </w:rPr>
  </w:style>
  <w:style w:type="paragraph" w:customStyle="1" w:styleId="1020">
    <w:name w:val="Char1 Char Char Char"/>
    <w:basedOn w:val="1"/>
    <w:autoRedefine/>
    <w:qFormat/>
    <w:uiPriority w:val="0"/>
    <w:pPr>
      <w:spacing w:line="240" w:lineRule="auto"/>
      <w:ind w:firstLine="480" w:firstLineChars="200"/>
    </w:pPr>
    <w:rPr>
      <w:rFonts w:cs="Times New Roman"/>
      <w:sz w:val="28"/>
    </w:rPr>
  </w:style>
  <w:style w:type="paragraph" w:customStyle="1" w:styleId="1021">
    <w:name w:val="5文章(治)"/>
    <w:basedOn w:val="1"/>
    <w:link w:val="1022"/>
    <w:autoRedefine/>
    <w:qFormat/>
    <w:uiPriority w:val="0"/>
    <w:pPr>
      <w:ind w:firstLine="560" w:firstLineChars="200"/>
    </w:pPr>
    <w:rPr>
      <w:rFonts w:cs="Times New Roman"/>
      <w:kern w:val="0"/>
      <w:szCs w:val="28"/>
    </w:rPr>
  </w:style>
  <w:style w:type="character" w:customStyle="1" w:styleId="1022">
    <w:name w:val="5文章(治) Char"/>
    <w:link w:val="1021"/>
    <w:autoRedefine/>
    <w:qFormat/>
    <w:uiPriority w:val="0"/>
    <w:rPr>
      <w:sz w:val="24"/>
      <w:szCs w:val="28"/>
      <w:lang w:val="zh-CN" w:eastAsia="zh-CN"/>
    </w:rPr>
  </w:style>
  <w:style w:type="paragraph" w:customStyle="1" w:styleId="1023">
    <w:name w:val="7表格(治)"/>
    <w:link w:val="1024"/>
    <w:autoRedefine/>
    <w:qFormat/>
    <w:uiPriority w:val="0"/>
    <w:pPr>
      <w:jc w:val="center"/>
    </w:pPr>
    <w:rPr>
      <w:rFonts w:ascii="Times New Roman" w:hAnsi="Times New Roman" w:eastAsia="宋体" w:cs="Times New Roman"/>
      <w:lang w:val="en-US" w:eastAsia="zh-CN" w:bidi="ar-SA"/>
    </w:rPr>
  </w:style>
  <w:style w:type="character" w:customStyle="1" w:styleId="1024">
    <w:name w:val="7表格(治) Char"/>
    <w:link w:val="1023"/>
    <w:autoRedefine/>
    <w:qFormat/>
    <w:uiPriority w:val="0"/>
  </w:style>
  <w:style w:type="paragraph" w:customStyle="1" w:styleId="1025">
    <w:name w:val="表"/>
    <w:basedOn w:val="1"/>
    <w:autoRedefine/>
    <w:qFormat/>
    <w:uiPriority w:val="0"/>
    <w:pPr>
      <w:snapToGrid w:val="0"/>
      <w:spacing w:line="400" w:lineRule="exact"/>
    </w:pPr>
    <w:rPr>
      <w:rFonts w:cs="Times New Roman"/>
      <w:spacing w:val="2"/>
      <w:sz w:val="21"/>
      <w:szCs w:val="20"/>
    </w:rPr>
  </w:style>
  <w:style w:type="paragraph" w:customStyle="1" w:styleId="1026">
    <w:name w:val="Char Char Char Char Char Char Char3"/>
    <w:basedOn w:val="1"/>
    <w:autoRedefine/>
    <w:qFormat/>
    <w:uiPriority w:val="0"/>
    <w:pPr>
      <w:spacing w:line="240" w:lineRule="auto"/>
    </w:pPr>
    <w:rPr>
      <w:rFonts w:cs="Times New Roman"/>
      <w:sz w:val="21"/>
      <w:szCs w:val="21"/>
    </w:rPr>
  </w:style>
  <w:style w:type="paragraph" w:customStyle="1" w:styleId="1027">
    <w:name w:val="Char Char19"/>
    <w:basedOn w:val="1"/>
    <w:autoRedefine/>
    <w:qFormat/>
    <w:uiPriority w:val="0"/>
    <w:pPr>
      <w:spacing w:line="240" w:lineRule="auto"/>
    </w:pPr>
    <w:rPr>
      <w:rFonts w:cs="Times New Roman"/>
      <w:sz w:val="21"/>
      <w:szCs w:val="21"/>
    </w:rPr>
  </w:style>
  <w:style w:type="paragraph" w:customStyle="1" w:styleId="1028">
    <w:name w:val="图表文字"/>
    <w:autoRedefine/>
    <w:qFormat/>
    <w:uiPriority w:val="0"/>
    <w:pPr>
      <w:widowControl w:val="0"/>
      <w:spacing w:line="260" w:lineRule="exact"/>
      <w:ind w:right="-149" w:rightChars="-71"/>
      <w:jc w:val="center"/>
    </w:pPr>
    <w:rPr>
      <w:rFonts w:ascii="Times New Roman" w:hAnsi="Times New Roman" w:eastAsia="宋体" w:cs="Times New Roman"/>
      <w:kern w:val="2"/>
      <w:sz w:val="21"/>
      <w:szCs w:val="21"/>
      <w:lang w:val="en-US" w:eastAsia="zh-CN" w:bidi="ar-SA"/>
    </w:rPr>
  </w:style>
  <w:style w:type="character" w:customStyle="1" w:styleId="1029">
    <w:name w:val="表格标题 Char Char"/>
    <w:link w:val="1030"/>
    <w:autoRedefine/>
    <w:qFormat/>
    <w:uiPriority w:val="0"/>
    <w:rPr>
      <w:szCs w:val="21"/>
    </w:rPr>
  </w:style>
  <w:style w:type="paragraph" w:customStyle="1" w:styleId="1030">
    <w:name w:val="表格标题"/>
    <w:basedOn w:val="1"/>
    <w:link w:val="1029"/>
    <w:autoRedefine/>
    <w:qFormat/>
    <w:uiPriority w:val="0"/>
    <w:pPr>
      <w:spacing w:line="480" w:lineRule="auto"/>
    </w:pPr>
    <w:rPr>
      <w:rFonts w:cs="Times New Roman"/>
      <w:kern w:val="0"/>
      <w:sz w:val="20"/>
      <w:szCs w:val="21"/>
    </w:rPr>
  </w:style>
  <w:style w:type="paragraph" w:customStyle="1" w:styleId="1031">
    <w:name w:val="Char Char Char Char Char Char Char Char Char Char Char Char1 Char Char Char Char Char Char Char Char Char Char Char Char1 Char"/>
    <w:basedOn w:val="1"/>
    <w:next w:val="1"/>
    <w:autoRedefine/>
    <w:semiHidden/>
    <w:qFormat/>
    <w:uiPriority w:val="0"/>
    <w:pPr>
      <w:spacing w:line="336" w:lineRule="auto"/>
      <w:ind w:firstLine="200" w:firstLineChars="200"/>
    </w:pPr>
    <w:rPr>
      <w:rFonts w:eastAsia="汉鼎简书宋"/>
    </w:rPr>
  </w:style>
  <w:style w:type="character" w:customStyle="1" w:styleId="1032">
    <w:name w:val="正文（首行缩进两字） Char6"/>
    <w:autoRedefine/>
    <w:qFormat/>
    <w:uiPriority w:val="0"/>
    <w:rPr>
      <w:rFonts w:eastAsia="宋体"/>
      <w:kern w:val="2"/>
      <w:sz w:val="21"/>
      <w:szCs w:val="24"/>
      <w:lang w:val="en-US" w:eastAsia="zh-CN" w:bidi="ar-SA"/>
    </w:rPr>
  </w:style>
  <w:style w:type="character" w:customStyle="1" w:styleId="1033">
    <w:name w:val="style151"/>
    <w:autoRedefine/>
    <w:qFormat/>
    <w:uiPriority w:val="0"/>
    <w:rPr>
      <w:spacing w:val="240"/>
      <w:sz w:val="18"/>
      <w:szCs w:val="18"/>
    </w:rPr>
  </w:style>
  <w:style w:type="paragraph" w:customStyle="1" w:styleId="1034">
    <w:name w:val="表内文"/>
    <w:basedOn w:val="1"/>
    <w:autoRedefine/>
    <w:qFormat/>
    <w:uiPriority w:val="0"/>
    <w:pPr>
      <w:spacing w:line="320" w:lineRule="atLeast"/>
    </w:pPr>
    <w:rPr>
      <w:rFonts w:cs="Times New Roman"/>
      <w:sz w:val="21"/>
      <w:szCs w:val="20"/>
    </w:rPr>
  </w:style>
  <w:style w:type="paragraph" w:customStyle="1" w:styleId="1035">
    <w:name w:val="列表1"/>
    <w:basedOn w:val="1"/>
    <w:autoRedefine/>
    <w:qFormat/>
    <w:uiPriority w:val="0"/>
    <w:pPr>
      <w:spacing w:line="360" w:lineRule="exact"/>
    </w:pPr>
    <w:rPr>
      <w:rFonts w:ascii="仿宋_GB2312" w:eastAsia="仿宋_GB2312" w:cs="Times New Roman"/>
      <w:sz w:val="28"/>
      <w:szCs w:val="20"/>
    </w:rPr>
  </w:style>
  <w:style w:type="paragraph" w:customStyle="1" w:styleId="1036">
    <w:name w:val="正文4"/>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1037">
    <w:name w:val="样式127"/>
    <w:basedOn w:val="1"/>
    <w:link w:val="1038"/>
    <w:autoRedefine/>
    <w:qFormat/>
    <w:uiPriority w:val="0"/>
    <w:pPr>
      <w:spacing w:line="520" w:lineRule="exact"/>
      <w:ind w:firstLine="480" w:firstLineChars="200"/>
    </w:pPr>
    <w:rPr>
      <w:rFonts w:cs="Times New Roman"/>
      <w:snapToGrid w:val="0"/>
      <w:color w:val="000000"/>
      <w:kern w:val="0"/>
      <w:szCs w:val="28"/>
    </w:rPr>
  </w:style>
  <w:style w:type="character" w:customStyle="1" w:styleId="1038">
    <w:name w:val="样式127 Char"/>
    <w:link w:val="1037"/>
    <w:autoRedefine/>
    <w:qFormat/>
    <w:uiPriority w:val="0"/>
    <w:rPr>
      <w:snapToGrid w:val="0"/>
      <w:color w:val="000000"/>
      <w:sz w:val="24"/>
      <w:szCs w:val="28"/>
      <w:lang w:val="zh-CN" w:eastAsia="zh-CN"/>
    </w:rPr>
  </w:style>
  <w:style w:type="paragraph" w:customStyle="1" w:styleId="1039">
    <w:name w:val="Char Char Char Char Char Char Char1"/>
    <w:basedOn w:val="1"/>
    <w:autoRedefine/>
    <w:qFormat/>
    <w:uiPriority w:val="0"/>
    <w:pPr>
      <w:ind w:firstLine="200" w:firstLineChars="200"/>
    </w:pPr>
  </w:style>
  <w:style w:type="paragraph" w:customStyle="1" w:styleId="1040">
    <w:name w:val="正文文字-1"/>
    <w:autoRedefine/>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paragraph" w:customStyle="1" w:styleId="1041">
    <w:name w:val="样式 样式 正文文字-1 + 首行缩进:  2.1 字符1 + 首行缩进:  2.1 字符"/>
    <w:basedOn w:val="1"/>
    <w:autoRedefine/>
    <w:qFormat/>
    <w:uiPriority w:val="0"/>
    <w:pPr>
      <w:spacing w:before="120" w:after="120" w:line="400" w:lineRule="exact"/>
      <w:ind w:firstLine="210" w:firstLineChars="210"/>
    </w:pPr>
    <w:rPr>
      <w:szCs w:val="20"/>
    </w:rPr>
  </w:style>
  <w:style w:type="paragraph" w:customStyle="1" w:styleId="1042">
    <w:name w:val="样式 正文文字-1 + 首行缩进:  2.1 字符"/>
    <w:basedOn w:val="1"/>
    <w:autoRedefine/>
    <w:qFormat/>
    <w:uiPriority w:val="0"/>
    <w:pPr>
      <w:spacing w:before="60" w:after="60" w:line="440" w:lineRule="exact"/>
      <w:ind w:firstLine="210" w:firstLineChars="210"/>
    </w:pPr>
    <w:rPr>
      <w:szCs w:val="20"/>
    </w:rPr>
  </w:style>
  <w:style w:type="paragraph" w:customStyle="1" w:styleId="1043">
    <w:name w:val="样式 正文文字-1 + 首行缩进:  2.1 字符1"/>
    <w:basedOn w:val="1"/>
    <w:autoRedefine/>
    <w:qFormat/>
    <w:uiPriority w:val="0"/>
    <w:pPr>
      <w:spacing w:before="120" w:after="120" w:line="440" w:lineRule="exact"/>
      <w:ind w:firstLine="210" w:firstLineChars="210"/>
    </w:pPr>
    <w:rPr>
      <w:szCs w:val="20"/>
    </w:rPr>
  </w:style>
  <w:style w:type="paragraph" w:customStyle="1" w:styleId="1044">
    <w:name w:val="纯文本21"/>
    <w:basedOn w:val="1"/>
    <w:autoRedefine/>
    <w:qFormat/>
    <w:uiPriority w:val="0"/>
    <w:pPr>
      <w:spacing w:line="240" w:lineRule="auto"/>
    </w:pPr>
    <w:rPr>
      <w:rFonts w:hAnsi="Courier New" w:cs="Times New Roman"/>
      <w:kern w:val="0"/>
      <w:sz w:val="20"/>
      <w:szCs w:val="21"/>
    </w:rPr>
  </w:style>
  <w:style w:type="table" w:customStyle="1" w:styleId="1045">
    <w:name w:val="网格型（pxg）1"/>
    <w:basedOn w:val="70"/>
    <w:autoRedefine/>
    <w:qFormat/>
    <w:uiPriority w:val="0"/>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046">
    <w:name w:val="网格型（pxg）2"/>
    <w:basedOn w:val="70"/>
    <w:autoRedefine/>
    <w:qFormat/>
    <w:uiPriority w:val="0"/>
    <w:rPr>
      <w:rFonts w:ascii="Calibri" w:hAnsi="Calibri"/>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customStyle="1" w:styleId="1047">
    <w:name w:val="国电正文 Char"/>
    <w:link w:val="1048"/>
    <w:autoRedefine/>
    <w:semiHidden/>
    <w:qFormat/>
    <w:uiPriority w:val="0"/>
    <w:rPr>
      <w:color w:val="000000"/>
      <w:sz w:val="24"/>
    </w:rPr>
  </w:style>
  <w:style w:type="paragraph" w:customStyle="1" w:styleId="1048">
    <w:name w:val="国电正文"/>
    <w:basedOn w:val="1"/>
    <w:link w:val="1047"/>
    <w:autoRedefine/>
    <w:semiHidden/>
    <w:qFormat/>
    <w:uiPriority w:val="0"/>
    <w:pPr>
      <w:ind w:firstLine="480" w:firstLineChars="200"/>
    </w:pPr>
    <w:rPr>
      <w:rFonts w:cs="Times New Roman"/>
      <w:color w:val="000000"/>
      <w:kern w:val="0"/>
      <w:szCs w:val="20"/>
    </w:rPr>
  </w:style>
  <w:style w:type="paragraph" w:customStyle="1" w:styleId="1049">
    <w:name w:val="正文文字-1 Char"/>
    <w:link w:val="1050"/>
    <w:autoRedefine/>
    <w:qFormat/>
    <w:uiPriority w:val="0"/>
    <w:pPr>
      <w:widowControl w:val="0"/>
      <w:spacing w:before="120" w:after="120" w:line="480" w:lineRule="exact"/>
      <w:ind w:firstLine="588" w:firstLineChars="210"/>
      <w:jc w:val="both"/>
    </w:pPr>
    <w:rPr>
      <w:rFonts w:ascii="Times New Roman" w:hAnsi="Times New Roman" w:eastAsia="宋体" w:cs="Times New Roman"/>
      <w:sz w:val="24"/>
      <w:szCs w:val="24"/>
      <w:lang w:val="en-US" w:eastAsia="zh-CN" w:bidi="ar-SA"/>
    </w:rPr>
  </w:style>
  <w:style w:type="character" w:customStyle="1" w:styleId="1050">
    <w:name w:val="正文文字-1 Char Char"/>
    <w:link w:val="1049"/>
    <w:autoRedefine/>
    <w:qFormat/>
    <w:uiPriority w:val="0"/>
    <w:rPr>
      <w:sz w:val="24"/>
      <w:szCs w:val="24"/>
    </w:rPr>
  </w:style>
  <w:style w:type="paragraph" w:customStyle="1" w:styleId="1051">
    <w:name w:val="Char1 Char Char Char1"/>
    <w:basedOn w:val="1"/>
    <w:autoRedefine/>
    <w:qFormat/>
    <w:uiPriority w:val="0"/>
    <w:pPr>
      <w:spacing w:line="240" w:lineRule="auto"/>
      <w:ind w:firstLine="480" w:firstLineChars="200"/>
    </w:pPr>
    <w:rPr>
      <w:rFonts w:cs="Times New Roman"/>
      <w:sz w:val="21"/>
    </w:rPr>
  </w:style>
  <w:style w:type="character" w:customStyle="1" w:styleId="1052">
    <w:name w:val="正 Char1"/>
    <w:link w:val="1053"/>
    <w:autoRedefine/>
    <w:qFormat/>
    <w:uiPriority w:val="0"/>
    <w:rPr>
      <w:rFonts w:cs="宋体"/>
      <w:sz w:val="24"/>
    </w:rPr>
  </w:style>
  <w:style w:type="paragraph" w:customStyle="1" w:styleId="1053">
    <w:name w:val="正"/>
    <w:basedOn w:val="1"/>
    <w:link w:val="1052"/>
    <w:autoRedefine/>
    <w:qFormat/>
    <w:uiPriority w:val="0"/>
    <w:pPr>
      <w:spacing w:beforeLines="25" w:afterLines="25" w:line="440" w:lineRule="exact"/>
      <w:ind w:firstLine="200" w:firstLineChars="200"/>
    </w:pPr>
    <w:rPr>
      <w:kern w:val="0"/>
      <w:szCs w:val="20"/>
    </w:rPr>
  </w:style>
  <w:style w:type="paragraph" w:customStyle="1" w:styleId="1054">
    <w:name w:val="Char1 Char Char Char Char Char"/>
    <w:basedOn w:val="1"/>
    <w:autoRedefine/>
    <w:qFormat/>
    <w:uiPriority w:val="0"/>
    <w:pPr>
      <w:ind w:firstLine="200" w:firstLineChars="200"/>
    </w:pPr>
    <w:rPr>
      <w:rFonts w:ascii="Tahoma" w:hAnsi="Tahoma" w:cs="Times New Roman"/>
      <w:szCs w:val="20"/>
    </w:rPr>
  </w:style>
  <w:style w:type="paragraph" w:customStyle="1" w:styleId="1055">
    <w:name w:val="Char Char Char Char Char Char Char2"/>
    <w:basedOn w:val="1"/>
    <w:autoRedefine/>
    <w:qFormat/>
    <w:uiPriority w:val="0"/>
    <w:pPr>
      <w:ind w:firstLine="200" w:firstLineChars="200"/>
    </w:pPr>
  </w:style>
  <w:style w:type="paragraph" w:customStyle="1" w:styleId="1056">
    <w:name w:val="样式 四号 行距: 1.5 倍行距2"/>
    <w:basedOn w:val="1"/>
    <w:autoRedefine/>
    <w:qFormat/>
    <w:uiPriority w:val="0"/>
    <w:pPr>
      <w:ind w:firstLine="560" w:firstLineChars="200"/>
    </w:pPr>
    <w:rPr>
      <w:szCs w:val="20"/>
    </w:rPr>
  </w:style>
  <w:style w:type="paragraph" w:customStyle="1" w:styleId="1057">
    <w:name w:val="样式 四号 行距: 1.5 倍行距3"/>
    <w:basedOn w:val="1"/>
    <w:autoRedefine/>
    <w:qFormat/>
    <w:uiPriority w:val="0"/>
    <w:pPr>
      <w:ind w:firstLine="1260" w:firstLineChars="450"/>
    </w:pPr>
    <w:rPr>
      <w:szCs w:val="20"/>
    </w:rPr>
  </w:style>
  <w:style w:type="paragraph" w:customStyle="1" w:styleId="1058">
    <w:name w:val="正文5"/>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character" w:customStyle="1" w:styleId="1059">
    <w:name w:val="正文首行缩进 Char1"/>
    <w:autoRedefine/>
    <w:qFormat/>
    <w:uiPriority w:val="0"/>
    <w:rPr>
      <w:rFonts w:eastAsia="宋体"/>
      <w:kern w:val="2"/>
      <w:sz w:val="21"/>
      <w:szCs w:val="24"/>
      <w:lang w:val="en-US" w:eastAsia="zh-CN" w:bidi="ar-SA"/>
    </w:rPr>
  </w:style>
  <w:style w:type="paragraph" w:customStyle="1" w:styleId="1060">
    <w:name w:val="Char2"/>
    <w:basedOn w:val="1"/>
    <w:autoRedefine/>
    <w:qFormat/>
    <w:uiPriority w:val="0"/>
    <w:pPr>
      <w:spacing w:line="240" w:lineRule="auto"/>
    </w:pPr>
    <w:rPr>
      <w:rFonts w:cs="Times New Roman"/>
      <w:sz w:val="21"/>
    </w:rPr>
  </w:style>
  <w:style w:type="paragraph" w:customStyle="1" w:styleId="1061">
    <w:name w:val="xfw"/>
    <w:basedOn w:val="1"/>
    <w:link w:val="1062"/>
    <w:autoRedefine/>
    <w:qFormat/>
    <w:uiPriority w:val="0"/>
    <w:pPr>
      <w:spacing w:afterLines="30"/>
      <w:ind w:firstLine="200" w:firstLineChars="200"/>
    </w:pPr>
    <w:rPr>
      <w:rFonts w:cs="Times New Roman"/>
      <w:kern w:val="0"/>
      <w:szCs w:val="28"/>
    </w:rPr>
  </w:style>
  <w:style w:type="character" w:customStyle="1" w:styleId="1062">
    <w:name w:val="xfw Char"/>
    <w:link w:val="1061"/>
    <w:autoRedefine/>
    <w:qFormat/>
    <w:uiPriority w:val="0"/>
    <w:rPr>
      <w:sz w:val="24"/>
      <w:szCs w:val="28"/>
      <w:lang w:val="zh-CN" w:eastAsia="zh-CN"/>
    </w:rPr>
  </w:style>
  <w:style w:type="character" w:customStyle="1" w:styleId="1063">
    <w:name w:val="正文01 Char Char"/>
    <w:autoRedefine/>
    <w:qFormat/>
    <w:uiPriority w:val="0"/>
    <w:rPr>
      <w:rFonts w:eastAsia="宋体" w:cs="宋体"/>
      <w:snapToGrid w:val="0"/>
      <w:kern w:val="56"/>
      <w:sz w:val="24"/>
      <w:lang w:val="zh-CN"/>
    </w:rPr>
  </w:style>
  <w:style w:type="paragraph" w:customStyle="1" w:styleId="1064">
    <w:name w:val="reader-word-layer reader-word-s8-5"/>
    <w:basedOn w:val="1"/>
    <w:autoRedefine/>
    <w:qFormat/>
    <w:uiPriority w:val="0"/>
    <w:pPr>
      <w:widowControl/>
      <w:spacing w:before="100" w:beforeAutospacing="1" w:after="100" w:afterAutospacing="1" w:line="240" w:lineRule="auto"/>
      <w:jc w:val="left"/>
    </w:pPr>
    <w:rPr>
      <w:kern w:val="0"/>
    </w:rPr>
  </w:style>
  <w:style w:type="paragraph" w:customStyle="1" w:styleId="1065">
    <w:name w:val="reader-word-layer reader-word-s8-2"/>
    <w:basedOn w:val="1"/>
    <w:autoRedefine/>
    <w:qFormat/>
    <w:uiPriority w:val="0"/>
    <w:pPr>
      <w:widowControl/>
      <w:spacing w:before="100" w:beforeAutospacing="1" w:after="100" w:afterAutospacing="1" w:line="240" w:lineRule="auto"/>
      <w:jc w:val="left"/>
    </w:pPr>
    <w:rPr>
      <w:kern w:val="0"/>
    </w:rPr>
  </w:style>
  <w:style w:type="paragraph" w:customStyle="1" w:styleId="1066">
    <w:name w:val="reader-word-layer reader-word-s8-9"/>
    <w:basedOn w:val="1"/>
    <w:autoRedefine/>
    <w:qFormat/>
    <w:uiPriority w:val="0"/>
    <w:pPr>
      <w:widowControl/>
      <w:spacing w:before="100" w:beforeAutospacing="1" w:after="100" w:afterAutospacing="1" w:line="240" w:lineRule="auto"/>
      <w:jc w:val="left"/>
    </w:pPr>
    <w:rPr>
      <w:kern w:val="0"/>
    </w:rPr>
  </w:style>
  <w:style w:type="paragraph" w:customStyle="1" w:styleId="1067">
    <w:name w:val="reader-word-layer reader-word-s8-8"/>
    <w:basedOn w:val="1"/>
    <w:autoRedefine/>
    <w:qFormat/>
    <w:uiPriority w:val="0"/>
    <w:pPr>
      <w:widowControl/>
      <w:spacing w:before="100" w:beforeAutospacing="1" w:after="100" w:afterAutospacing="1" w:line="240" w:lineRule="auto"/>
      <w:jc w:val="left"/>
    </w:pPr>
    <w:rPr>
      <w:kern w:val="0"/>
    </w:rPr>
  </w:style>
  <w:style w:type="paragraph" w:customStyle="1" w:styleId="1068">
    <w:name w:val="reader-word-layer reader-word-s8-12"/>
    <w:basedOn w:val="1"/>
    <w:autoRedefine/>
    <w:qFormat/>
    <w:uiPriority w:val="0"/>
    <w:pPr>
      <w:widowControl/>
      <w:spacing w:before="100" w:beforeAutospacing="1" w:after="100" w:afterAutospacing="1" w:line="240" w:lineRule="auto"/>
      <w:jc w:val="left"/>
    </w:pPr>
    <w:rPr>
      <w:kern w:val="0"/>
    </w:rPr>
  </w:style>
  <w:style w:type="paragraph" w:customStyle="1" w:styleId="1069">
    <w:name w:val="reader-word-layer reader-word-s8-0"/>
    <w:basedOn w:val="1"/>
    <w:autoRedefine/>
    <w:qFormat/>
    <w:uiPriority w:val="0"/>
    <w:pPr>
      <w:widowControl/>
      <w:spacing w:before="100" w:beforeAutospacing="1" w:after="100" w:afterAutospacing="1" w:line="240" w:lineRule="auto"/>
      <w:jc w:val="left"/>
    </w:pPr>
    <w:rPr>
      <w:kern w:val="0"/>
    </w:rPr>
  </w:style>
  <w:style w:type="paragraph" w:customStyle="1" w:styleId="1070">
    <w:name w:val="reader-word-layer reader-word-s8-7"/>
    <w:basedOn w:val="1"/>
    <w:autoRedefine/>
    <w:qFormat/>
    <w:uiPriority w:val="0"/>
    <w:pPr>
      <w:widowControl/>
      <w:spacing w:before="100" w:beforeAutospacing="1" w:after="100" w:afterAutospacing="1" w:line="240" w:lineRule="auto"/>
      <w:jc w:val="left"/>
    </w:pPr>
    <w:rPr>
      <w:kern w:val="0"/>
    </w:rPr>
  </w:style>
  <w:style w:type="paragraph" w:customStyle="1" w:styleId="1071">
    <w:name w:val="reader-word-layer reader-word-s8-6"/>
    <w:basedOn w:val="1"/>
    <w:autoRedefine/>
    <w:qFormat/>
    <w:uiPriority w:val="0"/>
    <w:pPr>
      <w:widowControl/>
      <w:spacing w:before="100" w:beforeAutospacing="1" w:after="100" w:afterAutospacing="1" w:line="240" w:lineRule="auto"/>
      <w:jc w:val="left"/>
    </w:pPr>
    <w:rPr>
      <w:kern w:val="0"/>
    </w:rPr>
  </w:style>
  <w:style w:type="paragraph" w:customStyle="1" w:styleId="1072">
    <w:name w:val="Char Char1 Char Char Char Char Char Char Char"/>
    <w:basedOn w:val="1"/>
    <w:autoRedefine/>
    <w:qFormat/>
    <w:uiPriority w:val="0"/>
    <w:pPr>
      <w:spacing w:line="240" w:lineRule="auto"/>
    </w:pPr>
    <w:rPr>
      <w:color w:val="000000"/>
    </w:rPr>
  </w:style>
  <w:style w:type="paragraph" w:customStyle="1" w:styleId="1073">
    <w:name w:val="样式 首行缩进:  0.89 厘米"/>
    <w:basedOn w:val="1"/>
    <w:autoRedefine/>
    <w:qFormat/>
    <w:uiPriority w:val="0"/>
    <w:pPr>
      <w:spacing w:beforeLines="50" w:afterLines="50" w:line="440" w:lineRule="exact"/>
      <w:ind w:firstLine="505"/>
    </w:pPr>
    <w:rPr>
      <w:szCs w:val="20"/>
    </w:rPr>
  </w:style>
  <w:style w:type="paragraph" w:customStyle="1" w:styleId="1074">
    <w:name w:val="表格文字2"/>
    <w:basedOn w:val="1"/>
    <w:autoRedefine/>
    <w:qFormat/>
    <w:uiPriority w:val="0"/>
    <w:pPr>
      <w:spacing w:line="240" w:lineRule="auto"/>
    </w:pPr>
    <w:rPr>
      <w:rFonts w:cs="Times New Roman"/>
      <w:sz w:val="21"/>
      <w:szCs w:val="21"/>
    </w:rPr>
  </w:style>
  <w:style w:type="character" w:customStyle="1" w:styleId="1075">
    <w:name w:val="样式 样式 四号 蓝色 + 自动设置"/>
    <w:autoRedefine/>
    <w:qFormat/>
    <w:uiPriority w:val="0"/>
    <w:rPr>
      <w:color w:val="auto"/>
      <w:sz w:val="24"/>
    </w:rPr>
  </w:style>
  <w:style w:type="paragraph" w:customStyle="1" w:styleId="1076">
    <w:name w:val="样式 标题 3 + 黑色1"/>
    <w:basedOn w:val="5"/>
    <w:link w:val="1077"/>
    <w:autoRedefine/>
    <w:qFormat/>
    <w:uiPriority w:val="0"/>
    <w:pPr>
      <w:spacing w:beforeLines="50" w:afterLines="50" w:line="360" w:lineRule="auto"/>
    </w:pPr>
    <w:rPr>
      <w:rFonts w:cs="Times New Roman"/>
      <w:bCs/>
      <w:color w:val="000000"/>
      <w:kern w:val="0"/>
      <w:sz w:val="28"/>
      <w:szCs w:val="30"/>
    </w:rPr>
  </w:style>
  <w:style w:type="character" w:customStyle="1" w:styleId="1077">
    <w:name w:val="样式 标题 3 + 黑色1 Char"/>
    <w:link w:val="1076"/>
    <w:autoRedefine/>
    <w:qFormat/>
    <w:uiPriority w:val="0"/>
    <w:rPr>
      <w:b/>
      <w:bCs/>
      <w:color w:val="000000"/>
      <w:sz w:val="28"/>
      <w:szCs w:val="30"/>
      <w:lang w:val="zh-CN" w:eastAsia="zh-CN"/>
    </w:rPr>
  </w:style>
  <w:style w:type="paragraph" w:customStyle="1" w:styleId="1078">
    <w:name w:val="正文缩进3"/>
    <w:basedOn w:val="1"/>
    <w:autoRedefine/>
    <w:qFormat/>
    <w:uiPriority w:val="0"/>
    <w:pPr>
      <w:spacing w:line="240" w:lineRule="auto"/>
      <w:ind w:firstLine="420"/>
    </w:pPr>
    <w:rPr>
      <w:rFonts w:cs="Times New Roman"/>
    </w:rPr>
  </w:style>
  <w:style w:type="paragraph" w:customStyle="1" w:styleId="1079">
    <w:name w:val="日期1"/>
    <w:basedOn w:val="1"/>
    <w:next w:val="1"/>
    <w:autoRedefine/>
    <w:qFormat/>
    <w:uiPriority w:val="0"/>
    <w:pPr>
      <w:spacing w:line="240" w:lineRule="auto"/>
    </w:pPr>
    <w:rPr>
      <w:rFonts w:ascii="Plotter" w:hAnsi="Plotter" w:cs="Times New Roman"/>
      <w:sz w:val="21"/>
      <w:szCs w:val="20"/>
    </w:rPr>
  </w:style>
  <w:style w:type="character" w:customStyle="1" w:styleId="1080">
    <w:name w:val="正文111 Char Char"/>
    <w:autoRedefine/>
    <w:qFormat/>
    <w:uiPriority w:val="0"/>
    <w:rPr>
      <w:rFonts w:ascii="Times New Roman" w:hAnsi="Times New Roman" w:eastAsia="仿宋_GB2312"/>
      <w:spacing w:val="6"/>
      <w:sz w:val="24"/>
      <w:szCs w:val="24"/>
    </w:rPr>
  </w:style>
  <w:style w:type="paragraph" w:customStyle="1" w:styleId="1081">
    <w:name w:val="Char Char Char Char Char Char Char4"/>
    <w:basedOn w:val="1"/>
    <w:autoRedefine/>
    <w:qFormat/>
    <w:uiPriority w:val="0"/>
    <w:pPr>
      <w:ind w:firstLine="200" w:firstLineChars="200"/>
    </w:pPr>
  </w:style>
  <w:style w:type="paragraph" w:customStyle="1" w:styleId="1082">
    <w:name w:val="正文6"/>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1083">
    <w:name w:val="Char Char Char Char11"/>
    <w:basedOn w:val="1"/>
    <w:autoRedefine/>
    <w:qFormat/>
    <w:uiPriority w:val="0"/>
    <w:pPr>
      <w:spacing w:before="120" w:after="120"/>
      <w:ind w:firstLine="420"/>
    </w:pPr>
    <w:rPr>
      <w:rFonts w:cs="Times New Roman"/>
    </w:rPr>
  </w:style>
  <w:style w:type="paragraph" w:customStyle="1" w:styleId="1084">
    <w:name w:val="新正文"/>
    <w:basedOn w:val="1"/>
    <w:autoRedefine/>
    <w:qFormat/>
    <w:uiPriority w:val="0"/>
    <w:pPr>
      <w:ind w:firstLine="480"/>
    </w:pPr>
    <w:rPr>
      <w:szCs w:val="20"/>
    </w:rPr>
  </w:style>
  <w:style w:type="paragraph" w:customStyle="1" w:styleId="1085">
    <w:name w:val="Char Char Char Char2"/>
    <w:basedOn w:val="1"/>
    <w:autoRedefine/>
    <w:qFormat/>
    <w:uiPriority w:val="0"/>
    <w:pPr>
      <w:spacing w:line="240" w:lineRule="auto"/>
    </w:pPr>
    <w:rPr>
      <w:rFonts w:cs="Times New Roman"/>
      <w:sz w:val="21"/>
    </w:rPr>
  </w:style>
  <w:style w:type="paragraph" w:customStyle="1" w:styleId="1086">
    <w:name w:val="【标题3】"/>
    <w:basedOn w:val="5"/>
    <w:link w:val="1087"/>
    <w:autoRedefine/>
    <w:qFormat/>
    <w:uiPriority w:val="0"/>
    <w:pPr>
      <w:spacing w:before="240" w:line="380" w:lineRule="exact"/>
    </w:pPr>
    <w:rPr>
      <w:rFonts w:cs="Times New Roman"/>
      <w:bCs/>
      <w:kern w:val="0"/>
      <w:sz w:val="30"/>
      <w:szCs w:val="20"/>
    </w:rPr>
  </w:style>
  <w:style w:type="character" w:customStyle="1" w:styleId="1087">
    <w:name w:val="【标题3】 Char"/>
    <w:link w:val="1086"/>
    <w:autoRedefine/>
    <w:qFormat/>
    <w:uiPriority w:val="0"/>
    <w:rPr>
      <w:b/>
      <w:bCs/>
      <w:sz w:val="30"/>
      <w:lang w:val="zh-CN" w:eastAsia="zh-CN"/>
    </w:rPr>
  </w:style>
  <w:style w:type="paragraph" w:customStyle="1" w:styleId="1088">
    <w:name w:val="Char5"/>
    <w:basedOn w:val="1"/>
    <w:autoRedefine/>
    <w:qFormat/>
    <w:uiPriority w:val="0"/>
    <w:pPr>
      <w:widowControl/>
      <w:spacing w:after="160" w:line="240" w:lineRule="exact"/>
      <w:jc w:val="left"/>
    </w:pPr>
    <w:rPr>
      <w:rFonts w:ascii="Verdana" w:hAnsi="Verdana" w:cs="Times New Roman"/>
      <w:w w:val="90"/>
      <w:kern w:val="0"/>
      <w:sz w:val="20"/>
      <w:szCs w:val="20"/>
      <w:lang w:eastAsia="en-US"/>
    </w:rPr>
  </w:style>
  <w:style w:type="paragraph" w:customStyle="1" w:styleId="1089">
    <w:name w:val="样式 Arial 小四 行距: 1.5 倍行距"/>
    <w:basedOn w:val="1"/>
    <w:autoRedefine/>
    <w:qFormat/>
    <w:uiPriority w:val="0"/>
    <w:pPr>
      <w:ind w:firstLine="480" w:firstLineChars="200"/>
    </w:pPr>
    <w:rPr>
      <w:rFonts w:cs="Times New Roman"/>
      <w:szCs w:val="20"/>
    </w:rPr>
  </w:style>
  <w:style w:type="paragraph" w:customStyle="1" w:styleId="1090">
    <w:name w:val="样式 标题3"/>
    <w:basedOn w:val="5"/>
    <w:autoRedefine/>
    <w:qFormat/>
    <w:uiPriority w:val="0"/>
    <w:pPr>
      <w:spacing w:beforeLines="50" w:afterLines="50" w:line="360" w:lineRule="auto"/>
      <w:ind w:firstLine="200"/>
      <w:jc w:val="left"/>
    </w:pPr>
    <w:rPr>
      <w:bCs/>
      <w:sz w:val="28"/>
    </w:rPr>
  </w:style>
  <w:style w:type="paragraph" w:customStyle="1" w:styleId="1091">
    <w:name w:val="Char Char Char Char Char Char Char Char Char Char Char Char"/>
    <w:basedOn w:val="1"/>
    <w:autoRedefine/>
    <w:qFormat/>
    <w:uiPriority w:val="0"/>
    <w:pPr>
      <w:tabs>
        <w:tab w:val="left" w:pos="1723"/>
      </w:tabs>
      <w:spacing w:line="240" w:lineRule="auto"/>
      <w:ind w:left="1723" w:hanging="1080"/>
    </w:pPr>
    <w:rPr>
      <w:rFonts w:eastAsia="仿宋_GB2312" w:cs="Times New Roman"/>
      <w:szCs w:val="32"/>
    </w:rPr>
  </w:style>
  <w:style w:type="paragraph" w:customStyle="1" w:styleId="1092">
    <w:name w:val="Char Char Char"/>
    <w:basedOn w:val="1"/>
    <w:autoRedefine/>
    <w:qFormat/>
    <w:uiPriority w:val="0"/>
    <w:pPr>
      <w:spacing w:line="240" w:lineRule="auto"/>
    </w:pPr>
    <w:rPr>
      <w:rFonts w:cs="Times New Roman"/>
      <w:sz w:val="21"/>
    </w:rPr>
  </w:style>
  <w:style w:type="paragraph" w:customStyle="1" w:styleId="1093">
    <w:name w:val="封面标准号2"/>
    <w:basedOn w:val="1"/>
    <w:autoRedefine/>
    <w:qFormat/>
    <w:uiPriority w:val="0"/>
    <w:pPr>
      <w:framePr w:w="9138" w:h="1244" w:hRule="exact" w:wrap="around" w:vAnchor="page" w:hAnchor="margin" w:y="2908" w:anchorLock="1"/>
      <w:kinsoku w:val="0"/>
      <w:overflowPunct w:val="0"/>
      <w:autoSpaceDE w:val="0"/>
      <w:autoSpaceDN w:val="0"/>
      <w:adjustRightInd w:val="0"/>
      <w:spacing w:before="357" w:line="280" w:lineRule="exact"/>
      <w:jc w:val="right"/>
      <w:textAlignment w:val="center"/>
    </w:pPr>
    <w:rPr>
      <w:rFonts w:cs="Times New Roman"/>
      <w:kern w:val="0"/>
      <w:sz w:val="28"/>
      <w:szCs w:val="20"/>
    </w:rPr>
  </w:style>
  <w:style w:type="character" w:customStyle="1" w:styleId="1094">
    <w:name w:val="占位符文本1"/>
    <w:autoRedefine/>
    <w:semiHidden/>
    <w:qFormat/>
    <w:uiPriority w:val="99"/>
    <w:rPr>
      <w:color w:val="808080"/>
    </w:rPr>
  </w:style>
  <w:style w:type="character" w:customStyle="1" w:styleId="1095">
    <w:name w:val="表文 Char"/>
    <w:autoRedefine/>
    <w:qFormat/>
    <w:uiPriority w:val="0"/>
    <w:rPr>
      <w:rFonts w:ascii="宋体" w:hAnsi="宋体" w:eastAsia="宋体"/>
      <w:bCs/>
      <w:iCs/>
      <w:szCs w:val="28"/>
    </w:rPr>
  </w:style>
  <w:style w:type="paragraph" w:customStyle="1" w:styleId="1096">
    <w:name w:val="Char4"/>
    <w:basedOn w:val="1"/>
    <w:autoRedefine/>
    <w:qFormat/>
    <w:uiPriority w:val="0"/>
    <w:pPr>
      <w:ind w:firstLine="200" w:firstLineChars="200"/>
    </w:pPr>
    <w:rPr>
      <w:rFonts w:cs="Times New Roman"/>
    </w:rPr>
  </w:style>
  <w:style w:type="paragraph" w:customStyle="1" w:styleId="1097">
    <w:name w:val="样式 样式 首行缩进:  0.85 厘米 + 段前: 0.5 行"/>
    <w:basedOn w:val="1"/>
    <w:autoRedefine/>
    <w:qFormat/>
    <w:uiPriority w:val="0"/>
    <w:pPr>
      <w:spacing w:before="50"/>
      <w:ind w:firstLine="482"/>
    </w:pPr>
    <w:rPr>
      <w:rFonts w:cs="Times New Roman"/>
      <w:szCs w:val="20"/>
    </w:rPr>
  </w:style>
  <w:style w:type="paragraph" w:customStyle="1" w:styleId="1098">
    <w:name w:val="表内式样"/>
    <w:autoRedefine/>
    <w:qFormat/>
    <w:uiPriority w:val="0"/>
    <w:pPr>
      <w:widowControl w:val="0"/>
      <w:adjustRightInd w:val="0"/>
      <w:snapToGrid w:val="0"/>
      <w:spacing w:line="240" w:lineRule="atLeast"/>
      <w:jc w:val="center"/>
    </w:pPr>
    <w:rPr>
      <w:rFonts w:ascii="宋体" w:hAnsi="Times New Roman" w:eastAsia="宋体" w:cs="Times New Roman"/>
      <w:bCs/>
      <w:sz w:val="21"/>
      <w:szCs w:val="24"/>
      <w:lang w:val="en-US" w:eastAsia="zh-CN" w:bidi="ar-SA"/>
    </w:rPr>
  </w:style>
  <w:style w:type="paragraph" w:customStyle="1" w:styleId="1099">
    <w:name w:val="居中正文"/>
    <w:basedOn w:val="67"/>
    <w:autoRedefine/>
    <w:qFormat/>
    <w:uiPriority w:val="0"/>
    <w:pPr>
      <w:adjustRightInd w:val="0"/>
      <w:spacing w:before="120" w:after="0"/>
      <w:ind w:firstLine="0" w:firstLineChars="0"/>
      <w:textAlignment w:val="baseline"/>
    </w:pPr>
    <w:rPr>
      <w:rFonts w:ascii="宋体" w:eastAsia="宋体" w:cs="Times New Roman"/>
      <w:kern w:val="28"/>
      <w:szCs w:val="20"/>
      <w:lang w:val="zh-CN"/>
    </w:rPr>
  </w:style>
  <w:style w:type="paragraph" w:customStyle="1" w:styleId="1100">
    <w:name w:val="样式 正文（首行缩进两字） + 宋体 小四 加粗 行距: 固定值 24 磅"/>
    <w:basedOn w:val="17"/>
    <w:autoRedefine/>
    <w:qFormat/>
    <w:uiPriority w:val="0"/>
    <w:pPr>
      <w:tabs>
        <w:tab w:val="left" w:pos="5940"/>
      </w:tabs>
      <w:adjustRightInd w:val="0"/>
      <w:spacing w:line="480" w:lineRule="exact"/>
      <w:ind w:firstLine="0" w:firstLineChars="0"/>
      <w:textAlignment w:val="baseline"/>
    </w:pPr>
    <w:rPr>
      <w:rFonts w:ascii="黑体" w:eastAsia="黑体"/>
      <w:color w:val="auto"/>
      <w:szCs w:val="24"/>
    </w:rPr>
  </w:style>
  <w:style w:type="paragraph" w:customStyle="1" w:styleId="1101">
    <w:name w:val="2"/>
    <w:basedOn w:val="1"/>
    <w:autoRedefine/>
    <w:qFormat/>
    <w:uiPriority w:val="0"/>
    <w:pPr>
      <w:ind w:firstLine="200" w:firstLineChars="200"/>
    </w:pPr>
  </w:style>
  <w:style w:type="character" w:customStyle="1" w:styleId="1102">
    <w:name w:val="表头 Char Char"/>
    <w:autoRedefine/>
    <w:qFormat/>
    <w:uiPriority w:val="0"/>
    <w:rPr>
      <w:b/>
      <w:color w:val="000000"/>
      <w:sz w:val="24"/>
      <w:szCs w:val="24"/>
      <w:lang w:bidi="ar-SA"/>
    </w:rPr>
  </w:style>
  <w:style w:type="paragraph" w:customStyle="1" w:styleId="1103">
    <w:name w:val="表格表格"/>
    <w:basedOn w:val="1"/>
    <w:autoRedefine/>
    <w:qFormat/>
    <w:uiPriority w:val="0"/>
    <w:pPr>
      <w:spacing w:line="240" w:lineRule="auto"/>
    </w:pPr>
    <w:rPr>
      <w:rFonts w:cs="Times New Roman"/>
      <w:sz w:val="21"/>
      <w:szCs w:val="21"/>
    </w:rPr>
  </w:style>
  <w:style w:type="paragraph" w:customStyle="1" w:styleId="1104">
    <w:name w:val="Char11"/>
    <w:basedOn w:val="1"/>
    <w:autoRedefine/>
    <w:qFormat/>
    <w:uiPriority w:val="0"/>
    <w:pPr>
      <w:spacing w:line="240" w:lineRule="auto"/>
    </w:pPr>
    <w:rPr>
      <w:b/>
      <w:kern w:val="0"/>
      <w:sz w:val="28"/>
      <w:szCs w:val="28"/>
    </w:rPr>
  </w:style>
  <w:style w:type="paragraph" w:customStyle="1" w:styleId="1105">
    <w:name w:val="Char Char Char Char Char Char1 Char1"/>
    <w:basedOn w:val="1"/>
    <w:autoRedefine/>
    <w:qFormat/>
    <w:uiPriority w:val="0"/>
    <w:pPr>
      <w:spacing w:line="240" w:lineRule="auto"/>
    </w:pPr>
    <w:rPr>
      <w:rFonts w:cs="Times New Roman"/>
      <w:sz w:val="21"/>
    </w:rPr>
  </w:style>
  <w:style w:type="paragraph" w:customStyle="1" w:styleId="1106">
    <w:name w:val="样式 样式 首行缩进:  2 字符 + 首行缩进:  2 字符"/>
    <w:basedOn w:val="1"/>
    <w:autoRedefine/>
    <w:qFormat/>
    <w:uiPriority w:val="0"/>
    <w:pPr>
      <w:spacing w:line="240" w:lineRule="auto"/>
      <w:ind w:firstLine="587" w:firstLineChars="200"/>
    </w:pPr>
    <w:rPr>
      <w:rFonts w:cs="Times New Roman"/>
      <w:sz w:val="27"/>
      <w:szCs w:val="27"/>
    </w:rPr>
  </w:style>
  <w:style w:type="paragraph" w:customStyle="1" w:styleId="1107">
    <w:name w:val="2级标题"/>
    <w:autoRedefine/>
    <w:qFormat/>
    <w:uiPriority w:val="0"/>
    <w:pPr>
      <w:keepNext/>
      <w:keepLines/>
      <w:spacing w:beforeLines="50" w:afterLines="50" w:line="500" w:lineRule="exact"/>
      <w:outlineLvl w:val="1"/>
    </w:pPr>
    <w:rPr>
      <w:rFonts w:hint="eastAsia" w:ascii="黑体" w:hAnsi="宋体" w:eastAsia="黑体" w:cs="Times New Roman"/>
      <w:color w:val="000000"/>
      <w:sz w:val="28"/>
      <w:szCs w:val="28"/>
      <w:lang w:val="en-US" w:eastAsia="zh-CN" w:bidi="ar-SA"/>
    </w:rPr>
  </w:style>
  <w:style w:type="paragraph" w:customStyle="1" w:styleId="1108">
    <w:name w:val="3级标题"/>
    <w:autoRedefine/>
    <w:qFormat/>
    <w:uiPriority w:val="0"/>
    <w:pPr>
      <w:keepNext/>
      <w:keepLines/>
      <w:spacing w:line="500" w:lineRule="exact"/>
      <w:outlineLvl w:val="2"/>
    </w:pPr>
    <w:rPr>
      <w:rFonts w:hint="eastAsia" w:ascii="黑体" w:hAnsi="宋体" w:eastAsia="黑体" w:cs="Times New Roman"/>
      <w:color w:val="000000"/>
      <w:sz w:val="24"/>
      <w:szCs w:val="24"/>
      <w:lang w:val="en-US" w:eastAsia="zh-CN" w:bidi="ar-SA"/>
    </w:rPr>
  </w:style>
  <w:style w:type="paragraph" w:customStyle="1" w:styleId="1109">
    <w:name w:val="表中文字1"/>
    <w:autoRedefine/>
    <w:qFormat/>
    <w:uiPriority w:val="0"/>
    <w:pPr>
      <w:widowControl w:val="0"/>
      <w:jc w:val="center"/>
    </w:pPr>
    <w:rPr>
      <w:rFonts w:ascii="宋体" w:hAnsi="宋体" w:eastAsia="宋体" w:cs="Times New Roman"/>
      <w:bCs/>
      <w:kern w:val="2"/>
      <w:sz w:val="21"/>
      <w:lang w:val="en-US" w:eastAsia="zh-CN" w:bidi="ar-SA"/>
    </w:rPr>
  </w:style>
  <w:style w:type="paragraph" w:customStyle="1" w:styleId="1110">
    <w:name w:val="表格文字左"/>
    <w:basedOn w:val="1"/>
    <w:autoRedefine/>
    <w:qFormat/>
    <w:uiPriority w:val="0"/>
    <w:pPr>
      <w:widowControl/>
      <w:spacing w:line="240" w:lineRule="atLeast"/>
    </w:pPr>
    <w:rPr>
      <w:color w:val="000000"/>
      <w:kern w:val="0"/>
    </w:rPr>
  </w:style>
  <w:style w:type="paragraph" w:customStyle="1" w:styleId="1111">
    <w:name w:val="表格内正文"/>
    <w:basedOn w:val="1"/>
    <w:autoRedefine/>
    <w:qFormat/>
    <w:uiPriority w:val="0"/>
    <w:pPr>
      <w:ind w:firstLine="560" w:firstLineChars="200"/>
    </w:pPr>
    <w:rPr>
      <w:rFonts w:cs="Times New Roman"/>
      <w:color w:val="000000"/>
      <w:kern w:val="0"/>
      <w:szCs w:val="20"/>
    </w:rPr>
  </w:style>
  <w:style w:type="paragraph" w:customStyle="1" w:styleId="1112">
    <w:name w:val="正文7"/>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1113">
    <w:name w:val="样式 样式 正文内容 + 首行缩进:  1.92 字符 + 首行缩进:  1.92 字符"/>
    <w:basedOn w:val="1"/>
    <w:autoRedefine/>
    <w:qFormat/>
    <w:uiPriority w:val="0"/>
    <w:pPr>
      <w:spacing w:before="100" w:beforeAutospacing="1" w:after="100" w:afterAutospacing="1"/>
      <w:ind w:firstLine="192" w:firstLineChars="192"/>
    </w:pPr>
    <w:rPr>
      <w:szCs w:val="20"/>
    </w:rPr>
  </w:style>
  <w:style w:type="paragraph" w:customStyle="1" w:styleId="1114">
    <w:name w:val="表格题目"/>
    <w:basedOn w:val="1"/>
    <w:link w:val="1115"/>
    <w:autoRedefine/>
    <w:qFormat/>
    <w:uiPriority w:val="0"/>
    <w:pPr>
      <w:keepNext/>
      <w:widowControl/>
      <w:autoSpaceDE w:val="0"/>
      <w:autoSpaceDN w:val="0"/>
      <w:adjustRightInd w:val="0"/>
      <w:snapToGrid w:val="0"/>
      <w:spacing w:line="240" w:lineRule="auto"/>
    </w:pPr>
    <w:rPr>
      <w:rFonts w:cs="Times New Roman"/>
      <w:b/>
      <w:color w:val="000000"/>
      <w:kern w:val="0"/>
    </w:rPr>
  </w:style>
  <w:style w:type="character" w:customStyle="1" w:styleId="1115">
    <w:name w:val="表格题目 Char"/>
    <w:link w:val="1114"/>
    <w:autoRedefine/>
    <w:qFormat/>
    <w:uiPriority w:val="0"/>
    <w:rPr>
      <w:b/>
      <w:color w:val="000000"/>
      <w:sz w:val="24"/>
      <w:szCs w:val="24"/>
      <w:lang w:val="zh-CN" w:eastAsia="zh-CN"/>
    </w:rPr>
  </w:style>
  <w:style w:type="character" w:customStyle="1" w:styleId="1116">
    <w:name w:val="表格文字居中 Char"/>
    <w:autoRedefine/>
    <w:qFormat/>
    <w:uiPriority w:val="0"/>
    <w:rPr>
      <w:rFonts w:ascii="Times New Roman" w:hAnsi="Times New Roman"/>
      <w:sz w:val="21"/>
      <w:szCs w:val="24"/>
    </w:rPr>
  </w:style>
  <w:style w:type="paragraph" w:customStyle="1" w:styleId="1117">
    <w:name w:val="Char1 Char Char Char2"/>
    <w:basedOn w:val="1"/>
    <w:autoRedefine/>
    <w:qFormat/>
    <w:uiPriority w:val="0"/>
    <w:pPr>
      <w:spacing w:line="240" w:lineRule="auto"/>
      <w:ind w:firstLine="480" w:firstLineChars="200"/>
    </w:pPr>
    <w:rPr>
      <w:rFonts w:cs="Times New Roman"/>
      <w:sz w:val="28"/>
    </w:rPr>
  </w:style>
  <w:style w:type="paragraph" w:customStyle="1" w:styleId="1118">
    <w:name w:val="Char Char Char2"/>
    <w:basedOn w:val="1"/>
    <w:autoRedefine/>
    <w:qFormat/>
    <w:uiPriority w:val="0"/>
    <w:pPr>
      <w:spacing w:line="240" w:lineRule="auto"/>
    </w:pPr>
    <w:rPr>
      <w:rFonts w:cs="Times New Roman"/>
    </w:rPr>
  </w:style>
  <w:style w:type="character" w:customStyle="1" w:styleId="1119">
    <w:name w:val="纯文本 Char1"/>
    <w:autoRedefine/>
    <w:qFormat/>
    <w:uiPriority w:val="0"/>
    <w:rPr>
      <w:rFonts w:ascii="Arial" w:hAnsi="Arial" w:eastAsia="宋体"/>
      <w:kern w:val="2"/>
      <w:sz w:val="28"/>
      <w:lang w:val="en-US" w:eastAsia="zh-CN" w:bidi="ar-SA"/>
    </w:rPr>
  </w:style>
  <w:style w:type="character" w:customStyle="1" w:styleId="1120">
    <w:name w:val="标题 4 Char Char"/>
    <w:autoRedefine/>
    <w:qFormat/>
    <w:uiPriority w:val="0"/>
    <w:rPr>
      <w:rFonts w:ascii="Arial" w:hAnsi="Arial" w:eastAsia="宋体"/>
      <w:sz w:val="24"/>
      <w:lang w:val="en-US" w:eastAsia="zh-CN" w:bidi="ar-SA"/>
    </w:rPr>
  </w:style>
  <w:style w:type="paragraph" w:customStyle="1" w:styleId="1121">
    <w:name w:val="MTDisplayEquation"/>
    <w:basedOn w:val="1"/>
    <w:next w:val="1"/>
    <w:autoRedefine/>
    <w:qFormat/>
    <w:uiPriority w:val="0"/>
    <w:pPr>
      <w:tabs>
        <w:tab w:val="center" w:pos="4160"/>
        <w:tab w:val="right" w:pos="8320"/>
      </w:tabs>
      <w:spacing w:line="460" w:lineRule="exact"/>
      <w:ind w:firstLine="420" w:firstLineChars="200"/>
    </w:pPr>
    <w:rPr>
      <w:rFonts w:ascii="方正宋三简体" w:cs="Times New Roman"/>
      <w:sz w:val="21"/>
    </w:rPr>
  </w:style>
  <w:style w:type="character" w:customStyle="1" w:styleId="1122">
    <w:name w:val="样式 表头11 + 自动设置 Char Char"/>
    <w:autoRedefine/>
    <w:qFormat/>
    <w:uiPriority w:val="0"/>
    <w:rPr>
      <w:b/>
      <w:bCs/>
      <w:color w:val="000000"/>
      <w:szCs w:val="21"/>
    </w:rPr>
  </w:style>
  <w:style w:type="character" w:customStyle="1" w:styleId="1123">
    <w:name w:val="span1"/>
    <w:autoRedefine/>
    <w:qFormat/>
    <w:uiPriority w:val="0"/>
  </w:style>
  <w:style w:type="character" w:customStyle="1" w:styleId="1124">
    <w:name w:val="标题 3 Char1"/>
    <w:autoRedefine/>
    <w:qFormat/>
    <w:uiPriority w:val="0"/>
    <w:rPr>
      <w:rFonts w:eastAsia="黑体"/>
      <w:bCs/>
      <w:kern w:val="2"/>
      <w:sz w:val="28"/>
      <w:szCs w:val="32"/>
    </w:rPr>
  </w:style>
  <w:style w:type="character" w:customStyle="1" w:styleId="1125">
    <w:name w:val="标准正文 Char Char"/>
    <w:link w:val="1126"/>
    <w:autoRedefine/>
    <w:qFormat/>
    <w:uiPriority w:val="0"/>
    <w:rPr>
      <w:rFonts w:cs="宋体"/>
      <w:snapToGrid w:val="0"/>
      <w:spacing w:val="10"/>
      <w:sz w:val="28"/>
      <w:szCs w:val="28"/>
    </w:rPr>
  </w:style>
  <w:style w:type="paragraph" w:customStyle="1" w:styleId="1126">
    <w:name w:val="标准正文"/>
    <w:basedOn w:val="1"/>
    <w:link w:val="1125"/>
    <w:autoRedefine/>
    <w:qFormat/>
    <w:uiPriority w:val="0"/>
    <w:pPr>
      <w:ind w:firstLine="600" w:firstLineChars="200"/>
    </w:pPr>
    <w:rPr>
      <w:snapToGrid w:val="0"/>
      <w:spacing w:val="10"/>
      <w:kern w:val="0"/>
      <w:sz w:val="28"/>
      <w:szCs w:val="28"/>
    </w:rPr>
  </w:style>
  <w:style w:type="character" w:customStyle="1" w:styleId="1127">
    <w:name w:val="标准表头 Char Char"/>
    <w:link w:val="1128"/>
    <w:autoRedefine/>
    <w:qFormat/>
    <w:uiPriority w:val="0"/>
    <w:rPr>
      <w:rFonts w:cs="宋体"/>
      <w:b/>
      <w:bCs/>
      <w:snapToGrid w:val="0"/>
      <w:spacing w:val="10"/>
      <w:sz w:val="24"/>
      <w:szCs w:val="24"/>
    </w:rPr>
  </w:style>
  <w:style w:type="paragraph" w:customStyle="1" w:styleId="1128">
    <w:name w:val="标准表头"/>
    <w:basedOn w:val="37"/>
    <w:link w:val="1127"/>
    <w:autoRedefine/>
    <w:qFormat/>
    <w:uiPriority w:val="0"/>
    <w:pPr>
      <w:adjustRightInd/>
      <w:snapToGrid/>
      <w:spacing w:line="360" w:lineRule="auto"/>
      <w:ind w:firstLine="600" w:firstLineChars="200"/>
    </w:pPr>
    <w:rPr>
      <w:rFonts w:ascii="Times New Roman" w:hAnsi="Times New Roman" w:cs="宋体"/>
      <w:b/>
      <w:bCs/>
      <w:snapToGrid w:val="0"/>
      <w:spacing w:val="10"/>
      <w:sz w:val="24"/>
      <w:szCs w:val="24"/>
      <w:lang w:val="en-US"/>
    </w:rPr>
  </w:style>
  <w:style w:type="character" w:customStyle="1" w:styleId="1129">
    <w:name w:val="+正文 Char Char"/>
    <w:link w:val="1130"/>
    <w:autoRedefine/>
    <w:qFormat/>
    <w:uiPriority w:val="0"/>
    <w:rPr>
      <w:sz w:val="24"/>
      <w:szCs w:val="28"/>
    </w:rPr>
  </w:style>
  <w:style w:type="paragraph" w:customStyle="1" w:styleId="1130">
    <w:name w:val="+正文"/>
    <w:basedOn w:val="1"/>
    <w:link w:val="1129"/>
    <w:autoRedefine/>
    <w:qFormat/>
    <w:uiPriority w:val="0"/>
    <w:pPr>
      <w:ind w:firstLine="200" w:firstLineChars="200"/>
    </w:pPr>
    <w:rPr>
      <w:rFonts w:cs="Times New Roman"/>
      <w:kern w:val="0"/>
      <w:szCs w:val="28"/>
    </w:rPr>
  </w:style>
  <w:style w:type="paragraph" w:customStyle="1" w:styleId="1131">
    <w:name w:val="设计标题二"/>
    <w:basedOn w:val="1132"/>
    <w:autoRedefine/>
    <w:qFormat/>
    <w:uiPriority w:val="0"/>
    <w:pPr>
      <w:tabs>
        <w:tab w:val="left" w:pos="420"/>
      </w:tabs>
      <w:spacing w:beforeLines="0" w:line="360" w:lineRule="auto"/>
      <w:jc w:val="left"/>
      <w:outlineLvl w:val="1"/>
    </w:pPr>
  </w:style>
  <w:style w:type="paragraph" w:customStyle="1" w:styleId="1132">
    <w:name w:val="设计标题一"/>
    <w:basedOn w:val="5"/>
    <w:autoRedefine/>
    <w:qFormat/>
    <w:uiPriority w:val="0"/>
    <w:pPr>
      <w:tabs>
        <w:tab w:val="left" w:pos="420"/>
      </w:tabs>
      <w:spacing w:beforeLines="100" w:line="480" w:lineRule="auto"/>
      <w:outlineLvl w:val="0"/>
    </w:pPr>
    <w:rPr>
      <w:rFonts w:eastAsia="黑体" w:cs="Times New Roman"/>
      <w:b w:val="0"/>
      <w:kern w:val="0"/>
      <w:sz w:val="28"/>
      <w:szCs w:val="20"/>
    </w:rPr>
  </w:style>
  <w:style w:type="paragraph" w:customStyle="1" w:styleId="1133">
    <w:name w:val="样式 段前: 2.4 磅 段后: 2.4 磅 行距: 1.5 倍行距2"/>
    <w:basedOn w:val="1"/>
    <w:autoRedefine/>
    <w:qFormat/>
    <w:uiPriority w:val="0"/>
    <w:pPr>
      <w:adjustRightInd w:val="0"/>
      <w:snapToGrid w:val="0"/>
      <w:ind w:firstLine="560" w:firstLineChars="200"/>
    </w:pPr>
    <w:rPr>
      <w:color w:val="000000"/>
      <w:sz w:val="28"/>
      <w:szCs w:val="28"/>
    </w:rPr>
  </w:style>
  <w:style w:type="paragraph" w:customStyle="1" w:styleId="1134">
    <w:name w:val="设计正文"/>
    <w:basedOn w:val="1"/>
    <w:autoRedefine/>
    <w:qFormat/>
    <w:uiPriority w:val="0"/>
    <w:pPr>
      <w:adjustRightInd w:val="0"/>
      <w:ind w:firstLine="200" w:firstLineChars="200"/>
    </w:pPr>
    <w:rPr>
      <w:rFonts w:cs="Times New Roman"/>
      <w:kern w:val="0"/>
      <w:szCs w:val="20"/>
    </w:rPr>
  </w:style>
  <w:style w:type="paragraph" w:customStyle="1" w:styleId="1135">
    <w:name w:val="xl13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kern w:val="0"/>
      <w:sz w:val="20"/>
      <w:szCs w:val="20"/>
    </w:rPr>
  </w:style>
  <w:style w:type="paragraph" w:customStyle="1" w:styleId="1136">
    <w:name w:val="xl179"/>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pPr>
    <w:rPr>
      <w:kern w:val="0"/>
      <w:sz w:val="20"/>
      <w:szCs w:val="20"/>
    </w:rPr>
  </w:style>
  <w:style w:type="paragraph" w:customStyle="1" w:styleId="1137">
    <w:name w:val="样式 正文文本缩进 + 段前: 1 行 段后: 1 行1"/>
    <w:basedOn w:val="27"/>
    <w:autoRedefine/>
    <w:qFormat/>
    <w:uiPriority w:val="0"/>
    <w:pPr>
      <w:adjustRightInd w:val="0"/>
      <w:snapToGrid w:val="0"/>
      <w:spacing w:beforeLines="10" w:afterLines="10"/>
      <w:ind w:left="0" w:leftChars="0" w:firstLine="560" w:firstLineChars="200"/>
    </w:pPr>
    <w:rPr>
      <w:rFonts w:cs="Times New Roman"/>
      <w:bCs/>
      <w:sz w:val="28"/>
      <w:szCs w:val="28"/>
    </w:rPr>
  </w:style>
  <w:style w:type="paragraph" w:customStyle="1" w:styleId="1138">
    <w:name w:val="样式 黑色 行距: 最小值 27 磅"/>
    <w:basedOn w:val="1"/>
    <w:autoRedefine/>
    <w:qFormat/>
    <w:uiPriority w:val="0"/>
    <w:pPr>
      <w:spacing w:line="240" w:lineRule="auto"/>
      <w:ind w:firstLine="560" w:firstLineChars="200"/>
      <w:jc w:val="left"/>
    </w:pPr>
    <w:rPr>
      <w:rFonts w:cs="Times New Roman"/>
      <w:color w:val="000000"/>
      <w:sz w:val="28"/>
      <w:szCs w:val="20"/>
    </w:rPr>
  </w:style>
  <w:style w:type="paragraph" w:customStyle="1" w:styleId="1139">
    <w:name w:val="Char Char Char Char Char Char Char Char Char Char Char Char Char"/>
    <w:basedOn w:val="1"/>
    <w:autoRedefine/>
    <w:qFormat/>
    <w:uiPriority w:val="0"/>
    <w:pPr>
      <w:spacing w:line="240" w:lineRule="auto"/>
      <w:ind w:firstLine="200" w:firstLineChars="200"/>
    </w:pPr>
    <w:rPr>
      <w:rFonts w:cs="Times New Roman"/>
      <w:sz w:val="28"/>
    </w:rPr>
  </w:style>
  <w:style w:type="paragraph" w:customStyle="1" w:styleId="1140">
    <w:name w:val="xl145"/>
    <w:basedOn w:val="1"/>
    <w:autoRedefine/>
    <w:qFormat/>
    <w:uiPriority w:val="0"/>
    <w:pPr>
      <w:widowControl/>
      <w:spacing w:before="100" w:beforeAutospacing="1" w:after="100" w:afterAutospacing="1" w:line="240" w:lineRule="auto"/>
      <w:ind w:firstLine="600" w:firstLineChars="200"/>
      <w:jc w:val="left"/>
    </w:pPr>
    <w:rPr>
      <w:b/>
      <w:bCs/>
      <w:kern w:val="0"/>
      <w:sz w:val="20"/>
      <w:szCs w:val="20"/>
    </w:rPr>
  </w:style>
  <w:style w:type="paragraph" w:customStyle="1" w:styleId="1141">
    <w:name w:val="xl12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pPr>
    <w:rPr>
      <w:kern w:val="0"/>
      <w:sz w:val="20"/>
      <w:szCs w:val="20"/>
    </w:rPr>
  </w:style>
  <w:style w:type="paragraph" w:customStyle="1" w:styleId="1142">
    <w:name w:val="xl117"/>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kern w:val="0"/>
      <w:sz w:val="20"/>
      <w:szCs w:val="20"/>
    </w:rPr>
  </w:style>
  <w:style w:type="paragraph" w:customStyle="1" w:styleId="1143">
    <w:name w:val="样式 标题 2 + 段前: 0.8 行"/>
    <w:basedOn w:val="4"/>
    <w:autoRedefine/>
    <w:qFormat/>
    <w:uiPriority w:val="0"/>
    <w:pPr>
      <w:tabs>
        <w:tab w:val="left" w:pos="0"/>
        <w:tab w:val="left" w:pos="420"/>
        <w:tab w:val="left" w:pos="576"/>
      </w:tabs>
      <w:adjustRightInd w:val="0"/>
      <w:spacing w:afterLines="20" w:line="360" w:lineRule="auto"/>
      <w:ind w:left="576" w:hanging="576"/>
      <w:jc w:val="left"/>
    </w:pPr>
    <w:rPr>
      <w:rFonts w:ascii="Times New Roman" w:hAnsi="Times New Roman" w:eastAsia="宋体" w:cs="Times New Roman"/>
      <w:b w:val="0"/>
      <w:bCs/>
      <w:kern w:val="0"/>
      <w:sz w:val="28"/>
      <w:szCs w:val="32"/>
    </w:rPr>
  </w:style>
  <w:style w:type="paragraph" w:customStyle="1" w:styleId="1144">
    <w:name w:val="xl11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pPr>
    <w:rPr>
      <w:kern w:val="0"/>
      <w:sz w:val="20"/>
      <w:szCs w:val="20"/>
    </w:rPr>
  </w:style>
  <w:style w:type="paragraph" w:customStyle="1" w:styleId="1145">
    <w:name w:val="xl16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146">
    <w:name w:val="xl176"/>
    <w:basedOn w:val="1"/>
    <w:autoRedefine/>
    <w:qFormat/>
    <w:uiPriority w:val="0"/>
    <w:pPr>
      <w:widowControl/>
      <w:pBdr>
        <w:left w:val="single" w:color="auto" w:sz="4" w:space="0"/>
        <w:bottom w:val="single" w:color="auto" w:sz="4" w:space="0"/>
      </w:pBdr>
      <w:spacing w:before="100" w:beforeAutospacing="1" w:after="100" w:afterAutospacing="1" w:line="240" w:lineRule="auto"/>
      <w:ind w:firstLine="600" w:firstLineChars="200"/>
    </w:pPr>
    <w:rPr>
      <w:kern w:val="0"/>
      <w:sz w:val="20"/>
      <w:szCs w:val="20"/>
    </w:rPr>
  </w:style>
  <w:style w:type="character" w:customStyle="1" w:styleId="1147">
    <w:name w:val="样式 标题 1 + 四号 Char"/>
    <w:link w:val="1148"/>
    <w:autoRedefine/>
    <w:qFormat/>
    <w:locked/>
    <w:uiPriority w:val="0"/>
    <w:rPr>
      <w:rFonts w:ascii="宋体" w:hAnsi="宋体" w:eastAsia="仿宋_GB2312"/>
      <w:kern w:val="44"/>
      <w:sz w:val="44"/>
    </w:rPr>
  </w:style>
  <w:style w:type="paragraph" w:customStyle="1" w:styleId="1148">
    <w:name w:val="样式 标题 1 + 四号"/>
    <w:basedOn w:val="3"/>
    <w:link w:val="1147"/>
    <w:qFormat/>
    <w:uiPriority w:val="0"/>
    <w:pPr>
      <w:tabs>
        <w:tab w:val="left" w:pos="420"/>
      </w:tabs>
      <w:snapToGrid w:val="0"/>
      <w:spacing w:beforeLines="200" w:line="360" w:lineRule="auto"/>
    </w:pPr>
    <w:rPr>
      <w:rFonts w:eastAsia="仿宋_GB2312" w:cs="Times New Roman"/>
      <w:b w:val="0"/>
      <w:szCs w:val="20"/>
    </w:rPr>
  </w:style>
  <w:style w:type="paragraph" w:customStyle="1" w:styleId="1149">
    <w:name w:val="样式 标题 1 + 宋体"/>
    <w:basedOn w:val="3"/>
    <w:autoRedefine/>
    <w:qFormat/>
    <w:uiPriority w:val="0"/>
    <w:pPr>
      <w:tabs>
        <w:tab w:val="left" w:pos="420"/>
      </w:tabs>
      <w:snapToGrid w:val="0"/>
      <w:spacing w:beforeLines="200"/>
    </w:pPr>
    <w:rPr>
      <w:rFonts w:eastAsia="黑体" w:cs="Times New Roman"/>
      <w:b w:val="0"/>
      <w:bCs/>
      <w:szCs w:val="44"/>
    </w:rPr>
  </w:style>
  <w:style w:type="paragraph" w:customStyle="1" w:styleId="1150">
    <w:name w:val="样式 首行缩进:  0.99 厘米1"/>
    <w:basedOn w:val="1"/>
    <w:qFormat/>
    <w:uiPriority w:val="0"/>
    <w:pPr>
      <w:widowControl/>
      <w:tabs>
        <w:tab w:val="left" w:pos="0"/>
        <w:tab w:val="left" w:pos="432"/>
      </w:tabs>
      <w:adjustRightInd w:val="0"/>
      <w:snapToGrid w:val="0"/>
      <w:spacing w:line="560" w:lineRule="exact"/>
      <w:ind w:left="432" w:firstLine="522" w:firstLineChars="200"/>
      <w:jc w:val="left"/>
    </w:pPr>
    <w:rPr>
      <w:kern w:val="0"/>
      <w:sz w:val="26"/>
      <w:szCs w:val="26"/>
    </w:rPr>
  </w:style>
  <w:style w:type="paragraph" w:customStyle="1" w:styleId="1151">
    <w:name w:val="l_text"/>
    <w:basedOn w:val="1"/>
    <w:qFormat/>
    <w:uiPriority w:val="0"/>
    <w:pPr>
      <w:widowControl/>
      <w:overflowPunct w:val="0"/>
      <w:autoSpaceDE w:val="0"/>
      <w:autoSpaceDN w:val="0"/>
      <w:adjustRightInd w:val="0"/>
      <w:spacing w:after="20" w:line="240" w:lineRule="auto"/>
      <w:ind w:firstLine="600" w:firstLineChars="200"/>
    </w:pPr>
    <w:rPr>
      <w:rFonts w:cs="Times New Roman"/>
      <w:kern w:val="0"/>
      <w:sz w:val="28"/>
      <w:szCs w:val="21"/>
      <w:lang w:val="en-GB"/>
    </w:rPr>
  </w:style>
  <w:style w:type="paragraph" w:customStyle="1" w:styleId="1152">
    <w:name w:val="样式 标题 3头小节标题标题 3 Char1 + 段前: 8 磅 段后: 6 磅 行距: 1.5 倍行距"/>
    <w:basedOn w:val="5"/>
    <w:qFormat/>
    <w:uiPriority w:val="0"/>
    <w:pPr>
      <w:tabs>
        <w:tab w:val="left" w:pos="420"/>
      </w:tabs>
      <w:kinsoku w:val="0"/>
      <w:overflowPunct w:val="0"/>
      <w:autoSpaceDE w:val="0"/>
      <w:snapToGrid w:val="0"/>
      <w:spacing w:before="160" w:after="120" w:line="360" w:lineRule="auto"/>
      <w:jc w:val="left"/>
    </w:pPr>
    <w:rPr>
      <w:rFonts w:eastAsia="黑体" w:cs="Times New Roman"/>
      <w:b w:val="0"/>
      <w:bCs/>
      <w:color w:val="000000"/>
      <w:kern w:val="0"/>
      <w:sz w:val="28"/>
      <w:szCs w:val="20"/>
    </w:rPr>
  </w:style>
  <w:style w:type="paragraph" w:customStyle="1" w:styleId="1153">
    <w:name w:val="xl134"/>
    <w:basedOn w:val="1"/>
    <w:autoRedefine/>
    <w:qFormat/>
    <w:uiPriority w:val="0"/>
    <w:pPr>
      <w:widowControl/>
      <w:spacing w:before="100" w:beforeAutospacing="1" w:after="100" w:afterAutospacing="1" w:line="240" w:lineRule="auto"/>
      <w:ind w:firstLine="600" w:firstLineChars="200"/>
      <w:jc w:val="left"/>
    </w:pPr>
    <w:rPr>
      <w:kern w:val="0"/>
      <w:sz w:val="22"/>
      <w:szCs w:val="22"/>
    </w:rPr>
  </w:style>
  <w:style w:type="paragraph" w:customStyle="1" w:styleId="1154">
    <w:name w:val="样式 样式 两端对齐 首行缩进:  2 字符 + 首行缩进:  2 字符 段前: 0.5 行 段后: 0.5 行"/>
    <w:basedOn w:val="1"/>
    <w:autoRedefine/>
    <w:qFormat/>
    <w:uiPriority w:val="0"/>
    <w:pPr>
      <w:ind w:firstLine="600" w:firstLineChars="200"/>
    </w:pPr>
    <w:rPr>
      <w:rFonts w:eastAsia="黑体" w:cs="Times New Roman"/>
      <w:sz w:val="28"/>
      <w:szCs w:val="28"/>
    </w:rPr>
  </w:style>
  <w:style w:type="paragraph" w:customStyle="1" w:styleId="1155">
    <w:name w:val="xl14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color w:val="FF0000"/>
      <w:kern w:val="0"/>
      <w:sz w:val="20"/>
      <w:szCs w:val="20"/>
    </w:rPr>
  </w:style>
  <w:style w:type="paragraph" w:customStyle="1" w:styleId="1156">
    <w:name w:val="xl16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pPr>
    <w:rPr>
      <w:b/>
      <w:bCs/>
      <w:kern w:val="0"/>
      <w:sz w:val="20"/>
      <w:szCs w:val="20"/>
    </w:rPr>
  </w:style>
  <w:style w:type="paragraph" w:customStyle="1" w:styleId="1157">
    <w:name w:val="样式 样式 标题 3头小节标题小标题标题 3 Char Char Char一章标题1Heading 3 - oldse...1 ..."/>
    <w:basedOn w:val="1"/>
    <w:qFormat/>
    <w:uiPriority w:val="0"/>
    <w:pPr>
      <w:tabs>
        <w:tab w:val="left" w:pos="720"/>
      </w:tabs>
      <w:spacing w:line="240" w:lineRule="auto"/>
      <w:ind w:left="720" w:hanging="720" w:firstLineChars="200"/>
    </w:pPr>
    <w:rPr>
      <w:rFonts w:cs="Times New Roman"/>
      <w:sz w:val="28"/>
    </w:rPr>
  </w:style>
  <w:style w:type="paragraph" w:customStyle="1" w:styleId="1158">
    <w:name w:val="_Style 63"/>
    <w:basedOn w:val="1"/>
    <w:qFormat/>
    <w:uiPriority w:val="0"/>
    <w:pPr>
      <w:spacing w:line="240" w:lineRule="auto"/>
      <w:ind w:firstLine="200" w:firstLineChars="200"/>
    </w:pPr>
    <w:rPr>
      <w:rFonts w:cs="Times New Roman"/>
      <w:kern w:val="0"/>
      <w:szCs w:val="20"/>
    </w:rPr>
  </w:style>
  <w:style w:type="paragraph" w:customStyle="1" w:styleId="1159">
    <w:name w:val="表图标题"/>
    <w:basedOn w:val="1"/>
    <w:qFormat/>
    <w:uiPriority w:val="0"/>
    <w:pPr>
      <w:widowControl/>
      <w:autoSpaceDE w:val="0"/>
      <w:autoSpaceDN w:val="0"/>
      <w:adjustRightInd w:val="0"/>
      <w:spacing w:before="120"/>
      <w:ind w:firstLine="567" w:firstLineChars="200"/>
    </w:pPr>
    <w:rPr>
      <w:rFonts w:eastAsia="仿宋_GB2312" w:cs="Times New Roman"/>
      <w:b/>
      <w:kern w:val="0"/>
      <w:sz w:val="28"/>
      <w:szCs w:val="20"/>
      <w:u w:val="single"/>
    </w:rPr>
  </w:style>
  <w:style w:type="character" w:customStyle="1" w:styleId="1160">
    <w:name w:val="样式 标题 3 + 四号 Char Char"/>
    <w:link w:val="1161"/>
    <w:autoRedefine/>
    <w:qFormat/>
    <w:locked/>
    <w:uiPriority w:val="0"/>
    <w:rPr>
      <w:rFonts w:ascii="仿宋_GB2312" w:eastAsia="仿宋_GB2312"/>
      <w:b/>
      <w:bCs/>
      <w:sz w:val="28"/>
      <w:szCs w:val="32"/>
    </w:rPr>
  </w:style>
  <w:style w:type="paragraph" w:customStyle="1" w:styleId="1161">
    <w:name w:val="样式 标题 3 + 四号"/>
    <w:basedOn w:val="5"/>
    <w:link w:val="1160"/>
    <w:autoRedefine/>
    <w:qFormat/>
    <w:uiPriority w:val="0"/>
    <w:pPr>
      <w:tabs>
        <w:tab w:val="left" w:pos="420"/>
      </w:tabs>
      <w:spacing w:line="412" w:lineRule="auto"/>
      <w:jc w:val="left"/>
    </w:pPr>
    <w:rPr>
      <w:rFonts w:ascii="仿宋_GB2312" w:eastAsia="仿宋_GB2312" w:cs="Times New Roman"/>
      <w:bCs/>
      <w:kern w:val="0"/>
      <w:sz w:val="28"/>
      <w:szCs w:val="32"/>
    </w:rPr>
  </w:style>
  <w:style w:type="paragraph" w:customStyle="1" w:styleId="1162">
    <w:name w:val="xl16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163">
    <w:name w:val="表内文3"/>
    <w:basedOn w:val="1"/>
    <w:autoRedefine/>
    <w:qFormat/>
    <w:uiPriority w:val="0"/>
    <w:pPr>
      <w:spacing w:line="240" w:lineRule="auto"/>
      <w:ind w:firstLine="600" w:firstLineChars="200"/>
    </w:pPr>
    <w:rPr>
      <w:rFonts w:eastAsia="仿宋_GB2312" w:cs="Times New Roman"/>
      <w:bCs/>
      <w:color w:val="000000"/>
      <w:sz w:val="28"/>
      <w:szCs w:val="20"/>
    </w:rPr>
  </w:style>
  <w:style w:type="paragraph" w:customStyle="1" w:styleId="1164">
    <w:name w:val="xl13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kern w:val="0"/>
      <w:sz w:val="20"/>
      <w:szCs w:val="20"/>
    </w:rPr>
  </w:style>
  <w:style w:type="paragraph" w:customStyle="1" w:styleId="1165">
    <w:name w:val="样式 标题 4 + 左侧:  2.51 厘米 首行缩进:  0 厘米1"/>
    <w:basedOn w:val="6"/>
    <w:autoRedefine/>
    <w:qFormat/>
    <w:uiPriority w:val="0"/>
    <w:pPr>
      <w:tabs>
        <w:tab w:val="left" w:pos="0"/>
        <w:tab w:val="clear" w:pos="525"/>
      </w:tabs>
      <w:adjustRightInd w:val="0"/>
      <w:snapToGrid w:val="0"/>
      <w:ind w:firstLine="560" w:firstLineChars="200"/>
      <w:jc w:val="left"/>
      <w:outlineLvl w:val="9"/>
    </w:pPr>
    <w:rPr>
      <w:rFonts w:eastAsia="宋体" w:cs="Times New Roman"/>
      <w:bCs/>
      <w:sz w:val="28"/>
      <w:szCs w:val="20"/>
    </w:rPr>
  </w:style>
  <w:style w:type="paragraph" w:customStyle="1" w:styleId="1166">
    <w:name w:val="xl146"/>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167">
    <w:name w:val="xl1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pPr>
    <w:rPr>
      <w:b/>
      <w:bCs/>
      <w:kern w:val="0"/>
      <w:sz w:val="20"/>
      <w:szCs w:val="20"/>
    </w:rPr>
  </w:style>
  <w:style w:type="paragraph" w:customStyle="1" w:styleId="1168">
    <w:name w:val="xl178"/>
    <w:basedOn w:val="1"/>
    <w:qFormat/>
    <w:uiPriority w:val="0"/>
    <w:pPr>
      <w:widowControl/>
      <w:pBdr>
        <w:bottom w:val="single" w:color="auto" w:sz="4" w:space="0"/>
        <w:right w:val="single" w:color="auto" w:sz="4" w:space="0"/>
      </w:pBdr>
      <w:spacing w:before="100" w:beforeAutospacing="1" w:after="100" w:afterAutospacing="1" w:line="240" w:lineRule="auto"/>
      <w:ind w:firstLine="600" w:firstLineChars="200"/>
    </w:pPr>
    <w:rPr>
      <w:kern w:val="0"/>
      <w:sz w:val="20"/>
      <w:szCs w:val="20"/>
    </w:rPr>
  </w:style>
  <w:style w:type="paragraph" w:customStyle="1" w:styleId="1169">
    <w:name w:val="xl173"/>
    <w:basedOn w:val="1"/>
    <w:autoRedefine/>
    <w:qFormat/>
    <w:uiPriority w:val="0"/>
    <w:pPr>
      <w:widowControl/>
      <w:pBdr>
        <w:top w:val="single" w:color="auto" w:sz="4" w:space="0"/>
        <w:left w:val="single" w:color="auto" w:sz="4" w:space="0"/>
      </w:pBdr>
      <w:spacing w:before="100" w:beforeAutospacing="1" w:after="100" w:afterAutospacing="1" w:line="240" w:lineRule="auto"/>
      <w:ind w:firstLine="600" w:firstLineChars="200"/>
    </w:pPr>
    <w:rPr>
      <w:kern w:val="0"/>
      <w:sz w:val="20"/>
      <w:szCs w:val="20"/>
    </w:rPr>
  </w:style>
  <w:style w:type="paragraph" w:customStyle="1" w:styleId="1170">
    <w:name w:val="文档"/>
    <w:basedOn w:val="1"/>
    <w:qFormat/>
    <w:uiPriority w:val="0"/>
    <w:pPr>
      <w:snapToGrid w:val="0"/>
      <w:ind w:firstLine="520" w:firstLineChars="200"/>
    </w:pPr>
    <w:rPr>
      <w:rFonts w:cs="Times New Roman"/>
      <w:sz w:val="26"/>
      <w:szCs w:val="20"/>
    </w:rPr>
  </w:style>
  <w:style w:type="paragraph" w:customStyle="1" w:styleId="1171">
    <w:name w:val="xl172"/>
    <w:basedOn w:val="1"/>
    <w:qFormat/>
    <w:uiPriority w:val="0"/>
    <w:pPr>
      <w:widowControl/>
      <w:spacing w:before="100" w:beforeAutospacing="1" w:after="100" w:afterAutospacing="1" w:line="240" w:lineRule="auto"/>
      <w:ind w:firstLine="600" w:firstLineChars="200"/>
    </w:pPr>
    <w:rPr>
      <w:b/>
      <w:bCs/>
      <w:kern w:val="0"/>
      <w:sz w:val="44"/>
      <w:szCs w:val="44"/>
    </w:rPr>
  </w:style>
  <w:style w:type="paragraph" w:customStyle="1" w:styleId="1172">
    <w:name w:val="xl138"/>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173">
    <w:name w:val="xl165"/>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pPr>
    <w:rPr>
      <w:b/>
      <w:bCs/>
      <w:kern w:val="0"/>
      <w:sz w:val="20"/>
      <w:szCs w:val="20"/>
    </w:rPr>
  </w:style>
  <w:style w:type="paragraph" w:customStyle="1" w:styleId="1174">
    <w:name w:val="xl12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pPr>
    <w:rPr>
      <w:kern w:val="0"/>
      <w:sz w:val="20"/>
      <w:szCs w:val="20"/>
    </w:rPr>
  </w:style>
  <w:style w:type="paragraph" w:customStyle="1" w:styleId="1175">
    <w:name w:val="表头2"/>
    <w:basedOn w:val="1"/>
    <w:qFormat/>
    <w:uiPriority w:val="0"/>
    <w:pPr>
      <w:widowControl/>
      <w:spacing w:line="240" w:lineRule="atLeast"/>
      <w:ind w:firstLine="600" w:firstLineChars="200"/>
      <w:jc w:val="right"/>
      <w:outlineLvl w:val="5"/>
    </w:pPr>
    <w:rPr>
      <w:rFonts w:cs="Times New Roman"/>
      <w:kern w:val="24"/>
      <w:szCs w:val="20"/>
    </w:rPr>
  </w:style>
  <w:style w:type="paragraph" w:customStyle="1" w:styleId="1176">
    <w:name w:val="标书正文"/>
    <w:basedOn w:val="1"/>
    <w:qFormat/>
    <w:uiPriority w:val="0"/>
    <w:pPr>
      <w:tabs>
        <w:tab w:val="right" w:pos="2100"/>
        <w:tab w:val="center" w:pos="2415"/>
        <w:tab w:val="left" w:pos="2730"/>
      </w:tabs>
      <w:spacing w:beforeLines="20" w:afterLines="20"/>
      <w:ind w:firstLine="480" w:firstLineChars="200"/>
    </w:pPr>
    <w:rPr>
      <w:rFonts w:cs="Times New Roman"/>
    </w:rPr>
  </w:style>
  <w:style w:type="paragraph" w:customStyle="1" w:styleId="1177">
    <w:name w:val="带序号正文"/>
    <w:basedOn w:val="1"/>
    <w:qFormat/>
    <w:uiPriority w:val="0"/>
    <w:pPr>
      <w:adjustRightInd w:val="0"/>
      <w:spacing w:before="120"/>
      <w:ind w:firstLine="567" w:firstLineChars="200"/>
    </w:pPr>
    <w:rPr>
      <w:rFonts w:eastAsia="仿宋_GB2312" w:cs="Times New Roman"/>
      <w:color w:val="000000"/>
      <w:kern w:val="0"/>
      <w:sz w:val="28"/>
      <w:szCs w:val="20"/>
    </w:rPr>
  </w:style>
  <w:style w:type="paragraph" w:customStyle="1" w:styleId="1178">
    <w:name w:val="设计表格"/>
    <w:basedOn w:val="1"/>
    <w:autoRedefine/>
    <w:qFormat/>
    <w:uiPriority w:val="0"/>
    <w:pPr>
      <w:adjustRightInd w:val="0"/>
      <w:spacing w:line="240" w:lineRule="auto"/>
      <w:ind w:firstLine="600" w:firstLineChars="200"/>
    </w:pPr>
    <w:rPr>
      <w:rFonts w:cs="Times New Roman"/>
      <w:kern w:val="0"/>
      <w:sz w:val="28"/>
    </w:rPr>
  </w:style>
  <w:style w:type="character" w:customStyle="1" w:styleId="1179">
    <w:name w:val="表名称 Char"/>
    <w:link w:val="1180"/>
    <w:autoRedefine/>
    <w:qFormat/>
    <w:locked/>
    <w:uiPriority w:val="0"/>
    <w:rPr>
      <w:rFonts w:ascii="Arial" w:hAnsi="Arial" w:eastAsia="仿宋_GB2312" w:cs="Arial"/>
      <w:b/>
      <w:sz w:val="28"/>
      <w:u w:val="single"/>
    </w:rPr>
  </w:style>
  <w:style w:type="paragraph" w:customStyle="1" w:styleId="1180">
    <w:name w:val="表名称"/>
    <w:basedOn w:val="1"/>
    <w:link w:val="1179"/>
    <w:autoRedefine/>
    <w:qFormat/>
    <w:uiPriority w:val="0"/>
    <w:pPr>
      <w:widowControl/>
      <w:tabs>
        <w:tab w:val="left" w:pos="8640"/>
      </w:tabs>
      <w:autoSpaceDE w:val="0"/>
      <w:autoSpaceDN w:val="0"/>
      <w:spacing w:line="240" w:lineRule="auto"/>
      <w:ind w:right="6" w:firstLine="200" w:firstLineChars="200"/>
    </w:pPr>
    <w:rPr>
      <w:rFonts w:ascii="Arial" w:hAnsi="Arial" w:eastAsia="仿宋_GB2312" w:cs="Arial"/>
      <w:b/>
      <w:kern w:val="0"/>
      <w:sz w:val="28"/>
      <w:szCs w:val="20"/>
      <w:u w:val="single"/>
    </w:rPr>
  </w:style>
  <w:style w:type="paragraph" w:customStyle="1" w:styleId="1181">
    <w:name w:val="xl15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182">
    <w:name w:val="正文21"/>
    <w:basedOn w:val="1"/>
    <w:autoRedefine/>
    <w:qFormat/>
    <w:uiPriority w:val="0"/>
    <w:pPr>
      <w:widowControl/>
      <w:autoSpaceDE w:val="0"/>
      <w:autoSpaceDN w:val="0"/>
      <w:ind w:firstLine="601" w:firstLineChars="200"/>
    </w:pPr>
    <w:rPr>
      <w:rFonts w:ascii="仿宋_GB2312" w:eastAsia="仿宋_GB2312" w:cs="Times New Roman"/>
      <w:kern w:val="0"/>
      <w:sz w:val="28"/>
    </w:rPr>
  </w:style>
  <w:style w:type="paragraph" w:customStyle="1" w:styleId="1183">
    <w:name w:val="xl16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184">
    <w:name w:val="xl15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pPr>
    <w:rPr>
      <w:b/>
      <w:bCs/>
      <w:kern w:val="0"/>
      <w:sz w:val="20"/>
      <w:szCs w:val="20"/>
    </w:rPr>
  </w:style>
  <w:style w:type="paragraph" w:customStyle="1" w:styleId="1185">
    <w:name w:val="表识别"/>
    <w:basedOn w:val="1"/>
    <w:autoRedefine/>
    <w:qFormat/>
    <w:uiPriority w:val="0"/>
    <w:pPr>
      <w:widowControl/>
      <w:tabs>
        <w:tab w:val="right" w:pos="8640"/>
      </w:tabs>
      <w:autoSpaceDE w:val="0"/>
      <w:autoSpaceDN w:val="0"/>
      <w:adjustRightInd w:val="0"/>
      <w:spacing w:line="240" w:lineRule="auto"/>
      <w:ind w:firstLine="600" w:firstLineChars="200"/>
      <w:jc w:val="left"/>
    </w:pPr>
    <w:rPr>
      <w:rFonts w:eastAsia="仿宋_GB2312" w:cs="Times New Roman"/>
      <w:color w:val="000000"/>
      <w:kern w:val="0"/>
      <w:sz w:val="28"/>
      <w:szCs w:val="20"/>
    </w:rPr>
  </w:style>
  <w:style w:type="paragraph" w:customStyle="1" w:styleId="1186">
    <w:name w:val="标题1"/>
    <w:basedOn w:val="1"/>
    <w:autoRedefine/>
    <w:qFormat/>
    <w:uiPriority w:val="0"/>
    <w:pPr>
      <w:spacing w:line="240" w:lineRule="auto"/>
      <w:ind w:firstLine="200" w:firstLineChars="200"/>
    </w:pPr>
    <w:rPr>
      <w:rFonts w:eastAsia="黑体" w:cs="Times New Roman"/>
      <w:sz w:val="44"/>
      <w:szCs w:val="20"/>
    </w:rPr>
  </w:style>
  <w:style w:type="paragraph" w:customStyle="1" w:styleId="1187">
    <w:name w:val="xl174"/>
    <w:basedOn w:val="1"/>
    <w:autoRedefine/>
    <w:qFormat/>
    <w:uiPriority w:val="0"/>
    <w:pPr>
      <w:widowControl/>
      <w:pBdr>
        <w:top w:val="single" w:color="auto" w:sz="4" w:space="0"/>
      </w:pBdr>
      <w:spacing w:before="100" w:beforeAutospacing="1" w:after="100" w:afterAutospacing="1" w:line="240" w:lineRule="auto"/>
      <w:ind w:firstLine="600" w:firstLineChars="200"/>
    </w:pPr>
    <w:rPr>
      <w:kern w:val="0"/>
      <w:sz w:val="20"/>
      <w:szCs w:val="20"/>
    </w:rPr>
  </w:style>
  <w:style w:type="paragraph" w:customStyle="1" w:styleId="1188">
    <w:name w:val="样式 正文缩进表正文正文非缩进特点 + 四号 黑色 行距: 1.5 倍行距"/>
    <w:basedOn w:val="17"/>
    <w:autoRedefine/>
    <w:qFormat/>
    <w:uiPriority w:val="0"/>
    <w:pPr>
      <w:ind w:firstLine="560"/>
    </w:pPr>
    <w:rPr>
      <w:rFonts w:ascii="仿宋_GB2312" w:hAnsi="Calibri" w:cs="宋体"/>
      <w:kern w:val="2"/>
      <w:sz w:val="28"/>
      <w:szCs w:val="22"/>
      <w:lang w:val="en-US"/>
    </w:rPr>
  </w:style>
  <w:style w:type="paragraph" w:customStyle="1" w:styleId="1189">
    <w:name w:val="xl1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character" w:customStyle="1" w:styleId="1190">
    <w:name w:val="样式 宋体 四号 黑色 首行缩进:  1.24 厘米 行距: 1.5 倍行距 Char"/>
    <w:link w:val="1191"/>
    <w:autoRedefine/>
    <w:qFormat/>
    <w:locked/>
    <w:uiPriority w:val="0"/>
    <w:rPr>
      <w:rFonts w:ascii="宋体" w:hAnsi="宋体"/>
      <w:color w:val="000000"/>
      <w:sz w:val="28"/>
    </w:rPr>
  </w:style>
  <w:style w:type="paragraph" w:customStyle="1" w:styleId="1191">
    <w:name w:val="样式 宋体 四号 黑色 首行缩进:  1.24 厘米 行距: 1.5 倍行距"/>
    <w:basedOn w:val="1"/>
    <w:link w:val="1190"/>
    <w:autoRedefine/>
    <w:qFormat/>
    <w:uiPriority w:val="0"/>
    <w:pPr>
      <w:ind w:firstLine="703" w:firstLineChars="200"/>
    </w:pPr>
    <w:rPr>
      <w:rFonts w:cs="Times New Roman"/>
      <w:color w:val="000000"/>
      <w:kern w:val="0"/>
      <w:sz w:val="28"/>
      <w:szCs w:val="20"/>
    </w:rPr>
  </w:style>
  <w:style w:type="paragraph" w:customStyle="1" w:styleId="1192">
    <w:name w:val="表内1"/>
    <w:basedOn w:val="1034"/>
    <w:qFormat/>
    <w:uiPriority w:val="0"/>
    <w:pPr>
      <w:spacing w:line="240" w:lineRule="auto"/>
      <w:jc w:val="left"/>
    </w:pPr>
    <w:rPr>
      <w:rFonts w:eastAsia="仿宋_GB2312"/>
      <w:bCs/>
      <w:color w:val="000000"/>
      <w:sz w:val="20"/>
      <w:szCs w:val="28"/>
    </w:rPr>
  </w:style>
  <w:style w:type="paragraph" w:customStyle="1" w:styleId="1193">
    <w:name w:val="xl12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kern w:val="0"/>
      <w:sz w:val="20"/>
      <w:szCs w:val="20"/>
    </w:rPr>
  </w:style>
  <w:style w:type="paragraph" w:customStyle="1" w:styleId="1194">
    <w:name w:val="xl13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color w:val="FF0000"/>
      <w:kern w:val="0"/>
      <w:sz w:val="20"/>
      <w:szCs w:val="20"/>
    </w:rPr>
  </w:style>
  <w:style w:type="paragraph" w:customStyle="1" w:styleId="1195">
    <w:name w:val="表内容1"/>
    <w:basedOn w:val="1"/>
    <w:autoRedefine/>
    <w:qFormat/>
    <w:uiPriority w:val="0"/>
    <w:pPr>
      <w:widowControl/>
      <w:tabs>
        <w:tab w:val="left" w:pos="480"/>
      </w:tabs>
      <w:autoSpaceDE w:val="0"/>
      <w:autoSpaceDN w:val="0"/>
      <w:spacing w:line="264" w:lineRule="auto"/>
      <w:ind w:firstLine="200" w:firstLineChars="200"/>
    </w:pPr>
    <w:rPr>
      <w:rFonts w:cs="Times New Roman"/>
      <w:kern w:val="0"/>
    </w:rPr>
  </w:style>
  <w:style w:type="paragraph" w:customStyle="1" w:styleId="1196">
    <w:name w:val="xl137"/>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pPr>
    <w:rPr>
      <w:b/>
      <w:bCs/>
      <w:kern w:val="0"/>
      <w:sz w:val="20"/>
      <w:szCs w:val="20"/>
    </w:rPr>
  </w:style>
  <w:style w:type="character" w:customStyle="1" w:styleId="1197">
    <w:name w:val="样式 正文1 + 两端对齐 Char"/>
    <w:link w:val="1198"/>
    <w:autoRedefine/>
    <w:qFormat/>
    <w:locked/>
    <w:uiPriority w:val="0"/>
    <w:rPr>
      <w:rFonts w:ascii="宋体" w:hAnsi="宋体" w:cs="宋体"/>
      <w:sz w:val="28"/>
    </w:rPr>
  </w:style>
  <w:style w:type="paragraph" w:customStyle="1" w:styleId="1198">
    <w:name w:val="样式 正文1 + 两端对齐"/>
    <w:basedOn w:val="96"/>
    <w:link w:val="1197"/>
    <w:autoRedefine/>
    <w:qFormat/>
    <w:uiPriority w:val="0"/>
    <w:pPr>
      <w:tabs>
        <w:tab w:val="left" w:pos="567"/>
      </w:tabs>
      <w:spacing w:line="360" w:lineRule="auto"/>
      <w:ind w:firstLine="200" w:firstLineChars="200"/>
      <w:jc w:val="both"/>
    </w:pPr>
    <w:rPr>
      <w:rFonts w:hAnsi="宋体" w:cs="宋体"/>
      <w:kern w:val="0"/>
      <w:sz w:val="28"/>
      <w:szCs w:val="20"/>
    </w:rPr>
  </w:style>
  <w:style w:type="paragraph" w:customStyle="1" w:styleId="1199">
    <w:name w:val="高旭"/>
    <w:basedOn w:val="1"/>
    <w:qFormat/>
    <w:uiPriority w:val="0"/>
    <w:pPr>
      <w:tabs>
        <w:tab w:val="left" w:pos="426"/>
      </w:tabs>
      <w:autoSpaceDE w:val="0"/>
      <w:autoSpaceDN w:val="0"/>
      <w:adjustRightInd w:val="0"/>
      <w:spacing w:line="360" w:lineRule="atLeast"/>
      <w:ind w:firstLine="600" w:firstLineChars="200"/>
      <w:jc w:val="left"/>
    </w:pPr>
    <w:rPr>
      <w:rFonts w:cs="Times New Roman"/>
      <w:kern w:val="0"/>
      <w:sz w:val="28"/>
      <w:szCs w:val="20"/>
    </w:rPr>
  </w:style>
  <w:style w:type="paragraph" w:customStyle="1" w:styleId="1200">
    <w:name w:val="Char Char Char Char Char Char"/>
    <w:basedOn w:val="1"/>
    <w:autoRedefine/>
    <w:qFormat/>
    <w:uiPriority w:val="0"/>
    <w:pPr>
      <w:spacing w:line="240" w:lineRule="auto"/>
      <w:ind w:firstLine="600" w:firstLineChars="200"/>
    </w:pPr>
    <w:rPr>
      <w:rFonts w:cs="Times New Roman"/>
      <w:sz w:val="28"/>
    </w:rPr>
  </w:style>
  <w:style w:type="paragraph" w:customStyle="1" w:styleId="1201">
    <w:name w:val="xl144"/>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jc w:val="right"/>
    </w:pPr>
    <w:rPr>
      <w:b/>
      <w:bCs/>
      <w:kern w:val="0"/>
      <w:sz w:val="20"/>
      <w:szCs w:val="20"/>
    </w:rPr>
  </w:style>
  <w:style w:type="character" w:customStyle="1" w:styleId="1202">
    <w:name w:val="样式 标题 2 + 宋体 Char Char"/>
    <w:link w:val="1203"/>
    <w:autoRedefine/>
    <w:qFormat/>
    <w:locked/>
    <w:uiPriority w:val="0"/>
    <w:rPr>
      <w:rFonts w:ascii="Arial" w:hAnsi="Arial"/>
      <w:bCs/>
      <w:sz w:val="30"/>
      <w:szCs w:val="32"/>
    </w:rPr>
  </w:style>
  <w:style w:type="paragraph" w:customStyle="1" w:styleId="1203">
    <w:name w:val="样式 标题 2 + 宋体"/>
    <w:basedOn w:val="4"/>
    <w:link w:val="1202"/>
    <w:autoRedefine/>
    <w:qFormat/>
    <w:uiPriority w:val="0"/>
    <w:pPr>
      <w:tabs>
        <w:tab w:val="left" w:pos="-1548"/>
        <w:tab w:val="left" w:pos="0"/>
        <w:tab w:val="left" w:pos="420"/>
        <w:tab w:val="left" w:pos="576"/>
      </w:tabs>
      <w:spacing w:line="412" w:lineRule="auto"/>
      <w:ind w:left="576" w:hanging="576"/>
      <w:jc w:val="left"/>
    </w:pPr>
    <w:rPr>
      <w:rFonts w:eastAsia="宋体" w:cs="Times New Roman"/>
      <w:b w:val="0"/>
      <w:bCs/>
      <w:kern w:val="0"/>
      <w:sz w:val="30"/>
      <w:szCs w:val="32"/>
    </w:rPr>
  </w:style>
  <w:style w:type="paragraph" w:customStyle="1" w:styleId="1204">
    <w:name w:val="xl14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205">
    <w:name w:val="xl1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right"/>
    </w:pPr>
    <w:rPr>
      <w:kern w:val="0"/>
      <w:sz w:val="20"/>
      <w:szCs w:val="20"/>
    </w:rPr>
  </w:style>
  <w:style w:type="paragraph" w:customStyle="1" w:styleId="1206">
    <w:name w:val="xl119"/>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jc w:val="right"/>
    </w:pPr>
    <w:rPr>
      <w:kern w:val="0"/>
      <w:sz w:val="20"/>
      <w:szCs w:val="20"/>
    </w:rPr>
  </w:style>
  <w:style w:type="paragraph" w:customStyle="1" w:styleId="1207">
    <w:name w:val="xl14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208">
    <w:name w:val="样式 样式 样式 样式 首行缩进:  2 字符 + 首行缩进:  2 字符 + 首行缩进:  2 字符 + 首行缩进:  0.9..."/>
    <w:basedOn w:val="1"/>
    <w:autoRedefine/>
    <w:qFormat/>
    <w:uiPriority w:val="0"/>
    <w:pPr>
      <w:ind w:firstLine="522" w:firstLineChars="200"/>
    </w:pPr>
    <w:rPr>
      <w:sz w:val="26"/>
      <w:szCs w:val="20"/>
    </w:rPr>
  </w:style>
  <w:style w:type="paragraph" w:customStyle="1" w:styleId="1209">
    <w:name w:val="样式 标题 2标题 2 Char节H2h2heading 2+ Indent: Left 0.25 in二级节名..."/>
    <w:basedOn w:val="4"/>
    <w:autoRedefine/>
    <w:qFormat/>
    <w:uiPriority w:val="0"/>
    <w:pPr>
      <w:tabs>
        <w:tab w:val="left" w:pos="0"/>
        <w:tab w:val="left" w:pos="420"/>
      </w:tabs>
      <w:snapToGrid w:val="0"/>
      <w:spacing w:beforeLines="50" w:afterLines="50" w:line="360" w:lineRule="auto"/>
      <w:jc w:val="left"/>
    </w:pPr>
    <w:rPr>
      <w:rFonts w:ascii="宋体" w:hAnsi="宋体" w:eastAsia="宋体"/>
      <w:b w:val="0"/>
      <w:sz w:val="28"/>
      <w:szCs w:val="20"/>
    </w:rPr>
  </w:style>
  <w:style w:type="paragraph" w:customStyle="1" w:styleId="1210">
    <w:name w:val="y标题4"/>
    <w:basedOn w:val="6"/>
    <w:autoRedefine/>
    <w:qFormat/>
    <w:uiPriority w:val="0"/>
    <w:pPr>
      <w:keepNext/>
      <w:keepLines/>
      <w:tabs>
        <w:tab w:val="left" w:pos="0"/>
        <w:tab w:val="left" w:pos="1044"/>
        <w:tab w:val="clear" w:pos="525"/>
      </w:tabs>
      <w:spacing w:line="374" w:lineRule="auto"/>
      <w:ind w:left="1044" w:hanging="864"/>
      <w:jc w:val="left"/>
    </w:pPr>
    <w:rPr>
      <w:rFonts w:ascii="Arial" w:hAnsi="Arial" w:eastAsia="宋体" w:cs="Times New Roman"/>
      <w:bCs/>
      <w:sz w:val="28"/>
      <w:szCs w:val="28"/>
    </w:rPr>
  </w:style>
  <w:style w:type="paragraph" w:customStyle="1" w:styleId="1211">
    <w:name w:val="xl124"/>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kern w:val="0"/>
      <w:sz w:val="20"/>
      <w:szCs w:val="20"/>
    </w:rPr>
  </w:style>
  <w:style w:type="paragraph" w:customStyle="1" w:styleId="1212">
    <w:name w:val="xl16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213">
    <w:name w:val="xl15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pPr>
    <w:rPr>
      <w:b/>
      <w:bCs/>
      <w:kern w:val="0"/>
      <w:sz w:val="20"/>
      <w:szCs w:val="20"/>
    </w:rPr>
  </w:style>
  <w:style w:type="character" w:customStyle="1" w:styleId="1214">
    <w:name w:val="样式 标题 3 + 宋体 四号 Char Char"/>
    <w:link w:val="1215"/>
    <w:autoRedefine/>
    <w:qFormat/>
    <w:locked/>
    <w:uiPriority w:val="0"/>
    <w:rPr>
      <w:rFonts w:ascii="仿宋_GB2312" w:eastAsia="仿宋_GB2312"/>
      <w:b/>
      <w:bCs/>
      <w:sz w:val="28"/>
      <w:szCs w:val="32"/>
    </w:rPr>
  </w:style>
  <w:style w:type="paragraph" w:customStyle="1" w:styleId="1215">
    <w:name w:val="样式 标题 3 + 宋体 四号"/>
    <w:basedOn w:val="5"/>
    <w:link w:val="1214"/>
    <w:qFormat/>
    <w:uiPriority w:val="0"/>
    <w:pPr>
      <w:tabs>
        <w:tab w:val="left" w:pos="420"/>
      </w:tabs>
      <w:spacing w:line="412" w:lineRule="auto"/>
      <w:jc w:val="left"/>
    </w:pPr>
    <w:rPr>
      <w:rFonts w:ascii="仿宋_GB2312" w:eastAsia="仿宋_GB2312" w:cs="Times New Roman"/>
      <w:bCs/>
      <w:kern w:val="0"/>
      <w:sz w:val="28"/>
      <w:szCs w:val="32"/>
    </w:rPr>
  </w:style>
  <w:style w:type="paragraph" w:customStyle="1" w:styleId="1216">
    <w:name w:val="样式 黑体 小二 加粗 居中"/>
    <w:basedOn w:val="1"/>
    <w:autoRedefine/>
    <w:qFormat/>
    <w:uiPriority w:val="0"/>
    <w:pPr>
      <w:spacing w:line="240" w:lineRule="auto"/>
      <w:ind w:firstLine="200" w:firstLineChars="200"/>
    </w:pPr>
    <w:rPr>
      <w:rFonts w:ascii="黑体" w:eastAsia="黑体"/>
      <w:bCs/>
      <w:sz w:val="44"/>
      <w:szCs w:val="20"/>
    </w:rPr>
  </w:style>
  <w:style w:type="paragraph" w:customStyle="1" w:styleId="1217">
    <w:name w:val="xl128"/>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jc w:val="right"/>
    </w:pPr>
    <w:rPr>
      <w:kern w:val="0"/>
      <w:sz w:val="20"/>
      <w:szCs w:val="20"/>
    </w:rPr>
  </w:style>
  <w:style w:type="paragraph" w:customStyle="1" w:styleId="1218">
    <w:name w:val="可研样式1"/>
    <w:basedOn w:val="1"/>
    <w:autoRedefine/>
    <w:qFormat/>
    <w:uiPriority w:val="0"/>
    <w:pPr>
      <w:ind w:firstLine="200" w:firstLineChars="200"/>
    </w:pPr>
    <w:rPr>
      <w:rFonts w:cs="Times New Roman"/>
      <w:color w:val="000000"/>
      <w:szCs w:val="44"/>
    </w:rPr>
  </w:style>
  <w:style w:type="paragraph" w:customStyle="1" w:styleId="1219">
    <w:name w:val="表内容2"/>
    <w:basedOn w:val="1195"/>
    <w:autoRedefine/>
    <w:qFormat/>
    <w:uiPriority w:val="0"/>
    <w:pPr>
      <w:ind w:firstLine="0" w:firstLineChars="0"/>
    </w:pPr>
  </w:style>
  <w:style w:type="paragraph" w:customStyle="1" w:styleId="1220">
    <w:name w:val="xl164"/>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pPr>
    <w:rPr>
      <w:b/>
      <w:bCs/>
      <w:kern w:val="0"/>
      <w:sz w:val="20"/>
      <w:szCs w:val="20"/>
    </w:rPr>
  </w:style>
  <w:style w:type="paragraph" w:customStyle="1" w:styleId="1221">
    <w:name w:val="xl158"/>
    <w:basedOn w:val="1"/>
    <w:autoRedefine/>
    <w:qFormat/>
    <w:uiPriority w:val="0"/>
    <w:pPr>
      <w:widowControl/>
      <w:spacing w:before="100" w:beforeAutospacing="1" w:after="100" w:afterAutospacing="1" w:line="240" w:lineRule="auto"/>
      <w:ind w:firstLine="600" w:firstLineChars="200"/>
      <w:jc w:val="left"/>
    </w:pPr>
    <w:rPr>
      <w:kern w:val="0"/>
      <w:sz w:val="20"/>
      <w:szCs w:val="20"/>
    </w:rPr>
  </w:style>
  <w:style w:type="paragraph" w:customStyle="1" w:styleId="1222">
    <w:name w:val="样式 标题 3头小节标题小标题标题 3 Char Char Char + (符号) 宋体 左 首行缩进:  0 厘米"/>
    <w:basedOn w:val="5"/>
    <w:autoRedefine/>
    <w:qFormat/>
    <w:uiPriority w:val="0"/>
    <w:pPr>
      <w:tabs>
        <w:tab w:val="left" w:pos="420"/>
      </w:tabs>
      <w:spacing w:line="360" w:lineRule="auto"/>
      <w:ind w:firstLine="200" w:firstLineChars="200"/>
      <w:jc w:val="left"/>
    </w:pPr>
    <w:rPr>
      <w:rFonts w:eastAsia="黑体"/>
      <w:b w:val="0"/>
      <w:bCs/>
      <w:sz w:val="30"/>
      <w:szCs w:val="30"/>
    </w:rPr>
  </w:style>
  <w:style w:type="paragraph" w:customStyle="1" w:styleId="1223">
    <w:name w:val="表说明"/>
    <w:basedOn w:val="1"/>
    <w:autoRedefine/>
    <w:qFormat/>
    <w:uiPriority w:val="0"/>
    <w:pPr>
      <w:widowControl/>
      <w:autoSpaceDE w:val="0"/>
      <w:autoSpaceDN w:val="0"/>
      <w:adjustRightInd w:val="0"/>
      <w:ind w:firstLine="567" w:firstLineChars="200"/>
      <w:jc w:val="right"/>
    </w:pPr>
    <w:rPr>
      <w:rFonts w:eastAsia="仿宋_GB2312" w:cs="Times New Roman"/>
      <w:kern w:val="0"/>
      <w:sz w:val="28"/>
      <w:szCs w:val="20"/>
    </w:rPr>
  </w:style>
  <w:style w:type="paragraph" w:customStyle="1" w:styleId="1224">
    <w:name w:val="标题第1章"/>
    <w:basedOn w:val="1"/>
    <w:autoRedefine/>
    <w:qFormat/>
    <w:uiPriority w:val="0"/>
    <w:pPr>
      <w:tabs>
        <w:tab w:val="left" w:pos="0"/>
      </w:tabs>
      <w:spacing w:line="240" w:lineRule="auto"/>
      <w:ind w:left="6662" w:firstLine="600" w:firstLineChars="200"/>
    </w:pPr>
    <w:rPr>
      <w:rFonts w:cs="Times New Roman"/>
      <w:sz w:val="28"/>
    </w:rPr>
  </w:style>
  <w:style w:type="paragraph" w:customStyle="1" w:styleId="1225">
    <w:name w:val="xl136"/>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pPr>
    <w:rPr>
      <w:kern w:val="0"/>
      <w:sz w:val="20"/>
      <w:szCs w:val="20"/>
    </w:rPr>
  </w:style>
  <w:style w:type="paragraph" w:customStyle="1" w:styleId="1226">
    <w:name w:val="xl114"/>
    <w:basedOn w:val="1"/>
    <w:autoRedefine/>
    <w:qFormat/>
    <w:uiPriority w:val="0"/>
    <w:pPr>
      <w:widowControl/>
      <w:pBdr>
        <w:left w:val="single" w:color="auto" w:sz="4" w:space="0"/>
        <w:right w:val="single" w:color="auto" w:sz="4" w:space="0"/>
      </w:pBdr>
      <w:spacing w:before="100" w:beforeAutospacing="1" w:after="100" w:afterAutospacing="1" w:line="240" w:lineRule="auto"/>
      <w:ind w:firstLine="600" w:firstLineChars="200"/>
    </w:pPr>
    <w:rPr>
      <w:kern w:val="0"/>
      <w:sz w:val="20"/>
      <w:szCs w:val="20"/>
    </w:rPr>
  </w:style>
  <w:style w:type="paragraph" w:customStyle="1" w:styleId="1227">
    <w:name w:val="xl1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228">
    <w:name w:val="样例尹"/>
    <w:basedOn w:val="1"/>
    <w:autoRedefine/>
    <w:qFormat/>
    <w:uiPriority w:val="0"/>
    <w:pPr>
      <w:tabs>
        <w:tab w:val="left" w:pos="425"/>
      </w:tabs>
      <w:ind w:left="1701" w:hanging="1701" w:firstLineChars="200"/>
    </w:pPr>
    <w:rPr>
      <w:rFonts w:cs="Times New Roman"/>
      <w:sz w:val="28"/>
      <w:szCs w:val="28"/>
    </w:rPr>
  </w:style>
  <w:style w:type="character" w:customStyle="1" w:styleId="1229">
    <w:name w:val="样式 标题 2标题1.1.1节½Ú?¨² + 宋体 Char"/>
    <w:link w:val="1230"/>
    <w:autoRedefine/>
    <w:qFormat/>
    <w:locked/>
    <w:uiPriority w:val="0"/>
    <w:rPr>
      <w:rFonts w:ascii="宋体" w:hAnsi="宋体"/>
      <w:b/>
      <w:bCs/>
      <w:spacing w:val="3"/>
      <w:sz w:val="24"/>
      <w:szCs w:val="28"/>
    </w:rPr>
  </w:style>
  <w:style w:type="paragraph" w:customStyle="1" w:styleId="1230">
    <w:name w:val="样式 标题 2标题1.1.1节½Ú?¨² + 宋体"/>
    <w:basedOn w:val="4"/>
    <w:link w:val="1229"/>
    <w:autoRedefine/>
    <w:qFormat/>
    <w:uiPriority w:val="0"/>
    <w:pPr>
      <w:tabs>
        <w:tab w:val="left" w:pos="0"/>
        <w:tab w:val="left" w:pos="420"/>
        <w:tab w:val="left" w:pos="567"/>
      </w:tabs>
      <w:adjustRightInd w:val="0"/>
      <w:spacing w:line="360" w:lineRule="auto"/>
      <w:jc w:val="left"/>
    </w:pPr>
    <w:rPr>
      <w:rFonts w:ascii="宋体" w:hAnsi="宋体" w:eastAsia="宋体" w:cs="Times New Roman"/>
      <w:bCs/>
      <w:spacing w:val="3"/>
      <w:kern w:val="0"/>
      <w:sz w:val="24"/>
      <w:szCs w:val="28"/>
    </w:rPr>
  </w:style>
  <w:style w:type="paragraph" w:customStyle="1" w:styleId="1231">
    <w:name w:val="xl157"/>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232">
    <w:name w:val="样式 正文1 + 两端对齐 首行缩进:  1.01 厘米"/>
    <w:basedOn w:val="96"/>
    <w:autoRedefine/>
    <w:qFormat/>
    <w:uiPriority w:val="0"/>
    <w:pPr>
      <w:tabs>
        <w:tab w:val="left" w:pos="567"/>
      </w:tabs>
      <w:spacing w:line="360" w:lineRule="auto"/>
      <w:ind w:firstLine="570"/>
      <w:jc w:val="both"/>
    </w:pPr>
    <w:rPr>
      <w:rFonts w:hint="eastAsia" w:ascii="Times New Roman" w:hAnsi="宋体" w:cs="宋体"/>
      <w:sz w:val="28"/>
    </w:rPr>
  </w:style>
  <w:style w:type="paragraph" w:customStyle="1" w:styleId="1233">
    <w:name w:val="xl170"/>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234">
    <w:name w:val="样式 正文1 + 小四 居中 首行缩进:  0 厘米 行距: 单倍行距"/>
    <w:basedOn w:val="96"/>
    <w:autoRedefine/>
    <w:qFormat/>
    <w:uiPriority w:val="0"/>
    <w:pPr>
      <w:tabs>
        <w:tab w:val="left" w:pos="567"/>
      </w:tabs>
      <w:spacing w:line="240" w:lineRule="auto"/>
      <w:jc w:val="center"/>
    </w:pPr>
    <w:rPr>
      <w:rFonts w:hint="eastAsia" w:ascii="Times New Roman" w:hAnsi="宋体" w:cs="宋体"/>
    </w:rPr>
  </w:style>
  <w:style w:type="paragraph" w:customStyle="1" w:styleId="1235">
    <w:name w:val="标题 2.1"/>
    <w:basedOn w:val="1"/>
    <w:qFormat/>
    <w:uiPriority w:val="0"/>
    <w:pPr>
      <w:spacing w:line="240" w:lineRule="auto"/>
      <w:ind w:firstLine="600" w:firstLineChars="200"/>
    </w:pPr>
    <w:rPr>
      <w:rFonts w:cs="Times New Roman"/>
      <w:sz w:val="28"/>
    </w:rPr>
  </w:style>
  <w:style w:type="character" w:customStyle="1" w:styleId="1236">
    <w:name w:val="标准正文 Char"/>
    <w:autoRedefine/>
    <w:qFormat/>
    <w:locked/>
    <w:uiPriority w:val="0"/>
    <w:rPr>
      <w:rFonts w:ascii="楷体_GB2312" w:hAnsi="宋体" w:eastAsia="楷体_GB2312" w:cs="宋体"/>
      <w:color w:val="FF0000"/>
      <w:spacing w:val="10"/>
      <w:sz w:val="28"/>
      <w:szCs w:val="28"/>
    </w:rPr>
  </w:style>
  <w:style w:type="paragraph" w:customStyle="1" w:styleId="1237">
    <w:name w:val="样式 段前: 1.2 磅 段后: 1.2 磅 行距: 1.5 倍行距"/>
    <w:basedOn w:val="1"/>
    <w:autoRedefine/>
    <w:qFormat/>
    <w:uiPriority w:val="0"/>
    <w:pPr>
      <w:adjustRightInd w:val="0"/>
      <w:snapToGrid w:val="0"/>
      <w:spacing w:beforeLines="10" w:afterLines="10"/>
      <w:ind w:firstLine="560" w:firstLineChars="200"/>
    </w:pPr>
    <w:rPr>
      <w:rFonts w:cs="Times New Roman"/>
      <w:sz w:val="28"/>
      <w:szCs w:val="20"/>
    </w:rPr>
  </w:style>
  <w:style w:type="character" w:customStyle="1" w:styleId="1238">
    <w:name w:val="样式 正文首行缩进 + 小四 首行缩进:  1 字符 Char"/>
    <w:link w:val="1239"/>
    <w:qFormat/>
    <w:locked/>
    <w:uiPriority w:val="0"/>
    <w:rPr>
      <w:rFonts w:ascii="宋体" w:hAnsi="宋体" w:cs="宋体"/>
      <w:sz w:val="26"/>
    </w:rPr>
  </w:style>
  <w:style w:type="paragraph" w:customStyle="1" w:styleId="1239">
    <w:name w:val="样式 正文首行缩进 + 小四 首行缩进:  1 字符"/>
    <w:basedOn w:val="67"/>
    <w:link w:val="1238"/>
    <w:qFormat/>
    <w:uiPriority w:val="0"/>
    <w:pPr>
      <w:spacing w:after="0"/>
      <w:ind w:firstLine="200" w:firstLineChars="200"/>
    </w:pPr>
    <w:rPr>
      <w:rFonts w:ascii="宋体" w:hAnsi="宋体" w:eastAsia="宋体" w:cs="宋体"/>
      <w:kern w:val="0"/>
      <w:sz w:val="26"/>
      <w:szCs w:val="20"/>
    </w:rPr>
  </w:style>
  <w:style w:type="paragraph" w:customStyle="1" w:styleId="1240">
    <w:name w:val="xl115"/>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kern w:val="0"/>
      <w:sz w:val="20"/>
      <w:szCs w:val="20"/>
    </w:rPr>
  </w:style>
  <w:style w:type="paragraph" w:customStyle="1" w:styleId="1241">
    <w:name w:val="xl127"/>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pPr>
    <w:rPr>
      <w:kern w:val="0"/>
      <w:sz w:val="20"/>
      <w:szCs w:val="20"/>
    </w:rPr>
  </w:style>
  <w:style w:type="paragraph" w:customStyle="1" w:styleId="1242">
    <w:name w:val="表头一"/>
    <w:autoRedefine/>
    <w:qFormat/>
    <w:uiPriority w:val="0"/>
    <w:pPr>
      <w:spacing w:line="500" w:lineRule="exact"/>
      <w:jc w:val="center"/>
      <w:outlineLvl w:val="5"/>
    </w:pPr>
    <w:rPr>
      <w:rFonts w:ascii="宋体" w:hAnsi="Times New Roman" w:eastAsia="宋体" w:cs="Times New Roman"/>
      <w:b/>
      <w:kern w:val="28"/>
      <w:sz w:val="28"/>
      <w:lang w:val="en-US" w:eastAsia="zh-CN" w:bidi="ar-SA"/>
    </w:rPr>
  </w:style>
  <w:style w:type="paragraph" w:customStyle="1" w:styleId="1243">
    <w:name w:val="xl17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244">
    <w:name w:val="样式 小四 段前: 7.8 磅 行距: 多倍行距 1.25 字行"/>
    <w:basedOn w:val="1"/>
    <w:autoRedefine/>
    <w:qFormat/>
    <w:uiPriority w:val="0"/>
    <w:pPr>
      <w:spacing w:beforeLines="5" w:afterLines="25" w:line="300" w:lineRule="auto"/>
      <w:ind w:firstLine="600" w:firstLineChars="200"/>
    </w:pPr>
    <w:rPr>
      <w:szCs w:val="20"/>
    </w:rPr>
  </w:style>
  <w:style w:type="paragraph" w:customStyle="1" w:styleId="1245">
    <w:name w:val="xl16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rPr>
  </w:style>
  <w:style w:type="paragraph" w:customStyle="1" w:styleId="1246">
    <w:name w:val="xl149"/>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right"/>
    </w:pPr>
    <w:rPr>
      <w:b/>
      <w:bCs/>
      <w:kern w:val="0"/>
      <w:sz w:val="20"/>
      <w:szCs w:val="20"/>
    </w:rPr>
  </w:style>
  <w:style w:type="paragraph" w:customStyle="1" w:styleId="1247">
    <w:name w:val="xl16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pPr>
    <w:rPr>
      <w:b/>
      <w:bCs/>
      <w:kern w:val="0"/>
      <w:sz w:val="20"/>
      <w:szCs w:val="20"/>
    </w:rPr>
  </w:style>
  <w:style w:type="paragraph" w:customStyle="1" w:styleId="1248">
    <w:name w:val="xl15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right"/>
    </w:pPr>
    <w:rPr>
      <w:b/>
      <w:bCs/>
      <w:kern w:val="0"/>
      <w:sz w:val="20"/>
      <w:szCs w:val="20"/>
    </w:rPr>
  </w:style>
  <w:style w:type="paragraph" w:customStyle="1" w:styleId="1249">
    <w:name w:val="样式 宋体 小四 行距: 固定值 24 磅"/>
    <w:basedOn w:val="1"/>
    <w:autoRedefine/>
    <w:qFormat/>
    <w:uiPriority w:val="0"/>
    <w:pPr>
      <w:spacing w:line="480" w:lineRule="exact"/>
      <w:ind w:firstLine="480" w:firstLineChars="200"/>
    </w:pPr>
    <w:rPr>
      <w:sz w:val="28"/>
      <w:szCs w:val="20"/>
    </w:rPr>
  </w:style>
  <w:style w:type="paragraph" w:customStyle="1" w:styleId="1250">
    <w:name w:val="样式 标准正文 + 首行缩进:  0 厘米"/>
    <w:basedOn w:val="1126"/>
    <w:autoRedefine/>
    <w:qFormat/>
    <w:uiPriority w:val="0"/>
    <w:pPr>
      <w:snapToGrid w:val="0"/>
      <w:ind w:firstLine="200"/>
    </w:pPr>
    <w:rPr>
      <w:rFonts w:hint="eastAsia"/>
      <w:snapToGrid/>
      <w:szCs w:val="20"/>
    </w:rPr>
  </w:style>
  <w:style w:type="paragraph" w:customStyle="1" w:styleId="1251">
    <w:name w:val="xl125"/>
    <w:basedOn w:val="1"/>
    <w:autoRedefine/>
    <w:qFormat/>
    <w:uiPriority w:val="0"/>
    <w:pPr>
      <w:widowControl/>
      <w:spacing w:before="100" w:beforeAutospacing="1" w:after="100" w:afterAutospacing="1" w:line="240" w:lineRule="auto"/>
      <w:ind w:firstLine="600" w:firstLineChars="200"/>
      <w:jc w:val="left"/>
    </w:pPr>
    <w:rPr>
      <w:kern w:val="0"/>
      <w:sz w:val="20"/>
      <w:szCs w:val="20"/>
    </w:rPr>
  </w:style>
  <w:style w:type="paragraph" w:customStyle="1" w:styleId="1252">
    <w:name w:val="样式 样式 左侧:  0.25 厘米 + 宋体 首行缩进:  2 字符 段前: 0.5 行 段后: 0.5 行"/>
    <w:basedOn w:val="1"/>
    <w:autoRedefine/>
    <w:qFormat/>
    <w:uiPriority w:val="0"/>
    <w:pPr>
      <w:autoSpaceDE w:val="0"/>
      <w:autoSpaceDN w:val="0"/>
      <w:adjustRightInd w:val="0"/>
      <w:ind w:left="142" w:firstLine="200" w:firstLineChars="200"/>
    </w:pPr>
    <w:rPr>
      <w:rFonts w:cs="Times New Roman"/>
      <w:kern w:val="0"/>
      <w:sz w:val="28"/>
      <w:szCs w:val="20"/>
    </w:rPr>
  </w:style>
  <w:style w:type="paragraph" w:customStyle="1" w:styleId="1253">
    <w:name w:val="azgr正文"/>
    <w:basedOn w:val="1"/>
    <w:autoRedefine/>
    <w:qFormat/>
    <w:uiPriority w:val="0"/>
    <w:pPr>
      <w:widowControl/>
      <w:tabs>
        <w:tab w:val="left" w:pos="432"/>
        <w:tab w:val="left" w:pos="567"/>
      </w:tabs>
      <w:autoSpaceDE w:val="0"/>
      <w:autoSpaceDN w:val="0"/>
      <w:adjustRightInd w:val="0"/>
      <w:spacing w:beforeLines="50"/>
      <w:ind w:left="432" w:firstLine="200" w:firstLineChars="200"/>
    </w:pPr>
    <w:rPr>
      <w:rFonts w:cs="Times New Roman"/>
      <w:kern w:val="0"/>
    </w:rPr>
  </w:style>
  <w:style w:type="paragraph" w:customStyle="1" w:styleId="1254">
    <w:name w:val="样式 标准正文 + 首行缩进:  2 字符"/>
    <w:basedOn w:val="1126"/>
    <w:autoRedefine/>
    <w:qFormat/>
    <w:uiPriority w:val="0"/>
    <w:pPr>
      <w:snapToGrid w:val="0"/>
      <w:ind w:firstLine="200"/>
    </w:pPr>
    <w:rPr>
      <w:rFonts w:hint="eastAsia"/>
      <w:snapToGrid/>
      <w:szCs w:val="20"/>
    </w:rPr>
  </w:style>
  <w:style w:type="paragraph" w:customStyle="1" w:styleId="1255">
    <w:name w:val="样式 样式 标题 1 + 四号 + (符号) 宋体 小三 段前: 12 磅 段后: 12 磅"/>
    <w:autoRedefine/>
    <w:qFormat/>
    <w:uiPriority w:val="0"/>
    <w:pPr>
      <w:spacing w:before="240" w:after="240"/>
    </w:pPr>
    <w:rPr>
      <w:rFonts w:ascii="Times New Roman" w:hAnsi="宋体" w:eastAsia="宋体" w:cs="宋体"/>
      <w:sz w:val="30"/>
      <w:lang w:val="en-US" w:eastAsia="zh-CN" w:bidi="ar-SA"/>
    </w:rPr>
  </w:style>
  <w:style w:type="paragraph" w:customStyle="1" w:styleId="1256">
    <w:name w:val="样式 标题 4 + Times New Roman 小四 段前: 2.4 磅 段后: 2.4 磅 行距: 1.5 倍行距"/>
    <w:basedOn w:val="6"/>
    <w:autoRedefine/>
    <w:qFormat/>
    <w:uiPriority w:val="0"/>
    <w:pPr>
      <w:keepNext/>
      <w:keepLines/>
      <w:tabs>
        <w:tab w:val="left" w:pos="0"/>
        <w:tab w:val="left" w:pos="864"/>
        <w:tab w:val="clear" w:pos="525"/>
      </w:tabs>
      <w:adjustRightInd w:val="0"/>
      <w:snapToGrid w:val="0"/>
      <w:spacing w:beforeLines="10" w:afterLines="10"/>
      <w:ind w:left="864" w:hanging="864"/>
      <w:jc w:val="left"/>
    </w:pPr>
    <w:rPr>
      <w:bCs/>
      <w:sz w:val="28"/>
      <w:szCs w:val="20"/>
    </w:rPr>
  </w:style>
  <w:style w:type="paragraph" w:customStyle="1" w:styleId="1257">
    <w:name w:val="样式 标题 1 + 宋体 居中"/>
    <w:basedOn w:val="3"/>
    <w:autoRedefine/>
    <w:qFormat/>
    <w:uiPriority w:val="0"/>
    <w:pPr>
      <w:tabs>
        <w:tab w:val="left" w:pos="420"/>
      </w:tabs>
      <w:snapToGrid w:val="0"/>
      <w:spacing w:beforeLines="200"/>
    </w:pPr>
    <w:rPr>
      <w:rFonts w:eastAsia="黑体"/>
      <w:b w:val="0"/>
      <w:bCs/>
      <w:szCs w:val="20"/>
    </w:rPr>
  </w:style>
  <w:style w:type="character" w:customStyle="1" w:styleId="1258">
    <w:name w:val="样式 标题 3头小节标题 + Times New Roman Char"/>
    <w:link w:val="1259"/>
    <w:autoRedefine/>
    <w:qFormat/>
    <w:locked/>
    <w:uiPriority w:val="0"/>
    <w:rPr>
      <w:b/>
      <w:bCs/>
      <w:sz w:val="30"/>
      <w:szCs w:val="32"/>
    </w:rPr>
  </w:style>
  <w:style w:type="paragraph" w:customStyle="1" w:styleId="1259">
    <w:name w:val="样式 标题 3头小节标题 + Times New Roman"/>
    <w:basedOn w:val="5"/>
    <w:link w:val="1258"/>
    <w:autoRedefine/>
    <w:qFormat/>
    <w:uiPriority w:val="0"/>
    <w:pPr>
      <w:tabs>
        <w:tab w:val="left" w:pos="0"/>
        <w:tab w:val="left" w:pos="420"/>
        <w:tab w:val="left" w:pos="720"/>
      </w:tabs>
      <w:autoSpaceDE w:val="0"/>
      <w:autoSpaceDN w:val="0"/>
      <w:spacing w:before="120" w:after="120" w:line="360" w:lineRule="auto"/>
      <w:ind w:left="720" w:hanging="720"/>
      <w:jc w:val="left"/>
    </w:pPr>
    <w:rPr>
      <w:rFonts w:cs="Times New Roman"/>
      <w:bCs/>
      <w:kern w:val="0"/>
      <w:sz w:val="30"/>
      <w:szCs w:val="32"/>
    </w:rPr>
  </w:style>
  <w:style w:type="paragraph" w:customStyle="1" w:styleId="1260">
    <w:name w:val="样式 标题 2 + 左侧:  0 厘米 首行缩进:  0 厘米"/>
    <w:basedOn w:val="4"/>
    <w:autoRedefine/>
    <w:qFormat/>
    <w:uiPriority w:val="0"/>
    <w:pPr>
      <w:tabs>
        <w:tab w:val="left" w:pos="0"/>
        <w:tab w:val="left" w:pos="420"/>
        <w:tab w:val="left" w:pos="576"/>
      </w:tabs>
      <w:spacing w:line="412" w:lineRule="auto"/>
      <w:ind w:left="576" w:hanging="576"/>
      <w:jc w:val="left"/>
    </w:pPr>
    <w:rPr>
      <w:rFonts w:ascii="Times New Roman" w:hAnsi="Times New Roman" w:eastAsia="宋体"/>
      <w:b w:val="0"/>
      <w:bCs/>
      <w:sz w:val="30"/>
      <w:szCs w:val="20"/>
    </w:rPr>
  </w:style>
  <w:style w:type="paragraph" w:customStyle="1" w:styleId="1261">
    <w:name w:val="普通(Web)"/>
    <w:basedOn w:val="1"/>
    <w:autoRedefine/>
    <w:qFormat/>
    <w:uiPriority w:val="0"/>
    <w:pPr>
      <w:adjustRightInd w:val="0"/>
      <w:spacing w:line="312" w:lineRule="atLeast"/>
      <w:ind w:firstLine="600" w:firstLineChars="200"/>
    </w:pPr>
    <w:rPr>
      <w:rFonts w:eastAsia="仿宋_GB2312" w:cs="Times New Roman"/>
      <w:kern w:val="0"/>
    </w:rPr>
  </w:style>
  <w:style w:type="paragraph" w:customStyle="1" w:styleId="1262">
    <w:name w:val="xl11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kern w:val="0"/>
      <w:sz w:val="20"/>
      <w:szCs w:val="20"/>
    </w:rPr>
  </w:style>
  <w:style w:type="paragraph" w:customStyle="1" w:styleId="1263">
    <w:name w:val="xl148"/>
    <w:basedOn w:val="1"/>
    <w:autoRedefine/>
    <w:qFormat/>
    <w:uiPriority w:val="0"/>
    <w:pPr>
      <w:widowControl/>
      <w:spacing w:before="100" w:beforeAutospacing="1" w:after="100" w:afterAutospacing="1" w:line="240" w:lineRule="auto"/>
      <w:ind w:firstLine="600" w:firstLineChars="200"/>
      <w:jc w:val="left"/>
    </w:pPr>
    <w:rPr>
      <w:b/>
      <w:bCs/>
      <w:kern w:val="0"/>
      <w:sz w:val="22"/>
      <w:szCs w:val="22"/>
    </w:rPr>
  </w:style>
  <w:style w:type="paragraph" w:customStyle="1" w:styleId="1264">
    <w:name w:val="样式 宋体 四号 居中"/>
    <w:basedOn w:val="1"/>
    <w:autoRedefine/>
    <w:qFormat/>
    <w:uiPriority w:val="0"/>
    <w:pPr>
      <w:spacing w:line="240" w:lineRule="auto"/>
      <w:ind w:firstLine="600" w:firstLineChars="200"/>
    </w:pPr>
    <w:rPr>
      <w:rFonts w:eastAsia="黑体"/>
      <w:szCs w:val="20"/>
    </w:rPr>
  </w:style>
  <w:style w:type="paragraph" w:customStyle="1" w:styleId="1265">
    <w:name w:val="xl120"/>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jc w:val="right"/>
    </w:pPr>
    <w:rPr>
      <w:kern w:val="0"/>
      <w:sz w:val="20"/>
      <w:szCs w:val="20"/>
    </w:rPr>
  </w:style>
  <w:style w:type="paragraph" w:customStyle="1" w:styleId="1266">
    <w:name w:val="xl113"/>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line="240" w:lineRule="auto"/>
      <w:ind w:firstLine="600" w:firstLineChars="200"/>
    </w:pPr>
    <w:rPr>
      <w:kern w:val="0"/>
      <w:sz w:val="20"/>
      <w:szCs w:val="20"/>
    </w:rPr>
  </w:style>
  <w:style w:type="paragraph" w:customStyle="1" w:styleId="1267">
    <w:name w:val="xl16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character" w:customStyle="1" w:styleId="1268">
    <w:name w:val="标准表头 Char"/>
    <w:autoRedefine/>
    <w:qFormat/>
    <w:locked/>
    <w:uiPriority w:val="0"/>
    <w:rPr>
      <w:rFonts w:ascii="楷体_GB2312" w:hAnsi="宋体" w:eastAsia="楷体_GB2312" w:cs="宋体"/>
      <w:b/>
      <w:bCs/>
      <w:color w:val="FF0000"/>
      <w:spacing w:val="10"/>
      <w:kern w:val="2"/>
      <w:sz w:val="24"/>
      <w:szCs w:val="28"/>
      <w:lang w:val="en-US" w:eastAsia="zh-CN" w:bidi="ar-SA"/>
    </w:rPr>
  </w:style>
  <w:style w:type="paragraph" w:customStyle="1" w:styleId="1269">
    <w:name w:val="xl112"/>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kern w:val="0"/>
      <w:sz w:val="20"/>
      <w:szCs w:val="20"/>
    </w:rPr>
  </w:style>
  <w:style w:type="paragraph" w:customStyle="1" w:styleId="1270">
    <w:name w:val="xl151"/>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271">
    <w:name w:val="样式 首行缩进:  0.99 厘米 段前: 2.4 磅 段后: 2.4 磅 行距: 1.5 倍行距1"/>
    <w:basedOn w:val="1"/>
    <w:autoRedefine/>
    <w:qFormat/>
    <w:uiPriority w:val="0"/>
    <w:pPr>
      <w:adjustRightInd w:val="0"/>
      <w:snapToGrid w:val="0"/>
      <w:spacing w:beforeLines="20" w:afterLines="20"/>
      <w:ind w:firstLine="480" w:firstLineChars="200"/>
    </w:pPr>
    <w:rPr>
      <w:rFonts w:cs="Times New Roman"/>
    </w:rPr>
  </w:style>
  <w:style w:type="paragraph" w:customStyle="1" w:styleId="1272">
    <w:name w:val="xl118"/>
    <w:basedOn w:val="1"/>
    <w:autoRedefine/>
    <w:qFormat/>
    <w:uiPriority w:val="0"/>
    <w:pPr>
      <w:widowControl/>
      <w:pBdr>
        <w:bottom w:val="single" w:color="auto" w:sz="4" w:space="0"/>
      </w:pBdr>
      <w:spacing w:before="100" w:beforeAutospacing="1" w:after="100" w:afterAutospacing="1" w:line="240" w:lineRule="auto"/>
      <w:ind w:firstLine="600" w:firstLineChars="200"/>
      <w:jc w:val="left"/>
    </w:pPr>
    <w:rPr>
      <w:kern w:val="0"/>
      <w:sz w:val="20"/>
      <w:szCs w:val="20"/>
    </w:rPr>
  </w:style>
  <w:style w:type="paragraph" w:customStyle="1" w:styleId="1273">
    <w:name w:val="样式 样式 正文文本缩进 + 段前: 1 行 段后: 1 行 + 段前: 1 行 段后: 1 行"/>
    <w:basedOn w:val="1"/>
    <w:autoRedefine/>
    <w:qFormat/>
    <w:uiPriority w:val="0"/>
    <w:pPr>
      <w:adjustRightInd w:val="0"/>
      <w:snapToGrid w:val="0"/>
      <w:spacing w:beforeLines="20" w:afterLines="20"/>
      <w:ind w:firstLine="560" w:firstLineChars="200"/>
    </w:pPr>
    <w:rPr>
      <w:sz w:val="28"/>
      <w:szCs w:val="28"/>
    </w:rPr>
  </w:style>
  <w:style w:type="paragraph" w:customStyle="1" w:styleId="1274">
    <w:name w:val="xl155"/>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275">
    <w:name w:val="xl130"/>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kern w:val="0"/>
      <w:sz w:val="20"/>
      <w:szCs w:val="20"/>
    </w:rPr>
  </w:style>
  <w:style w:type="paragraph" w:customStyle="1" w:styleId="1276">
    <w:name w:val="样式 仿宋_GB2312 四号 首行缩进:  1 厘米 行距: 1.5 倍行距"/>
    <w:basedOn w:val="1"/>
    <w:autoRedefine/>
    <w:qFormat/>
    <w:uiPriority w:val="0"/>
    <w:pPr>
      <w:ind w:left="567" w:firstLine="600" w:firstLineChars="200"/>
    </w:pPr>
    <w:rPr>
      <w:rFonts w:ascii="仿宋_GB2312" w:eastAsia="仿宋_GB2312" w:cs="Times New Roman"/>
      <w:szCs w:val="20"/>
    </w:rPr>
  </w:style>
  <w:style w:type="paragraph" w:customStyle="1" w:styleId="1277">
    <w:name w:val="样式 (符号) 宋体 居中"/>
    <w:basedOn w:val="1"/>
    <w:autoRedefine/>
    <w:qFormat/>
    <w:uiPriority w:val="0"/>
    <w:pPr>
      <w:spacing w:line="240" w:lineRule="auto"/>
      <w:ind w:firstLine="600" w:firstLineChars="200"/>
    </w:pPr>
    <w:rPr>
      <w:kern w:val="0"/>
      <w:sz w:val="28"/>
      <w:szCs w:val="20"/>
    </w:rPr>
  </w:style>
  <w:style w:type="paragraph" w:customStyle="1" w:styleId="1278">
    <w:name w:val="样式 样式 正文1 + 两端对齐 + 首行缩进:  2 字符"/>
    <w:basedOn w:val="1"/>
    <w:autoRedefine/>
    <w:qFormat/>
    <w:uiPriority w:val="0"/>
    <w:pPr>
      <w:tabs>
        <w:tab w:val="left" w:pos="567"/>
      </w:tabs>
      <w:adjustRightInd w:val="0"/>
      <w:ind w:firstLine="560" w:firstLineChars="200"/>
    </w:pPr>
    <w:rPr>
      <w:kern w:val="0"/>
      <w:sz w:val="28"/>
      <w:szCs w:val="20"/>
    </w:rPr>
  </w:style>
  <w:style w:type="paragraph" w:customStyle="1" w:styleId="1279">
    <w:name w:val="_Style 11"/>
    <w:basedOn w:val="1"/>
    <w:autoRedefine/>
    <w:qFormat/>
    <w:uiPriority w:val="0"/>
    <w:pPr>
      <w:spacing w:line="240" w:lineRule="auto"/>
      <w:ind w:firstLine="200" w:firstLineChars="200"/>
    </w:pPr>
    <w:rPr>
      <w:rFonts w:cs="Times New Roman"/>
      <w:kern w:val="0"/>
      <w:szCs w:val="20"/>
    </w:rPr>
  </w:style>
  <w:style w:type="paragraph" w:customStyle="1" w:styleId="1280">
    <w:name w:val="xl15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b/>
      <w:bCs/>
      <w:kern w:val="0"/>
      <w:sz w:val="20"/>
      <w:szCs w:val="20"/>
    </w:rPr>
  </w:style>
  <w:style w:type="paragraph" w:customStyle="1" w:styleId="1281">
    <w:name w:val="xl129"/>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kern w:val="0"/>
      <w:sz w:val="20"/>
      <w:szCs w:val="20"/>
    </w:rPr>
  </w:style>
  <w:style w:type="paragraph" w:customStyle="1" w:styleId="1282">
    <w:name w:val="xl175"/>
    <w:basedOn w:val="1"/>
    <w:autoRedefine/>
    <w:qFormat/>
    <w:uiPriority w:val="0"/>
    <w:pPr>
      <w:widowControl/>
      <w:pBdr>
        <w:top w:val="single" w:color="auto" w:sz="4" w:space="0"/>
        <w:right w:val="single" w:color="auto" w:sz="4" w:space="0"/>
      </w:pBdr>
      <w:spacing w:before="100" w:beforeAutospacing="1" w:after="100" w:afterAutospacing="1" w:line="240" w:lineRule="auto"/>
      <w:ind w:firstLine="600" w:firstLineChars="200"/>
    </w:pPr>
    <w:rPr>
      <w:kern w:val="0"/>
      <w:sz w:val="20"/>
      <w:szCs w:val="20"/>
    </w:rPr>
  </w:style>
  <w:style w:type="paragraph" w:customStyle="1" w:styleId="1283">
    <w:name w:val="xl12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jc w:val="left"/>
    </w:pPr>
    <w:rPr>
      <w:kern w:val="0"/>
      <w:sz w:val="20"/>
      <w:szCs w:val="20"/>
    </w:rPr>
  </w:style>
  <w:style w:type="paragraph" w:customStyle="1" w:styleId="1284">
    <w:name w:val="样式 标准正文 + 首行缩进:  2 字符1"/>
    <w:basedOn w:val="1126"/>
    <w:autoRedefine/>
    <w:qFormat/>
    <w:uiPriority w:val="0"/>
    <w:pPr>
      <w:snapToGrid w:val="0"/>
      <w:ind w:firstLine="200"/>
    </w:pPr>
    <w:rPr>
      <w:rFonts w:hint="eastAsia"/>
      <w:snapToGrid/>
      <w:szCs w:val="20"/>
    </w:rPr>
  </w:style>
  <w:style w:type="paragraph" w:customStyle="1" w:styleId="1285">
    <w:name w:val="xl177"/>
    <w:basedOn w:val="1"/>
    <w:autoRedefine/>
    <w:qFormat/>
    <w:uiPriority w:val="0"/>
    <w:pPr>
      <w:widowControl/>
      <w:pBdr>
        <w:bottom w:val="single" w:color="auto" w:sz="4" w:space="0"/>
      </w:pBdr>
      <w:spacing w:before="100" w:beforeAutospacing="1" w:after="100" w:afterAutospacing="1" w:line="240" w:lineRule="auto"/>
      <w:ind w:firstLine="600" w:firstLineChars="200"/>
    </w:pPr>
    <w:rPr>
      <w:kern w:val="0"/>
      <w:sz w:val="20"/>
      <w:szCs w:val="20"/>
    </w:rPr>
  </w:style>
  <w:style w:type="paragraph" w:customStyle="1" w:styleId="1286">
    <w:name w:val="xl153"/>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600" w:firstLineChars="200"/>
    </w:pPr>
    <w:rPr>
      <w:b/>
      <w:bCs/>
      <w:kern w:val="0"/>
      <w:sz w:val="20"/>
      <w:szCs w:val="20"/>
    </w:rPr>
  </w:style>
  <w:style w:type="paragraph" w:customStyle="1" w:styleId="1287">
    <w:name w:val="简单回函地址"/>
    <w:basedOn w:val="1"/>
    <w:autoRedefine/>
    <w:qFormat/>
    <w:uiPriority w:val="0"/>
    <w:pPr>
      <w:spacing w:line="240" w:lineRule="auto"/>
      <w:ind w:firstLine="200" w:firstLineChars="200"/>
    </w:pPr>
    <w:rPr>
      <w:rFonts w:cs="Times New Roman"/>
      <w:szCs w:val="20"/>
    </w:rPr>
  </w:style>
  <w:style w:type="paragraph" w:customStyle="1" w:styleId="1288">
    <w:name w:val="设计标题2"/>
    <w:basedOn w:val="1"/>
    <w:autoRedefine/>
    <w:qFormat/>
    <w:uiPriority w:val="0"/>
    <w:pPr>
      <w:keepNext/>
      <w:keepLines/>
      <w:adjustRightInd w:val="0"/>
      <w:snapToGrid w:val="0"/>
      <w:ind w:firstLine="600" w:firstLineChars="200"/>
      <w:jc w:val="left"/>
      <w:outlineLvl w:val="1"/>
    </w:pPr>
    <w:rPr>
      <w:rFonts w:cs="Times New Roman"/>
      <w:b/>
      <w:kern w:val="0"/>
      <w:sz w:val="28"/>
      <w:szCs w:val="20"/>
    </w:rPr>
  </w:style>
  <w:style w:type="character" w:customStyle="1" w:styleId="1289">
    <w:name w:val="正文（首行缩进两字） Char3"/>
    <w:autoRedefine/>
    <w:qFormat/>
    <w:uiPriority w:val="0"/>
    <w:rPr>
      <w:rFonts w:hint="eastAsia" w:ascii="仿宋_GB2312" w:eastAsia="仿宋_GB2312"/>
      <w:sz w:val="32"/>
      <w:lang w:val="en-US" w:eastAsia="zh-CN" w:bidi="ar-SA"/>
    </w:rPr>
  </w:style>
  <w:style w:type="character" w:customStyle="1" w:styleId="1290">
    <w:name w:val="正文（首行缩进两字） Char2"/>
    <w:autoRedefine/>
    <w:qFormat/>
    <w:uiPriority w:val="0"/>
    <w:rPr>
      <w:rFonts w:hint="eastAsia" w:ascii="仿宋_GB2312" w:eastAsia="仿宋_GB2312"/>
      <w:sz w:val="32"/>
      <w:lang w:val="en-US" w:eastAsia="zh-CN" w:bidi="ar-SA"/>
    </w:rPr>
  </w:style>
  <w:style w:type="character" w:customStyle="1" w:styleId="1291">
    <w:name w:val="new1"/>
    <w:autoRedefine/>
    <w:qFormat/>
    <w:uiPriority w:val="0"/>
    <w:rPr>
      <w:color w:val="274F00"/>
      <w:sz w:val="24"/>
      <w:szCs w:val="24"/>
    </w:rPr>
  </w:style>
  <w:style w:type="character" w:customStyle="1" w:styleId="1292">
    <w:name w:val="节 Char Char"/>
    <w:autoRedefine/>
    <w:qFormat/>
    <w:uiPriority w:val="0"/>
    <w:rPr>
      <w:rFonts w:hint="default" w:ascii="Arial" w:hAnsi="Arial" w:eastAsia="黑体" w:cs="Arial"/>
      <w:b/>
      <w:sz w:val="32"/>
      <w:lang w:val="en-US" w:eastAsia="zh-CN" w:bidi="ar-SA"/>
    </w:rPr>
  </w:style>
  <w:style w:type="character" w:customStyle="1" w:styleId="1293">
    <w:name w:val="标准正文 Char Char Char"/>
    <w:autoRedefine/>
    <w:qFormat/>
    <w:uiPriority w:val="0"/>
    <w:rPr>
      <w:rFonts w:hint="eastAsia" w:ascii="宋体" w:hAnsi="宋体" w:eastAsia="宋体" w:cs="宋体"/>
      <w:snapToGrid w:val="0"/>
      <w:spacing w:val="10"/>
      <w:sz w:val="24"/>
      <w:szCs w:val="28"/>
      <w:lang w:val="en-US" w:eastAsia="zh-CN" w:bidi="ar-SA"/>
    </w:rPr>
  </w:style>
  <w:style w:type="character" w:customStyle="1" w:styleId="1294">
    <w:name w:val="标准正文 Char Char Char Char"/>
    <w:autoRedefine/>
    <w:qFormat/>
    <w:uiPriority w:val="0"/>
    <w:rPr>
      <w:rFonts w:hint="eastAsia" w:ascii="宋体" w:hAnsi="宋体" w:eastAsia="宋体" w:cs="宋体"/>
      <w:kern w:val="2"/>
      <w:sz w:val="24"/>
      <w:lang w:val="en-US" w:eastAsia="zh-CN" w:bidi="ar-SA"/>
    </w:rPr>
  </w:style>
  <w:style w:type="character" w:customStyle="1" w:styleId="1295">
    <w:name w:val="表格文字 Char Char"/>
    <w:autoRedefine/>
    <w:qFormat/>
    <w:uiPriority w:val="0"/>
    <w:rPr>
      <w:rFonts w:hint="eastAsia" w:ascii="宋体" w:hAnsi="宋体" w:eastAsia="宋体" w:cs="宋体"/>
      <w:snapToGrid w:val="0"/>
      <w:spacing w:val="10"/>
      <w:kern w:val="2"/>
      <w:sz w:val="21"/>
      <w:szCs w:val="24"/>
      <w:lang w:val="en-US" w:eastAsia="zh-CN" w:bidi="ar-SA"/>
    </w:rPr>
  </w:style>
  <w:style w:type="character" w:customStyle="1" w:styleId="1296">
    <w:name w:val="body1"/>
    <w:autoRedefine/>
    <w:qFormat/>
    <w:uiPriority w:val="0"/>
    <w:rPr>
      <w:rFonts w:hint="default" w:ascii="Times New Roman" w:hAnsi="Times New Roman" w:eastAsia="宋体" w:cs="Times New Roman"/>
      <w:color w:val="000000"/>
      <w:sz w:val="28"/>
      <w:szCs w:val="27"/>
    </w:rPr>
  </w:style>
  <w:style w:type="character" w:customStyle="1" w:styleId="1297">
    <w:name w:val="四 Char Char"/>
    <w:autoRedefine/>
    <w:qFormat/>
    <w:uiPriority w:val="0"/>
    <w:rPr>
      <w:rFonts w:hint="default" w:ascii="Arial" w:hAnsi="Arial" w:eastAsia="黑体" w:cs="Times New Roman"/>
      <w:b/>
      <w:bCs/>
      <w:sz w:val="28"/>
      <w:szCs w:val="28"/>
    </w:rPr>
  </w:style>
  <w:style w:type="paragraph" w:customStyle="1" w:styleId="1298">
    <w:name w:val="样式 标准正文 + 两端对齐"/>
    <w:basedOn w:val="1"/>
    <w:link w:val="1299"/>
    <w:autoRedefine/>
    <w:qFormat/>
    <w:uiPriority w:val="0"/>
    <w:pPr>
      <w:adjustRightInd w:val="0"/>
      <w:ind w:firstLine="200" w:firstLineChars="200"/>
    </w:pPr>
    <w:rPr>
      <w:rFonts w:cs="Times New Roman"/>
      <w:spacing w:val="10"/>
      <w:kern w:val="0"/>
      <w:szCs w:val="20"/>
    </w:rPr>
  </w:style>
  <w:style w:type="character" w:customStyle="1" w:styleId="1299">
    <w:name w:val="样式 标准正文 + 两端对齐 Char Char"/>
    <w:link w:val="1298"/>
    <w:autoRedefine/>
    <w:qFormat/>
    <w:locked/>
    <w:uiPriority w:val="0"/>
    <w:rPr>
      <w:spacing w:val="10"/>
      <w:sz w:val="24"/>
      <w:lang w:val="zh-CN" w:eastAsia="zh-CN"/>
    </w:rPr>
  </w:style>
  <w:style w:type="character" w:customStyle="1" w:styleId="1300">
    <w:name w:val="f141"/>
    <w:autoRedefine/>
    <w:qFormat/>
    <w:uiPriority w:val="0"/>
    <w:rPr>
      <w:sz w:val="28"/>
    </w:rPr>
  </w:style>
  <w:style w:type="paragraph" w:customStyle="1" w:styleId="1301">
    <w:name w:val="表头3"/>
    <w:basedOn w:val="291"/>
    <w:autoRedefine/>
    <w:qFormat/>
    <w:uiPriority w:val="0"/>
    <w:pPr>
      <w:tabs>
        <w:tab w:val="clear" w:pos="605"/>
      </w:tabs>
      <w:snapToGrid/>
      <w:spacing w:line="360" w:lineRule="auto"/>
      <w:jc w:val="right"/>
    </w:pPr>
    <w:rPr>
      <w:rFonts w:eastAsia="仿宋_GB2312"/>
      <w:color w:val="000000"/>
      <w:sz w:val="21"/>
      <w:szCs w:val="20"/>
    </w:rPr>
  </w:style>
  <w:style w:type="character" w:customStyle="1" w:styleId="1302">
    <w:name w:val="表格文字 Char Char Char"/>
    <w:autoRedefine/>
    <w:qFormat/>
    <w:uiPriority w:val="0"/>
    <w:rPr>
      <w:rFonts w:hint="eastAsia" w:ascii="宋体" w:hAnsi="宋体" w:eastAsia="宋体" w:cs="宋体"/>
      <w:snapToGrid w:val="0"/>
      <w:spacing w:val="10"/>
      <w:sz w:val="21"/>
      <w:szCs w:val="28"/>
      <w:lang w:val="en-US" w:eastAsia="zh-CN" w:bidi="ar-SA"/>
    </w:rPr>
  </w:style>
  <w:style w:type="character" w:customStyle="1" w:styleId="1303">
    <w:name w:val="标准表头 Char Char Char"/>
    <w:autoRedefine/>
    <w:qFormat/>
    <w:uiPriority w:val="0"/>
    <w:rPr>
      <w:rFonts w:hint="eastAsia" w:ascii="宋体" w:hAnsi="宋体" w:eastAsia="宋体" w:cs="宋体"/>
      <w:b/>
      <w:bCs/>
      <w:snapToGrid w:val="0"/>
      <w:spacing w:val="10"/>
      <w:sz w:val="24"/>
      <w:szCs w:val="28"/>
      <w:lang w:val="en-US" w:eastAsia="zh-CN" w:bidi="ar-SA"/>
    </w:rPr>
  </w:style>
  <w:style w:type="paragraph" w:customStyle="1" w:styleId="1304">
    <w:name w:val="样式 表格文字 + 小四 两端对齐"/>
    <w:basedOn w:val="37"/>
    <w:autoRedefine/>
    <w:qFormat/>
    <w:uiPriority w:val="0"/>
    <w:pPr>
      <w:spacing w:line="360" w:lineRule="auto"/>
      <w:ind w:firstLine="600" w:firstLineChars="200"/>
    </w:pPr>
    <w:rPr>
      <w:rFonts w:ascii="Times New Roman" w:hAnsi="Times New Roman" w:cs="宋体"/>
      <w:spacing w:val="10"/>
      <w:kern w:val="2"/>
      <w:sz w:val="24"/>
      <w:szCs w:val="20"/>
      <w:lang w:val="en-US"/>
    </w:rPr>
  </w:style>
  <w:style w:type="paragraph" w:customStyle="1" w:styleId="1305">
    <w:name w:val="表名称1"/>
    <w:basedOn w:val="1180"/>
    <w:autoRedefine/>
    <w:qFormat/>
    <w:uiPriority w:val="0"/>
    <w:pPr>
      <w:tabs>
        <w:tab w:val="clear" w:pos="8640"/>
      </w:tabs>
      <w:ind w:right="45" w:firstLine="0" w:firstLineChars="0"/>
      <w:jc w:val="right"/>
    </w:pPr>
    <w:rPr>
      <w:rFonts w:ascii="宋体" w:hAnsi="Times New Roman"/>
      <w:b w:val="0"/>
      <w:color w:val="FF0000"/>
      <w:szCs w:val="28"/>
      <w:u w:val="none"/>
    </w:rPr>
  </w:style>
  <w:style w:type="paragraph" w:customStyle="1" w:styleId="1306">
    <w:name w:val="正文首缩"/>
    <w:basedOn w:val="1"/>
    <w:next w:val="6"/>
    <w:autoRedefine/>
    <w:qFormat/>
    <w:uiPriority w:val="0"/>
    <w:pPr>
      <w:adjustRightInd w:val="0"/>
      <w:spacing w:line="326" w:lineRule="auto"/>
      <w:ind w:firstLine="556" w:firstLineChars="200"/>
      <w:jc w:val="left"/>
      <w:textAlignment w:val="baseline"/>
    </w:pPr>
    <w:rPr>
      <w:rFonts w:cs="Times New Roman"/>
      <w:kern w:val="0"/>
      <w:sz w:val="28"/>
      <w:szCs w:val="20"/>
    </w:rPr>
  </w:style>
  <w:style w:type="paragraph" w:customStyle="1" w:styleId="1307">
    <w:name w:val="样式4-2"/>
    <w:autoRedefine/>
    <w:qFormat/>
    <w:uiPriority w:val="0"/>
    <w:pPr>
      <w:spacing w:line="320" w:lineRule="exact"/>
      <w:jc w:val="center"/>
      <w:outlineLvl w:val="5"/>
    </w:pPr>
    <w:rPr>
      <w:rFonts w:ascii="宋体" w:hAnsi="Times New Roman" w:eastAsia="宋体" w:cs="Times New Roman"/>
      <w:kern w:val="24"/>
      <w:sz w:val="24"/>
      <w:lang w:val="en-US" w:eastAsia="zh-CN" w:bidi="ar-SA"/>
    </w:rPr>
  </w:style>
  <w:style w:type="paragraph" w:customStyle="1" w:styleId="1308">
    <w:name w:val="正文英"/>
    <w:basedOn w:val="1"/>
    <w:autoRedefine/>
    <w:qFormat/>
    <w:uiPriority w:val="0"/>
    <w:pPr>
      <w:autoSpaceDE w:val="0"/>
      <w:autoSpaceDN w:val="0"/>
      <w:adjustRightInd w:val="0"/>
      <w:spacing w:line="300" w:lineRule="auto"/>
      <w:ind w:firstLine="600" w:firstLineChars="200"/>
      <w:textAlignment w:val="baseline"/>
    </w:pPr>
    <w:rPr>
      <w:rFonts w:cs="Times New Roman"/>
      <w:kern w:val="0"/>
      <w:sz w:val="28"/>
      <w:szCs w:val="20"/>
    </w:rPr>
  </w:style>
  <w:style w:type="paragraph" w:customStyle="1" w:styleId="1309">
    <w:name w:val="样式 列表 + 左侧:  0 厘米 悬挂缩进: 2 字符1"/>
    <w:basedOn w:val="52"/>
    <w:autoRedefine/>
    <w:qFormat/>
    <w:uiPriority w:val="0"/>
    <w:pPr>
      <w:ind w:left="0" w:firstLine="0" w:firstLineChars="0"/>
    </w:pPr>
    <w:rPr>
      <w:rFonts w:cs="宋体"/>
      <w:sz w:val="18"/>
    </w:rPr>
  </w:style>
  <w:style w:type="paragraph" w:customStyle="1" w:styleId="1310">
    <w:name w:val="总目录"/>
    <w:basedOn w:val="1"/>
    <w:autoRedefine/>
    <w:qFormat/>
    <w:uiPriority w:val="0"/>
    <w:pPr>
      <w:widowControl/>
      <w:tabs>
        <w:tab w:val="left" w:pos="8640"/>
      </w:tabs>
      <w:autoSpaceDE w:val="0"/>
      <w:autoSpaceDN w:val="0"/>
      <w:spacing w:before="120" w:line="264" w:lineRule="auto"/>
      <w:ind w:right="6" w:firstLine="567" w:firstLineChars="200"/>
      <w:textAlignment w:val="bottom"/>
    </w:pPr>
    <w:rPr>
      <w:rFonts w:eastAsia="仿宋_GB2312" w:cs="Times New Roman"/>
      <w:kern w:val="0"/>
      <w:sz w:val="28"/>
      <w:szCs w:val="20"/>
    </w:rPr>
  </w:style>
  <w:style w:type="paragraph" w:customStyle="1" w:styleId="1311">
    <w:name w:val="缩齐"/>
    <w:basedOn w:val="1"/>
    <w:autoRedefine/>
    <w:qFormat/>
    <w:uiPriority w:val="0"/>
    <w:pPr>
      <w:widowControl/>
      <w:tabs>
        <w:tab w:val="left" w:pos="480"/>
      </w:tabs>
      <w:autoSpaceDE w:val="0"/>
      <w:autoSpaceDN w:val="0"/>
      <w:spacing w:line="264" w:lineRule="auto"/>
      <w:ind w:left="567" w:hanging="567" w:firstLineChars="200"/>
      <w:textAlignment w:val="bottom"/>
    </w:pPr>
    <w:rPr>
      <w:rFonts w:eastAsia="仿宋_GB2312" w:cs="Times New Roman"/>
      <w:kern w:val="0"/>
      <w:sz w:val="28"/>
      <w:szCs w:val="20"/>
    </w:rPr>
  </w:style>
  <w:style w:type="paragraph" w:customStyle="1" w:styleId="1312">
    <w:name w:val="Retrait2"/>
    <w:basedOn w:val="95"/>
    <w:next w:val="95"/>
    <w:autoRedefine/>
    <w:qFormat/>
    <w:uiPriority w:val="0"/>
    <w:pPr>
      <w:spacing w:after="120"/>
    </w:pPr>
    <w:rPr>
      <w:rFonts w:ascii="宋体" w:eastAsia="宋体"/>
      <w:color w:val="auto"/>
      <w:sz w:val="20"/>
    </w:rPr>
  </w:style>
  <w:style w:type="paragraph" w:customStyle="1" w:styleId="1313">
    <w:name w:val="表标识"/>
    <w:basedOn w:val="1"/>
    <w:autoRedefine/>
    <w:qFormat/>
    <w:uiPriority w:val="0"/>
    <w:pPr>
      <w:tabs>
        <w:tab w:val="left" w:pos="3240"/>
      </w:tabs>
      <w:autoSpaceDE w:val="0"/>
      <w:autoSpaceDN w:val="0"/>
      <w:adjustRightInd w:val="0"/>
      <w:spacing w:line="240" w:lineRule="auto"/>
      <w:ind w:firstLine="420" w:firstLineChars="257"/>
      <w:jc w:val="right"/>
      <w:textAlignment w:val="bottom"/>
    </w:pPr>
    <w:rPr>
      <w:rFonts w:ascii="Arial" w:hAnsi="Arial" w:eastAsia="楷体_GB2312" w:cs="Times New Roman"/>
      <w:kern w:val="0"/>
      <w:sz w:val="28"/>
      <w:szCs w:val="20"/>
    </w:rPr>
  </w:style>
  <w:style w:type="paragraph" w:customStyle="1" w:styleId="1314">
    <w:name w:val="文章正文"/>
    <w:basedOn w:val="1"/>
    <w:autoRedefine/>
    <w:qFormat/>
    <w:uiPriority w:val="0"/>
    <w:pPr>
      <w:topLinePunct/>
      <w:ind w:firstLine="200" w:firstLineChars="200"/>
      <w:jc w:val="left"/>
    </w:pPr>
    <w:rPr>
      <w:rFonts w:cs="Times New Roman"/>
      <w:sz w:val="28"/>
      <w:szCs w:val="28"/>
    </w:rPr>
  </w:style>
  <w:style w:type="paragraph" w:customStyle="1" w:styleId="1315">
    <w:name w:val="album-div1"/>
    <w:basedOn w:val="1"/>
    <w:autoRedefine/>
    <w:qFormat/>
    <w:uiPriority w:val="0"/>
    <w:pPr>
      <w:widowControl/>
      <w:shd w:val="clear" w:color="auto" w:fill="FFFFFF"/>
      <w:spacing w:before="100" w:beforeAutospacing="1" w:after="100" w:afterAutospacing="1" w:line="240" w:lineRule="auto"/>
      <w:ind w:firstLine="600" w:firstLineChars="200"/>
      <w:jc w:val="left"/>
    </w:pPr>
    <w:rPr>
      <w:kern w:val="0"/>
    </w:rPr>
  </w:style>
  <w:style w:type="character" w:customStyle="1" w:styleId="1316">
    <w:name w:val="title11"/>
    <w:autoRedefine/>
    <w:qFormat/>
    <w:uiPriority w:val="0"/>
  </w:style>
  <w:style w:type="character" w:customStyle="1" w:styleId="1317">
    <w:name w:val="count4"/>
    <w:autoRedefine/>
    <w:qFormat/>
    <w:uiPriority w:val="0"/>
  </w:style>
  <w:style w:type="paragraph" w:customStyle="1" w:styleId="1318">
    <w:name w:val="+列表编号"/>
    <w:basedOn w:val="1"/>
    <w:link w:val="1319"/>
    <w:autoRedefine/>
    <w:qFormat/>
    <w:uiPriority w:val="0"/>
    <w:pPr>
      <w:tabs>
        <w:tab w:val="center" w:pos="4200"/>
        <w:tab w:val="right" w:pos="8400"/>
      </w:tabs>
      <w:ind w:firstLine="600" w:firstLineChars="200"/>
    </w:pPr>
    <w:rPr>
      <w:rFonts w:cs="Times New Roman"/>
      <w:szCs w:val="28"/>
    </w:rPr>
  </w:style>
  <w:style w:type="character" w:customStyle="1" w:styleId="1319">
    <w:name w:val="+列表编号 Char"/>
    <w:link w:val="1318"/>
    <w:autoRedefine/>
    <w:qFormat/>
    <w:uiPriority w:val="0"/>
    <w:rPr>
      <w:rFonts w:hAnsi="宋体"/>
      <w:kern w:val="2"/>
      <w:sz w:val="24"/>
      <w:szCs w:val="28"/>
      <w:lang w:val="zh-CN" w:eastAsia="zh-CN"/>
    </w:rPr>
  </w:style>
  <w:style w:type="paragraph" w:customStyle="1" w:styleId="1320">
    <w:name w:val="样式 (中文) 仿宋_GB2312 小四 首行缩进:  1 厘米 行距: 1.5 倍行距"/>
    <w:basedOn w:val="1"/>
    <w:autoRedefine/>
    <w:qFormat/>
    <w:uiPriority w:val="0"/>
    <w:pPr>
      <w:ind w:firstLine="200" w:firstLineChars="200"/>
    </w:pPr>
    <w:rPr>
      <w:rFonts w:eastAsia="仿宋_GB2312"/>
      <w:kern w:val="0"/>
      <w:szCs w:val="20"/>
    </w:rPr>
  </w:style>
  <w:style w:type="paragraph" w:customStyle="1" w:styleId="1321">
    <w:name w:val="样式 样式 行距: 1.5 倍行距 +"/>
    <w:basedOn w:val="1"/>
    <w:link w:val="1322"/>
    <w:autoRedefine/>
    <w:qFormat/>
    <w:uiPriority w:val="0"/>
    <w:pPr>
      <w:ind w:firstLine="200" w:firstLineChars="200"/>
      <w:jc w:val="left"/>
    </w:pPr>
    <w:rPr>
      <w:rFonts w:eastAsia="仿宋_GB2312" w:cs="Times New Roman"/>
      <w:kern w:val="0"/>
      <w:szCs w:val="20"/>
    </w:rPr>
  </w:style>
  <w:style w:type="character" w:customStyle="1" w:styleId="1322">
    <w:name w:val="样式 样式 行距: 1.5 倍行距 + Char"/>
    <w:link w:val="1321"/>
    <w:autoRedefine/>
    <w:qFormat/>
    <w:uiPriority w:val="0"/>
    <w:rPr>
      <w:rFonts w:eastAsia="仿宋_GB2312"/>
      <w:sz w:val="24"/>
      <w:lang w:val="zh-CN" w:eastAsia="zh-CN"/>
    </w:rPr>
  </w:style>
  <w:style w:type="paragraph" w:customStyle="1" w:styleId="1323">
    <w:name w:val="样式 样式 样式 行距: 1.5 倍行距 + + 首行缩进:  2 字符"/>
    <w:basedOn w:val="1321"/>
    <w:autoRedefine/>
    <w:qFormat/>
    <w:uiPriority w:val="0"/>
    <w:pPr>
      <w:ind w:firstLine="480"/>
    </w:pPr>
  </w:style>
  <w:style w:type="paragraph" w:customStyle="1" w:styleId="1324">
    <w:name w:val="样式 宋体 四号"/>
    <w:basedOn w:val="67"/>
    <w:link w:val="1325"/>
    <w:autoRedefine/>
    <w:qFormat/>
    <w:uiPriority w:val="0"/>
    <w:pPr>
      <w:spacing w:after="0"/>
      <w:ind w:firstLine="200" w:firstLineChars="200"/>
    </w:pPr>
    <w:rPr>
      <w:rFonts w:eastAsia="宋体" w:cs="Times New Roman"/>
      <w:sz w:val="28"/>
      <w:szCs w:val="28"/>
      <w:lang w:val="zh-CN"/>
    </w:rPr>
  </w:style>
  <w:style w:type="character" w:customStyle="1" w:styleId="1325">
    <w:name w:val="样式 宋体 四号 Char"/>
    <w:link w:val="1324"/>
    <w:autoRedefine/>
    <w:qFormat/>
    <w:uiPriority w:val="0"/>
    <w:rPr>
      <w:kern w:val="2"/>
      <w:sz w:val="28"/>
      <w:szCs w:val="28"/>
      <w:lang w:val="zh-CN" w:eastAsia="zh-CN"/>
    </w:rPr>
  </w:style>
  <w:style w:type="paragraph" w:customStyle="1" w:styleId="1326">
    <w:name w:val="设计标题3"/>
    <w:basedOn w:val="5"/>
    <w:autoRedefine/>
    <w:qFormat/>
    <w:uiPriority w:val="0"/>
    <w:pPr>
      <w:tabs>
        <w:tab w:val="left" w:pos="420"/>
      </w:tabs>
      <w:snapToGrid w:val="0"/>
      <w:spacing w:line="360" w:lineRule="auto"/>
      <w:jc w:val="left"/>
      <w:textAlignment w:val="baseline"/>
    </w:pPr>
    <w:rPr>
      <w:rFonts w:eastAsia="黑体" w:cs="Times New Roman"/>
      <w:b w:val="0"/>
      <w:kern w:val="0"/>
      <w:sz w:val="24"/>
      <w:szCs w:val="28"/>
    </w:rPr>
  </w:style>
  <w:style w:type="paragraph" w:customStyle="1" w:styleId="1327">
    <w:name w:val="列出段落2"/>
    <w:basedOn w:val="1"/>
    <w:autoRedefine/>
    <w:unhideWhenUsed/>
    <w:qFormat/>
    <w:uiPriority w:val="99"/>
    <w:pPr>
      <w:spacing w:line="240" w:lineRule="auto"/>
      <w:ind w:firstLine="420" w:firstLineChars="200"/>
    </w:pPr>
    <w:rPr>
      <w:rFonts w:cs="Times New Roman"/>
      <w:sz w:val="28"/>
    </w:rPr>
  </w:style>
  <w:style w:type="character" w:customStyle="1" w:styleId="1328">
    <w:name w:val="bds_more"/>
    <w:autoRedefine/>
    <w:qFormat/>
    <w:uiPriority w:val="0"/>
    <w:rPr>
      <w:rFonts w:hint="eastAsia" w:ascii="宋体" w:hAnsi="宋体" w:eastAsia="宋体" w:cs="宋体"/>
    </w:rPr>
  </w:style>
  <w:style w:type="character" w:customStyle="1" w:styleId="1329">
    <w:name w:val="bds_more1"/>
    <w:autoRedefine/>
    <w:qFormat/>
    <w:uiPriority w:val="0"/>
  </w:style>
  <w:style w:type="character" w:customStyle="1" w:styleId="1330">
    <w:name w:val="bds_more2"/>
    <w:autoRedefine/>
    <w:qFormat/>
    <w:uiPriority w:val="0"/>
  </w:style>
  <w:style w:type="character" w:customStyle="1" w:styleId="1331">
    <w:name w:val="bds_nopic"/>
    <w:autoRedefine/>
    <w:qFormat/>
    <w:uiPriority w:val="0"/>
  </w:style>
  <w:style w:type="character" w:customStyle="1" w:styleId="1332">
    <w:name w:val="bds_nopic1"/>
    <w:autoRedefine/>
    <w:qFormat/>
    <w:uiPriority w:val="0"/>
  </w:style>
  <w:style w:type="character" w:customStyle="1" w:styleId="1333">
    <w:name w:val="bds_nopic2"/>
    <w:autoRedefine/>
    <w:qFormat/>
    <w:uiPriority w:val="0"/>
  </w:style>
  <w:style w:type="character" w:customStyle="1" w:styleId="1334">
    <w:name w:val="legend"/>
    <w:autoRedefine/>
    <w:qFormat/>
    <w:uiPriority w:val="0"/>
    <w:rPr>
      <w:rFonts w:ascii="Arial" w:hAnsi="Arial" w:cs="Arial"/>
      <w:b/>
      <w:color w:val="73B304"/>
      <w:sz w:val="21"/>
      <w:szCs w:val="21"/>
      <w:shd w:val="clear" w:color="auto" w:fill="FFFFFF"/>
    </w:rPr>
  </w:style>
  <w:style w:type="character" w:customStyle="1" w:styleId="1335">
    <w:name w:val="num"/>
    <w:autoRedefine/>
    <w:qFormat/>
    <w:uiPriority w:val="0"/>
    <w:rPr>
      <w:b/>
      <w:color w:val="FF7800"/>
    </w:rPr>
  </w:style>
  <w:style w:type="character" w:customStyle="1" w:styleId="1336">
    <w:name w:val="answer-title12"/>
    <w:autoRedefine/>
    <w:qFormat/>
    <w:uiPriority w:val="0"/>
  </w:style>
  <w:style w:type="character" w:customStyle="1" w:styleId="1337">
    <w:name w:val="release-day"/>
    <w:autoRedefine/>
    <w:qFormat/>
    <w:uiPriority w:val="0"/>
    <w:rPr>
      <w:bdr w:val="single" w:color="BDEBB0" w:sz="6" w:space="0"/>
      <w:shd w:val="clear" w:color="auto" w:fill="F5FFF1"/>
    </w:rPr>
  </w:style>
  <w:style w:type="paragraph" w:customStyle="1" w:styleId="1338">
    <w:name w:val="表格文字dd"/>
    <w:basedOn w:val="1"/>
    <w:autoRedefine/>
    <w:qFormat/>
    <w:uiPriority w:val="0"/>
    <w:pPr>
      <w:spacing w:line="240" w:lineRule="auto"/>
    </w:pPr>
    <w:rPr>
      <w:rFonts w:cs="Times New Roman"/>
      <w:color w:val="000000"/>
    </w:rPr>
  </w:style>
  <w:style w:type="paragraph" w:customStyle="1" w:styleId="1339">
    <w:name w:val="样式 样式 (符号) 宋体 四号 首行缩进:  1 厘米 行距: 1.5 倍行距 + 首行缩进:  2 字符"/>
    <w:basedOn w:val="1"/>
    <w:autoRedefine/>
    <w:qFormat/>
    <w:uiPriority w:val="0"/>
    <w:pPr>
      <w:ind w:firstLine="200" w:firstLineChars="200"/>
    </w:pPr>
    <w:rPr>
      <w:rFonts w:cs="Times New Roman"/>
      <w:kern w:val="0"/>
      <w:sz w:val="28"/>
      <w:szCs w:val="20"/>
    </w:rPr>
  </w:style>
  <w:style w:type="character" w:customStyle="1" w:styleId="1340">
    <w:name w:val="标题 3 lxd"/>
    <w:autoRedefine/>
    <w:qFormat/>
    <w:uiPriority w:val="0"/>
    <w:rPr>
      <w:rFonts w:eastAsia="仿宋_GB2312"/>
      <w:b/>
      <w:sz w:val="32"/>
      <w:lang w:val="en-US" w:eastAsia="zh-CN" w:bidi="ar-SA"/>
    </w:rPr>
  </w:style>
  <w:style w:type="paragraph" w:customStyle="1" w:styleId="1341">
    <w:name w:val="插图编号"/>
    <w:basedOn w:val="1"/>
    <w:autoRedefine/>
    <w:qFormat/>
    <w:uiPriority w:val="0"/>
    <w:pPr>
      <w:widowControl/>
      <w:numPr>
        <w:ilvl w:val="0"/>
        <w:numId w:val="5"/>
      </w:numPr>
      <w:spacing w:line="240" w:lineRule="auto"/>
      <w:ind w:firstLine="200" w:firstLineChars="200"/>
    </w:pPr>
    <w:rPr>
      <w:b/>
      <w:kern w:val="0"/>
      <w:szCs w:val="21"/>
    </w:rPr>
  </w:style>
  <w:style w:type="paragraph" w:customStyle="1" w:styleId="1342">
    <w:name w:val="文字"/>
    <w:basedOn w:val="1"/>
    <w:autoRedefine/>
    <w:qFormat/>
    <w:uiPriority w:val="0"/>
    <w:pPr>
      <w:ind w:firstLine="480" w:firstLineChars="200"/>
    </w:pPr>
    <w:rPr>
      <w:rFonts w:cs="Times New Roman"/>
      <w:szCs w:val="20"/>
    </w:rPr>
  </w:style>
  <w:style w:type="paragraph" w:customStyle="1" w:styleId="1343">
    <w:name w:val="图表"/>
    <w:basedOn w:val="1"/>
    <w:autoRedefine/>
    <w:qFormat/>
    <w:uiPriority w:val="0"/>
    <w:pPr>
      <w:ind w:firstLine="600" w:firstLineChars="200"/>
    </w:pPr>
    <w:rPr>
      <w:rFonts w:cs="Times New Roman"/>
      <w:b/>
      <w:sz w:val="28"/>
      <w:szCs w:val="20"/>
    </w:rPr>
  </w:style>
  <w:style w:type="paragraph" w:customStyle="1" w:styleId="1344">
    <w:name w:val="样式 宋体 小四 行距: 1.5 倍行距1"/>
    <w:basedOn w:val="1"/>
    <w:autoRedefine/>
    <w:qFormat/>
    <w:uiPriority w:val="0"/>
    <w:pPr>
      <w:spacing w:line="240" w:lineRule="auto"/>
    </w:pPr>
  </w:style>
  <w:style w:type="paragraph" w:customStyle="1" w:styleId="1345">
    <w:name w:val="articlecontent"/>
    <w:basedOn w:val="1"/>
    <w:autoRedefine/>
    <w:qFormat/>
    <w:uiPriority w:val="0"/>
    <w:pPr>
      <w:widowControl/>
      <w:spacing w:before="100" w:beforeAutospacing="1" w:after="100" w:afterAutospacing="1" w:line="240" w:lineRule="auto"/>
      <w:jc w:val="left"/>
    </w:pPr>
    <w:rPr>
      <w:kern w:val="0"/>
    </w:rPr>
  </w:style>
  <w:style w:type="paragraph" w:customStyle="1" w:styleId="1346">
    <w:name w:val="样式 标题 2节 + 四号"/>
    <w:basedOn w:val="4"/>
    <w:autoRedefine/>
    <w:qFormat/>
    <w:uiPriority w:val="0"/>
    <w:pPr>
      <w:tabs>
        <w:tab w:val="left" w:pos="420"/>
      </w:tabs>
      <w:adjustRightInd w:val="0"/>
      <w:snapToGrid w:val="0"/>
      <w:spacing w:line="360" w:lineRule="auto"/>
      <w:ind w:left="575" w:hanging="575"/>
    </w:pPr>
    <w:rPr>
      <w:rFonts w:ascii="宋体" w:hAnsi="宋体" w:eastAsia="宋体" w:cs="Times New Roman"/>
      <w:bCs/>
      <w:sz w:val="28"/>
      <w:szCs w:val="32"/>
    </w:rPr>
  </w:style>
  <w:style w:type="paragraph" w:customStyle="1" w:styleId="1347">
    <w:name w:val="正文y"/>
    <w:basedOn w:val="1"/>
    <w:next w:val="67"/>
    <w:autoRedefine/>
    <w:qFormat/>
    <w:uiPriority w:val="0"/>
    <w:pPr>
      <w:tabs>
        <w:tab w:val="left" w:pos="567"/>
      </w:tabs>
      <w:spacing w:before="260" w:after="260" w:line="415" w:lineRule="auto"/>
      <w:ind w:firstLine="567"/>
      <w:jc w:val="left"/>
      <w:textAlignment w:val="baseline"/>
    </w:pPr>
    <w:rPr>
      <w:rFonts w:ascii="Arial" w:hAnsi="Arial" w:eastAsia="黑体" w:cs="Times New Roman"/>
      <w:kern w:val="0"/>
      <w:sz w:val="28"/>
      <w:szCs w:val="28"/>
    </w:rPr>
  </w:style>
  <w:style w:type="paragraph" w:customStyle="1" w:styleId="1348">
    <w:name w:val="啊正文"/>
    <w:basedOn w:val="1"/>
    <w:autoRedefine/>
    <w:qFormat/>
    <w:uiPriority w:val="0"/>
    <w:pPr>
      <w:ind w:firstLine="200" w:firstLineChars="200"/>
    </w:pPr>
    <w:rPr>
      <w:rFonts w:ascii="楷体_GB2312" w:eastAsia="仿宋_GB2312" w:cs="楷体_GB2312"/>
      <w:kern w:val="0"/>
      <w:sz w:val="28"/>
    </w:rPr>
  </w:style>
  <w:style w:type="paragraph" w:customStyle="1" w:styleId="1349">
    <w:name w:val="样式 heading 4四 + (符号) 宋体 段前: 0.5 行"/>
    <w:basedOn w:val="1"/>
    <w:autoRedefine/>
    <w:qFormat/>
    <w:uiPriority w:val="0"/>
    <w:pPr>
      <w:keepNext/>
      <w:keepLines/>
      <w:adjustRightInd w:val="0"/>
      <w:snapToGrid w:val="0"/>
      <w:spacing w:beforeLines="50"/>
    </w:pPr>
    <w:rPr>
      <w:rFonts w:hint="eastAsia"/>
      <w:b/>
      <w:bCs/>
      <w:sz w:val="26"/>
      <w:szCs w:val="20"/>
    </w:rPr>
  </w:style>
  <w:style w:type="paragraph" w:customStyle="1" w:styleId="1350">
    <w:name w:val="标题 21"/>
    <w:basedOn w:val="1"/>
    <w:next w:val="1"/>
    <w:autoRedefine/>
    <w:qFormat/>
    <w:uiPriority w:val="0"/>
    <w:pPr>
      <w:keepNext/>
      <w:keepLines/>
      <w:adjustRightInd w:val="0"/>
      <w:spacing w:before="260" w:after="260" w:line="416" w:lineRule="atLeast"/>
      <w:textAlignment w:val="baseline"/>
    </w:pPr>
    <w:rPr>
      <w:rFonts w:hint="eastAsia" w:ascii="Arial" w:hAnsi="Arial" w:eastAsia="黑体" w:cs="Arial"/>
      <w:b/>
      <w:bCs/>
      <w:kern w:val="0"/>
      <w:sz w:val="26"/>
      <w:szCs w:val="26"/>
    </w:rPr>
  </w:style>
  <w:style w:type="paragraph" w:customStyle="1" w:styleId="1351">
    <w:name w:val="_Style 3"/>
    <w:basedOn w:val="1"/>
    <w:autoRedefine/>
    <w:qFormat/>
    <w:uiPriority w:val="0"/>
    <w:pPr>
      <w:spacing w:line="240" w:lineRule="auto"/>
      <w:ind w:firstLine="420" w:firstLineChars="200"/>
    </w:pPr>
    <w:rPr>
      <w:rFonts w:cs="Times New Roman"/>
      <w:sz w:val="21"/>
    </w:rPr>
  </w:style>
  <w:style w:type="paragraph" w:customStyle="1" w:styleId="1352">
    <w:name w:val="zt"/>
    <w:basedOn w:val="1"/>
    <w:autoRedefine/>
    <w:qFormat/>
    <w:uiPriority w:val="0"/>
    <w:pPr>
      <w:widowControl/>
      <w:spacing w:before="100" w:beforeAutospacing="1" w:after="100" w:afterAutospacing="1" w:line="351" w:lineRule="atLeast"/>
      <w:jc w:val="left"/>
    </w:pPr>
    <w:rPr>
      <w:color w:val="000000"/>
      <w:kern w:val="0"/>
      <w:sz w:val="25"/>
      <w:szCs w:val="25"/>
    </w:rPr>
  </w:style>
  <w:style w:type="paragraph" w:customStyle="1" w:styleId="1353">
    <w:name w:val="样式 正文缩进 + 首行缩进:  2 字符2"/>
    <w:basedOn w:val="17"/>
    <w:autoRedefine/>
    <w:qFormat/>
    <w:uiPriority w:val="0"/>
    <w:pPr>
      <w:ind w:left="481" w:leftChars="229"/>
    </w:pPr>
    <w:rPr>
      <w:color w:val="auto"/>
      <w:sz w:val="28"/>
      <w:szCs w:val="28"/>
      <w:lang w:val="en-US"/>
    </w:rPr>
  </w:style>
  <w:style w:type="character" w:customStyle="1" w:styleId="1354">
    <w:name w:val="15"/>
    <w:autoRedefine/>
    <w:qFormat/>
    <w:uiPriority w:val="0"/>
    <w:rPr>
      <w:rFonts w:hint="eastAsia" w:ascii="仿宋_GB2312" w:eastAsia="仿宋_GB2312"/>
      <w:sz w:val="32"/>
      <w:szCs w:val="32"/>
    </w:rPr>
  </w:style>
  <w:style w:type="paragraph" w:customStyle="1" w:styleId="1355">
    <w:name w:val="YY正文"/>
    <w:basedOn w:val="1"/>
    <w:autoRedefine/>
    <w:qFormat/>
    <w:uiPriority w:val="0"/>
    <w:pPr>
      <w:snapToGrid w:val="0"/>
      <w:spacing w:line="240" w:lineRule="auto"/>
      <w:ind w:firstLine="600" w:firstLineChars="200"/>
    </w:pPr>
    <w:rPr>
      <w:kern w:val="0"/>
      <w:sz w:val="28"/>
      <w:lang w:bidi="en-US"/>
    </w:rPr>
  </w:style>
  <w:style w:type="paragraph" w:customStyle="1" w:styleId="1356">
    <w:name w:val="样式 标题 3 + 段前: 0 磅 段后: 0 磅 行距: 固定值 30 磅"/>
    <w:basedOn w:val="5"/>
    <w:autoRedefine/>
    <w:qFormat/>
    <w:uiPriority w:val="0"/>
    <w:pPr>
      <w:tabs>
        <w:tab w:val="left" w:pos="420"/>
      </w:tabs>
      <w:spacing w:line="600" w:lineRule="exact"/>
      <w:jc w:val="left"/>
    </w:pPr>
    <w:rPr>
      <w:b w:val="0"/>
      <w:bCs/>
      <w:sz w:val="30"/>
      <w:szCs w:val="20"/>
    </w:rPr>
  </w:style>
  <w:style w:type="paragraph" w:customStyle="1" w:styleId="1357">
    <w:name w:val="样式 标题 2 + 左  0 字符 首行缩进:  0 字符"/>
    <w:basedOn w:val="4"/>
    <w:next w:val="1"/>
    <w:autoRedefine/>
    <w:qFormat/>
    <w:uiPriority w:val="0"/>
    <w:pPr>
      <w:numPr>
        <w:ilvl w:val="1"/>
        <w:numId w:val="6"/>
      </w:numPr>
      <w:tabs>
        <w:tab w:val="left" w:pos="425"/>
        <w:tab w:val="left" w:pos="780"/>
      </w:tabs>
      <w:spacing w:line="800" w:lineRule="exact"/>
      <w:contextualSpacing/>
      <w:jc w:val="left"/>
      <w:outlineLvl w:val="0"/>
    </w:pPr>
    <w:rPr>
      <w:rFonts w:ascii="仿宋_GB2312" w:eastAsia="仿宋_GB2312"/>
      <w:b w:val="0"/>
      <w:bCs/>
      <w:sz w:val="30"/>
      <w:szCs w:val="30"/>
    </w:rPr>
  </w:style>
  <w:style w:type="paragraph" w:customStyle="1" w:styleId="1358">
    <w:name w:val="样式 宋体 小四 深红 居中"/>
    <w:basedOn w:val="1"/>
    <w:autoRedefine/>
    <w:qFormat/>
    <w:uiPriority w:val="99"/>
    <w:pPr>
      <w:spacing w:line="240" w:lineRule="auto"/>
      <w:ind w:firstLine="600" w:firstLineChars="200"/>
    </w:pPr>
    <w:rPr>
      <w:rFonts w:cs="Times New Roman"/>
      <w:color w:val="800000"/>
    </w:rPr>
  </w:style>
  <w:style w:type="paragraph" w:customStyle="1" w:styleId="1359">
    <w:name w:val="图表标题"/>
    <w:basedOn w:val="1"/>
    <w:autoRedefine/>
    <w:qFormat/>
    <w:uiPriority w:val="0"/>
    <w:pPr>
      <w:spacing w:line="240" w:lineRule="auto"/>
    </w:pPr>
    <w:rPr>
      <w:rFonts w:eastAsia="黑体" w:cs="Times New Roman"/>
      <w:b/>
      <w:bCs/>
      <w:snapToGrid w:val="0"/>
      <w:spacing w:val="10"/>
      <w:sz w:val="28"/>
      <w:szCs w:val="28"/>
    </w:rPr>
  </w:style>
  <w:style w:type="paragraph" w:customStyle="1" w:styleId="1360">
    <w:name w:val="表格中文字"/>
    <w:autoRedefine/>
    <w:qFormat/>
    <w:uiPriority w:val="0"/>
    <w:pPr>
      <w:jc w:val="center"/>
    </w:pPr>
    <w:rPr>
      <w:rFonts w:ascii="Times New Roman" w:hAnsi="Times New Roman" w:eastAsia="宋体" w:cs="Times New Roman"/>
      <w:kern w:val="2"/>
      <w:sz w:val="24"/>
      <w:szCs w:val="22"/>
      <w:lang w:val="en-US" w:eastAsia="zh-CN" w:bidi="ar-SA"/>
    </w:rPr>
  </w:style>
  <w:style w:type="paragraph" w:customStyle="1" w:styleId="1361">
    <w:name w:val="图表标题 5"/>
    <w:basedOn w:val="1355"/>
    <w:autoRedefine/>
    <w:qFormat/>
    <w:uiPriority w:val="0"/>
    <w:pPr>
      <w:ind w:firstLine="0"/>
    </w:pPr>
    <w:rPr>
      <w:b/>
      <w:sz w:val="21"/>
    </w:rPr>
  </w:style>
  <w:style w:type="paragraph" w:customStyle="1" w:styleId="1362">
    <w:name w:val="表头y"/>
    <w:basedOn w:val="1030"/>
    <w:autoRedefine/>
    <w:qFormat/>
    <w:uiPriority w:val="0"/>
    <w:pPr>
      <w:tabs>
        <w:tab w:val="left" w:pos="1080"/>
      </w:tabs>
      <w:spacing w:before="120" w:line="360" w:lineRule="auto"/>
      <w:ind w:firstLine="570" w:firstLineChars="200"/>
      <w:jc w:val="both"/>
    </w:pPr>
    <w:rPr>
      <w:kern w:val="2"/>
      <w:sz w:val="21"/>
    </w:rPr>
  </w:style>
  <w:style w:type="paragraph" w:customStyle="1" w:styleId="1363">
    <w:name w:val="样式 Char Char Char Char Char Char + 首行缩进:  2 字符"/>
    <w:basedOn w:val="1200"/>
    <w:autoRedefine/>
    <w:qFormat/>
    <w:uiPriority w:val="0"/>
    <w:rPr>
      <w:rFonts w:cs="宋体"/>
      <w:szCs w:val="20"/>
    </w:rPr>
  </w:style>
  <w:style w:type="character" w:customStyle="1" w:styleId="1364">
    <w:name w:val="正本文字 Char"/>
    <w:link w:val="1365"/>
    <w:autoRedefine/>
    <w:qFormat/>
    <w:uiPriority w:val="0"/>
    <w:rPr>
      <w:rFonts w:cs="宋体"/>
      <w:kern w:val="18"/>
      <w:sz w:val="24"/>
    </w:rPr>
  </w:style>
  <w:style w:type="paragraph" w:customStyle="1" w:styleId="1365">
    <w:name w:val="正本文字"/>
    <w:basedOn w:val="1"/>
    <w:link w:val="1364"/>
    <w:autoRedefine/>
    <w:qFormat/>
    <w:uiPriority w:val="0"/>
    <w:pPr>
      <w:adjustRightInd w:val="0"/>
      <w:snapToGrid w:val="0"/>
      <w:ind w:firstLine="480" w:firstLineChars="200"/>
      <w:jc w:val="left"/>
    </w:pPr>
    <w:rPr>
      <w:kern w:val="18"/>
      <w:szCs w:val="20"/>
    </w:rPr>
  </w:style>
  <w:style w:type="paragraph" w:customStyle="1" w:styleId="1366">
    <w:name w:val="图片标题"/>
    <w:basedOn w:val="1"/>
    <w:autoRedefine/>
    <w:qFormat/>
    <w:uiPriority w:val="0"/>
    <w:rPr>
      <w:rFonts w:cs="Times New Roman"/>
      <w:b/>
      <w:sz w:val="21"/>
      <w:szCs w:val="22"/>
    </w:rPr>
  </w:style>
  <w:style w:type="paragraph" w:customStyle="1" w:styleId="1367">
    <w:name w:val="表中文字（工大）"/>
    <w:basedOn w:val="1"/>
    <w:autoRedefine/>
    <w:qFormat/>
    <w:uiPriority w:val="0"/>
    <w:pPr>
      <w:spacing w:line="360" w:lineRule="exact"/>
    </w:pPr>
    <w:rPr>
      <w:rFonts w:cs="仿宋_GB2312"/>
      <w:sz w:val="21"/>
      <w:szCs w:val="20"/>
    </w:rPr>
  </w:style>
  <w:style w:type="paragraph" w:customStyle="1" w:styleId="1368">
    <w:name w:val="表头和图片"/>
    <w:basedOn w:val="37"/>
    <w:next w:val="1"/>
    <w:link w:val="1369"/>
    <w:autoRedefine/>
    <w:qFormat/>
    <w:uiPriority w:val="0"/>
    <w:pPr>
      <w:adjustRightInd/>
      <w:snapToGrid/>
      <w:spacing w:line="520" w:lineRule="exact"/>
      <w:ind w:firstLine="880" w:firstLineChars="200"/>
    </w:pPr>
    <w:rPr>
      <w:b/>
      <w:kern w:val="2"/>
      <w:sz w:val="24"/>
      <w:szCs w:val="28"/>
    </w:rPr>
  </w:style>
  <w:style w:type="character" w:customStyle="1" w:styleId="1369">
    <w:name w:val="表头和图片 Char"/>
    <w:link w:val="1368"/>
    <w:autoRedefine/>
    <w:qFormat/>
    <w:uiPriority w:val="0"/>
    <w:rPr>
      <w:rFonts w:ascii="宋体" w:hAnsi="宋体"/>
      <w:b/>
      <w:kern w:val="2"/>
      <w:sz w:val="24"/>
      <w:szCs w:val="28"/>
      <w:lang w:val="zh-CN" w:eastAsia="zh-CN"/>
    </w:rPr>
  </w:style>
  <w:style w:type="character" w:customStyle="1" w:styleId="1370">
    <w:name w:val="图注 Char1"/>
    <w:autoRedefine/>
    <w:qFormat/>
    <w:uiPriority w:val="0"/>
    <w:rPr>
      <w:rFonts w:ascii="Times New Roman" w:hAnsi="Times New Roman" w:eastAsia="黑体" w:cs="Times New Roman"/>
    </w:rPr>
  </w:style>
  <w:style w:type="paragraph" w:customStyle="1" w:styleId="1371">
    <w:name w:val="a-文本缩2"/>
    <w:autoRedefine/>
    <w:qFormat/>
    <w:uiPriority w:val="0"/>
    <w:pPr>
      <w:adjustRightInd w:val="0"/>
      <w:snapToGrid w:val="0"/>
      <w:spacing w:line="360" w:lineRule="auto"/>
      <w:ind w:firstLine="200" w:firstLineChars="200"/>
    </w:pPr>
    <w:rPr>
      <w:rFonts w:ascii="Times New Roman" w:hAnsi="Times New Roman" w:eastAsia="宋体" w:cs="Times New Roman"/>
      <w:color w:val="000000"/>
      <w:sz w:val="24"/>
      <w:szCs w:val="21"/>
      <w:lang w:val="en-US" w:eastAsia="zh-CN" w:bidi="ar-SA"/>
    </w:rPr>
  </w:style>
  <w:style w:type="character" w:customStyle="1" w:styleId="1372">
    <w:name w:val="Default Char"/>
    <w:autoRedefine/>
    <w:qFormat/>
    <w:uiPriority w:val="0"/>
    <w:rPr>
      <w:rFonts w:ascii="宋体" w:cs="宋体"/>
      <w:color w:val="000000"/>
      <w:sz w:val="24"/>
      <w:szCs w:val="24"/>
    </w:rPr>
  </w:style>
  <w:style w:type="character" w:customStyle="1" w:styleId="1373">
    <w:name w:val="表头 Char2"/>
    <w:autoRedefine/>
    <w:qFormat/>
    <w:uiPriority w:val="0"/>
    <w:rPr>
      <w:rFonts w:ascii="黑体" w:hAnsi="宋体" w:eastAsia="黑体" w:cs="宋体"/>
      <w:kern w:val="2"/>
      <w:sz w:val="21"/>
      <w:szCs w:val="24"/>
    </w:rPr>
  </w:style>
  <w:style w:type="character" w:customStyle="1" w:styleId="1374">
    <w:name w:val="列出段落 Char"/>
    <w:link w:val="97"/>
    <w:autoRedefine/>
    <w:qFormat/>
    <w:uiPriority w:val="0"/>
    <w:rPr>
      <w:rFonts w:ascii="宋体" w:hAnsi="宋体" w:cs="宋体"/>
      <w:kern w:val="2"/>
      <w:sz w:val="24"/>
      <w:szCs w:val="24"/>
      <w:lang w:val="zh-CN" w:bidi="zh-CN"/>
    </w:rPr>
  </w:style>
  <w:style w:type="paragraph" w:customStyle="1" w:styleId="1375">
    <w:name w:val="标题-图表"/>
    <w:basedOn w:val="1"/>
    <w:autoRedefine/>
    <w:qFormat/>
    <w:uiPriority w:val="0"/>
    <w:pPr>
      <w:spacing w:line="500" w:lineRule="exact"/>
    </w:pPr>
    <w:rPr>
      <w:rFonts w:ascii="黑体" w:eastAsia="黑体" w:cs="Times New Roman"/>
    </w:rPr>
  </w:style>
  <w:style w:type="character" w:customStyle="1" w:styleId="1376">
    <w:name w:val="fontstyle01"/>
    <w:basedOn w:val="76"/>
    <w:autoRedefine/>
    <w:qFormat/>
    <w:uiPriority w:val="0"/>
    <w:rPr>
      <w:rFonts w:hint="eastAsia" w:ascii="宋体" w:hAnsi="宋体" w:eastAsia="宋体"/>
      <w:color w:val="000000"/>
      <w:sz w:val="24"/>
      <w:szCs w:val="24"/>
    </w:rPr>
  </w:style>
  <w:style w:type="character" w:customStyle="1" w:styleId="1377">
    <w:name w:val="font131"/>
    <w:autoRedefine/>
    <w:qFormat/>
    <w:uiPriority w:val="0"/>
    <w:rPr>
      <w:rFonts w:hint="eastAsia" w:ascii="宋体" w:hAnsi="宋体" w:eastAsia="宋体" w:cs="宋体"/>
      <w:b/>
      <w:color w:val="000000"/>
      <w:sz w:val="24"/>
      <w:szCs w:val="24"/>
      <w:u w:val="none"/>
    </w:rPr>
  </w:style>
  <w:style w:type="character" w:customStyle="1" w:styleId="1378">
    <w:name w:val="font91"/>
    <w:basedOn w:val="76"/>
    <w:autoRedefine/>
    <w:qFormat/>
    <w:uiPriority w:val="0"/>
    <w:rPr>
      <w:rFonts w:hint="default" w:ascii="Times New Roman" w:hAnsi="Times New Roman" w:cs="Times New Roman"/>
      <w:color w:val="000000"/>
      <w:sz w:val="20"/>
      <w:szCs w:val="20"/>
      <w:u w:val="none"/>
      <w:vertAlign w:val="superscript"/>
    </w:rPr>
  </w:style>
  <w:style w:type="character" w:customStyle="1" w:styleId="1379">
    <w:name w:val="font141"/>
    <w:autoRedefine/>
    <w:qFormat/>
    <w:uiPriority w:val="0"/>
    <w:rPr>
      <w:rFonts w:hint="eastAsia" w:ascii="宋体" w:hAnsi="宋体" w:eastAsia="宋体" w:cs="宋体"/>
      <w:b/>
      <w:color w:val="FF0000"/>
      <w:sz w:val="24"/>
      <w:szCs w:val="24"/>
      <w:u w:val="none"/>
    </w:rPr>
  </w:style>
  <w:style w:type="character" w:customStyle="1" w:styleId="1380">
    <w:name w:val="font111"/>
    <w:autoRedefine/>
    <w:qFormat/>
    <w:uiPriority w:val="0"/>
    <w:rPr>
      <w:rFonts w:hint="default" w:ascii="Calibri" w:hAnsi="Calibri" w:cs="Calibri"/>
      <w:b/>
      <w:color w:val="FF0000"/>
      <w:sz w:val="24"/>
      <w:szCs w:val="24"/>
      <w:u w:val="none"/>
    </w:rPr>
  </w:style>
  <w:style w:type="paragraph" w:customStyle="1" w:styleId="1381">
    <w:name w:val="普通(网站)1"/>
    <w:basedOn w:val="1"/>
    <w:autoRedefine/>
    <w:qFormat/>
    <w:uiPriority w:val="0"/>
    <w:pPr>
      <w:widowControl/>
      <w:spacing w:before="100" w:beforeAutospacing="1" w:after="100" w:afterAutospacing="1"/>
      <w:ind w:firstLine="480" w:firstLineChars="200"/>
      <w:jc w:val="left"/>
    </w:pPr>
    <w:rPr>
      <w:rFonts w:hint="eastAsia" w:cs="Times New Roman"/>
      <w:kern w:val="0"/>
      <w:szCs w:val="22"/>
    </w:rPr>
  </w:style>
  <w:style w:type="paragraph" w:customStyle="1" w:styleId="1382">
    <w:name w:val="图号 表号"/>
    <w:basedOn w:val="26"/>
    <w:autoRedefine/>
    <w:qFormat/>
    <w:uiPriority w:val="0"/>
    <w:pPr>
      <w:widowControl/>
    </w:pPr>
    <w:rPr>
      <w:rFonts w:ascii="Times New Roman" w:hAnsi="Times New Roman" w:eastAsia="黑体" w:cs="Times New Roman"/>
      <w:b/>
      <w:kern w:val="0"/>
      <w:szCs w:val="22"/>
      <w:lang w:val="en-US" w:bidi="ar-SA"/>
    </w:rPr>
  </w:style>
  <w:style w:type="paragraph" w:customStyle="1" w:styleId="1383">
    <w:name w:val="表前文字"/>
    <w:basedOn w:val="1"/>
    <w:autoRedefine/>
    <w:qFormat/>
    <w:uiPriority w:val="0"/>
    <w:pPr>
      <w:widowControl/>
      <w:ind w:firstLine="480" w:firstLineChars="200"/>
    </w:pPr>
    <w:rPr>
      <w:rFonts w:ascii="黑体" w:eastAsia="黑体" w:cs="Times New Roman"/>
      <w:kern w:val="0"/>
      <w:szCs w:val="21"/>
    </w:rPr>
  </w:style>
  <w:style w:type="paragraph" w:customStyle="1" w:styleId="1384">
    <w:name w:val="1表头"/>
    <w:basedOn w:val="1"/>
    <w:autoRedefine/>
    <w:qFormat/>
    <w:uiPriority w:val="0"/>
    <w:pPr>
      <w:widowControl/>
      <w:ind w:firstLine="482" w:firstLineChars="200"/>
    </w:pPr>
    <w:rPr>
      <w:rFonts w:cs="Times New Roman"/>
      <w:b/>
      <w:kern w:val="0"/>
      <w:szCs w:val="22"/>
    </w:rPr>
  </w:style>
  <w:style w:type="paragraph" w:customStyle="1" w:styleId="1385">
    <w:name w:val="样式 表格 32 + 首行缩进:  2 字符"/>
    <w:basedOn w:val="1"/>
    <w:autoRedefine/>
    <w:qFormat/>
    <w:uiPriority w:val="0"/>
    <w:pPr>
      <w:widowControl/>
      <w:autoSpaceDE w:val="0"/>
      <w:autoSpaceDN w:val="0"/>
      <w:adjustRightInd w:val="0"/>
      <w:spacing w:line="0" w:lineRule="atLeast"/>
      <w:ind w:firstLine="480" w:firstLineChars="200"/>
      <w:textAlignment w:val="baseline"/>
    </w:pPr>
    <w:rPr>
      <w:kern w:val="0"/>
      <w:szCs w:val="21"/>
    </w:rPr>
  </w:style>
  <w:style w:type="paragraph" w:customStyle="1" w:styleId="1386">
    <w:name w:val="a正文"/>
    <w:basedOn w:val="1"/>
    <w:autoRedefine/>
    <w:qFormat/>
    <w:uiPriority w:val="0"/>
    <w:pPr>
      <w:widowControl/>
      <w:spacing w:line="520" w:lineRule="exact"/>
      <w:ind w:firstLine="561" w:firstLineChars="200"/>
    </w:pPr>
    <w:rPr>
      <w:rFonts w:cs="Times New Roman"/>
      <w:kern w:val="0"/>
      <w:sz w:val="28"/>
      <w:szCs w:val="20"/>
    </w:rPr>
  </w:style>
  <w:style w:type="paragraph" w:customStyle="1" w:styleId="1387">
    <w:name w:val="11111"/>
    <w:basedOn w:val="1"/>
    <w:next w:val="1"/>
    <w:autoRedefine/>
    <w:qFormat/>
    <w:uiPriority w:val="0"/>
    <w:pPr>
      <w:widowControl/>
      <w:ind w:firstLine="200" w:firstLineChars="200"/>
    </w:pPr>
    <w:rPr>
      <w:kern w:val="0"/>
      <w:szCs w:val="22"/>
    </w:rPr>
  </w:style>
  <w:style w:type="paragraph" w:customStyle="1" w:styleId="1388">
    <w:name w:val="样式 标题 1 + 加粗 两端对齐"/>
    <w:basedOn w:val="3"/>
    <w:autoRedefine/>
    <w:qFormat/>
    <w:uiPriority w:val="0"/>
    <w:pPr>
      <w:keepNext w:val="0"/>
      <w:pageBreakBefore/>
      <w:widowControl/>
      <w:snapToGrid w:val="0"/>
      <w:spacing w:beforeLines="50" w:afterLines="50" w:line="520" w:lineRule="exact"/>
      <w:jc w:val="left"/>
    </w:pPr>
    <w:rPr>
      <w:rFonts w:ascii="黑体" w:hAnsi="黑体" w:eastAsia="Times New Roman"/>
      <w:bCs/>
      <w:kern w:val="0"/>
      <w:sz w:val="32"/>
      <w:szCs w:val="20"/>
    </w:rPr>
  </w:style>
  <w:style w:type="character" w:customStyle="1" w:styleId="1389">
    <w:name w:val="报告表标题 Char"/>
    <w:link w:val="1390"/>
    <w:autoRedefine/>
    <w:qFormat/>
    <w:uiPriority w:val="0"/>
    <w:rPr>
      <w:rFonts w:ascii="宋体" w:hAnsi="宋体" w:cs="宋体"/>
      <w:kern w:val="2"/>
      <w:sz w:val="24"/>
      <w:szCs w:val="24"/>
    </w:rPr>
  </w:style>
  <w:style w:type="paragraph" w:customStyle="1" w:styleId="1390">
    <w:name w:val="报告表标题"/>
    <w:basedOn w:val="1"/>
    <w:link w:val="1389"/>
    <w:autoRedefine/>
    <w:qFormat/>
    <w:uiPriority w:val="0"/>
    <w:pPr>
      <w:widowControl/>
      <w:tabs>
        <w:tab w:val="left" w:pos="425"/>
        <w:tab w:val="left" w:pos="900"/>
      </w:tabs>
      <w:spacing w:line="240" w:lineRule="auto"/>
      <w:ind w:left="425" w:hanging="425"/>
      <w:jc w:val="left"/>
    </w:pPr>
  </w:style>
  <w:style w:type="character" w:customStyle="1" w:styleId="1391">
    <w:name w:val="正文（首行缩进两字） Char"/>
    <w:autoRedefine/>
    <w:qFormat/>
    <w:uiPriority w:val="0"/>
    <w:rPr>
      <w:rFonts w:eastAsia="宋体"/>
      <w:kern w:val="2"/>
      <w:sz w:val="24"/>
      <w:lang w:val="en-US" w:eastAsia="zh-CN"/>
    </w:rPr>
  </w:style>
  <w:style w:type="character" w:customStyle="1" w:styleId="1392">
    <w:name w:val="1正文 Char"/>
    <w:link w:val="1393"/>
    <w:autoRedefine/>
    <w:qFormat/>
    <w:uiPriority w:val="0"/>
    <w:rPr>
      <w:color w:val="00B0F0"/>
      <w:kern w:val="2"/>
      <w:sz w:val="24"/>
      <w:szCs w:val="24"/>
    </w:rPr>
  </w:style>
  <w:style w:type="paragraph" w:customStyle="1" w:styleId="1393">
    <w:name w:val="1正文"/>
    <w:link w:val="1392"/>
    <w:autoRedefine/>
    <w:qFormat/>
    <w:uiPriority w:val="0"/>
    <w:pPr>
      <w:spacing w:line="560" w:lineRule="exact"/>
      <w:ind w:firstLine="480" w:firstLineChars="200"/>
      <w:jc w:val="both"/>
    </w:pPr>
    <w:rPr>
      <w:rFonts w:ascii="Times New Roman" w:hAnsi="Times New Roman" w:eastAsia="宋体" w:cs="Times New Roman"/>
      <w:color w:val="00B0F0"/>
      <w:kern w:val="2"/>
      <w:sz w:val="24"/>
      <w:szCs w:val="24"/>
      <w:lang w:val="en-US" w:eastAsia="zh-CN" w:bidi="ar-SA"/>
    </w:rPr>
  </w:style>
  <w:style w:type="character" w:customStyle="1" w:styleId="1394">
    <w:name w:val="表格标题 Char"/>
    <w:basedOn w:val="76"/>
    <w:autoRedefine/>
    <w:qFormat/>
    <w:uiPriority w:val="0"/>
    <w:rPr>
      <w:b/>
      <w:kern w:val="2"/>
      <w:sz w:val="21"/>
      <w:szCs w:val="24"/>
    </w:rPr>
  </w:style>
  <w:style w:type="character" w:customStyle="1" w:styleId="1395">
    <w:name w:val="qj报告正文 Char"/>
    <w:link w:val="1396"/>
    <w:autoRedefine/>
    <w:qFormat/>
    <w:uiPriority w:val="0"/>
    <w:rPr>
      <w:sz w:val="24"/>
    </w:rPr>
  </w:style>
  <w:style w:type="paragraph" w:customStyle="1" w:styleId="1396">
    <w:name w:val="qj报告正文"/>
    <w:basedOn w:val="1"/>
    <w:link w:val="1395"/>
    <w:autoRedefine/>
    <w:qFormat/>
    <w:uiPriority w:val="0"/>
    <w:pPr>
      <w:ind w:firstLine="200" w:firstLineChars="200"/>
    </w:pPr>
    <w:rPr>
      <w:rFonts w:cs="Times New Roman"/>
      <w:kern w:val="0"/>
      <w:szCs w:val="20"/>
    </w:rPr>
  </w:style>
  <w:style w:type="character" w:customStyle="1" w:styleId="1397">
    <w:name w:val="正文(首行缩进) Char Char"/>
    <w:autoRedefine/>
    <w:qFormat/>
    <w:uiPriority w:val="0"/>
    <w:rPr>
      <w:snapToGrid/>
      <w:sz w:val="24"/>
      <w:szCs w:val="24"/>
    </w:rPr>
  </w:style>
  <w:style w:type="paragraph" w:customStyle="1" w:styleId="1398">
    <w:name w:val="样式 标题 3 + 小四"/>
    <w:basedOn w:val="5"/>
    <w:autoRedefine/>
    <w:qFormat/>
    <w:uiPriority w:val="0"/>
    <w:pPr>
      <w:spacing w:before="120" w:after="120" w:line="413" w:lineRule="auto"/>
      <w:ind w:firstLine="200" w:firstLineChars="200"/>
    </w:pPr>
    <w:rPr>
      <w:rFonts w:cs="Times New Roman"/>
      <w:bCs/>
      <w:kern w:val="0"/>
      <w:sz w:val="24"/>
      <w:szCs w:val="32"/>
    </w:rPr>
  </w:style>
  <w:style w:type="character" w:customStyle="1" w:styleId="1399">
    <w:name w:val="表格文字 Char"/>
    <w:basedOn w:val="76"/>
    <w:link w:val="847"/>
    <w:autoRedefine/>
    <w:qFormat/>
    <w:uiPriority w:val="0"/>
    <w:rPr>
      <w:kern w:val="2"/>
      <w:sz w:val="21"/>
    </w:rPr>
  </w:style>
  <w:style w:type="paragraph" w:customStyle="1" w:styleId="1400">
    <w:name w:val="表内"/>
    <w:autoRedefine/>
    <w:qFormat/>
    <w:uiPriority w:val="0"/>
    <w:pPr>
      <w:adjustRightInd w:val="0"/>
      <w:snapToGrid w:val="0"/>
      <w:jc w:val="center"/>
    </w:pPr>
    <w:rPr>
      <w:rFonts w:ascii="Times New Roman" w:hAnsi="Times New Roman" w:eastAsia="宋体" w:cs="Times New Roman"/>
      <w:kern w:val="2"/>
      <w:sz w:val="21"/>
      <w:szCs w:val="21"/>
      <w:lang w:val="en-US" w:eastAsia="zh-CN" w:bidi="ar-SA"/>
    </w:rPr>
  </w:style>
  <w:style w:type="character" w:customStyle="1" w:styleId="1401">
    <w:name w:val="【表头】 Char Char"/>
    <w:autoRedefine/>
    <w:qFormat/>
    <w:uiPriority w:val="0"/>
    <w:rPr>
      <w:rFonts w:eastAsia="黑体" w:cs="宋体"/>
      <w:sz w:val="24"/>
    </w:rPr>
  </w:style>
  <w:style w:type="paragraph" w:customStyle="1" w:styleId="1402">
    <w:name w:val="reader-word-layer"/>
    <w:basedOn w:val="1"/>
    <w:autoRedefine/>
    <w:qFormat/>
    <w:uiPriority w:val="0"/>
    <w:pPr>
      <w:widowControl/>
      <w:spacing w:before="100" w:beforeAutospacing="1" w:after="100" w:afterAutospacing="1" w:line="240" w:lineRule="auto"/>
      <w:jc w:val="left"/>
    </w:pPr>
    <w:rPr>
      <w:kern w:val="0"/>
    </w:rPr>
  </w:style>
  <w:style w:type="character" w:customStyle="1" w:styleId="1403">
    <w:name w:val="正文文本 Char2"/>
    <w:autoRedefine/>
    <w:qFormat/>
    <w:uiPriority w:val="0"/>
    <w:rPr>
      <w:rFonts w:ascii="宋体" w:hAnsi="宋体" w:cs="宋体"/>
      <w:kern w:val="2"/>
      <w:sz w:val="24"/>
      <w:szCs w:val="24"/>
      <w:lang w:val="zh-CN" w:bidi="zh-CN"/>
    </w:rPr>
  </w:style>
  <w:style w:type="paragraph" w:customStyle="1" w:styleId="1404">
    <w:name w:val="_Style 4"/>
    <w:basedOn w:val="1"/>
    <w:autoRedefine/>
    <w:qFormat/>
    <w:uiPriority w:val="99"/>
    <w:pPr>
      <w:snapToGrid w:val="0"/>
      <w:ind w:firstLine="529" w:firstLineChars="200"/>
    </w:pPr>
    <w:rPr>
      <w:rFonts w:cs="Times New Roman"/>
      <w:sz w:val="21"/>
    </w:rPr>
  </w:style>
  <w:style w:type="character" w:customStyle="1" w:styleId="1405">
    <w:name w:val="表中的文字 Char"/>
    <w:link w:val="1406"/>
    <w:autoRedefine/>
    <w:qFormat/>
    <w:locked/>
    <w:uiPriority w:val="0"/>
    <w:rPr>
      <w:rFonts w:ascii="仿宋_GB2312" w:eastAsia="仿宋_GB2312"/>
      <w:bCs/>
      <w:sz w:val="21"/>
      <w:szCs w:val="21"/>
    </w:rPr>
  </w:style>
  <w:style w:type="paragraph" w:customStyle="1" w:styleId="1406">
    <w:name w:val="表中的文字"/>
    <w:basedOn w:val="1"/>
    <w:link w:val="1405"/>
    <w:autoRedefine/>
    <w:qFormat/>
    <w:uiPriority w:val="0"/>
    <w:pPr>
      <w:snapToGrid w:val="0"/>
      <w:spacing w:line="440" w:lineRule="exact"/>
    </w:pPr>
    <w:rPr>
      <w:rFonts w:ascii="仿宋_GB2312" w:eastAsia="仿宋_GB2312" w:cs="Times New Roman"/>
      <w:bCs/>
      <w:kern w:val="0"/>
      <w:sz w:val="21"/>
      <w:szCs w:val="21"/>
    </w:rPr>
  </w:style>
  <w:style w:type="character" w:customStyle="1" w:styleId="1407">
    <w:name w:val="fontstyle21"/>
    <w:basedOn w:val="76"/>
    <w:autoRedefine/>
    <w:qFormat/>
    <w:uiPriority w:val="0"/>
    <w:rPr>
      <w:rFonts w:hint="default" w:ascii="Times New Roman" w:hAnsi="Times New Roman" w:cs="Times New Roman"/>
      <w:color w:val="000000"/>
      <w:sz w:val="24"/>
      <w:szCs w:val="24"/>
    </w:rPr>
  </w:style>
  <w:style w:type="table" w:customStyle="1" w:styleId="1408">
    <w:name w:val="Table Normal"/>
    <w:autoRedefine/>
    <w:unhideWhenUsed/>
    <w:qFormat/>
    <w:uiPriority w:val="0"/>
    <w:tblPr>
      <w:tblCellMar>
        <w:top w:w="0" w:type="dxa"/>
        <w:left w:w="0" w:type="dxa"/>
        <w:bottom w:w="0" w:type="dxa"/>
        <w:right w:w="0" w:type="dxa"/>
      </w:tblCellMar>
    </w:tblPr>
  </w:style>
  <w:style w:type="character" w:customStyle="1" w:styleId="1409">
    <w:name w:val="正文00 Char Char"/>
    <w:autoRedefine/>
    <w:qFormat/>
    <w:uiPriority w:val="0"/>
    <w:rPr>
      <w:rFonts w:eastAsia="宋体" w:cs="宋体"/>
      <w:kern w:val="2"/>
      <w:sz w:val="24"/>
      <w:szCs w:val="24"/>
      <w:lang w:val="en-US" w:eastAsia="zh-CN" w:bidi="ar-SA"/>
    </w:rPr>
  </w:style>
  <w:style w:type="paragraph" w:customStyle="1" w:styleId="1410">
    <w:name w:val="[表中文字]"/>
    <w:basedOn w:val="1"/>
    <w:autoRedefine/>
    <w:qFormat/>
    <w:uiPriority w:val="0"/>
    <w:pPr>
      <w:spacing w:before="60" w:after="60" w:line="240" w:lineRule="auto"/>
    </w:pPr>
    <w:rPr>
      <w:rFonts w:eastAsia="仿宋_GB2312" w:cs="Times New Roman"/>
      <w:kern w:val="0"/>
      <w:szCs w:val="20"/>
    </w:rPr>
  </w:style>
  <w:style w:type="paragraph" w:customStyle="1" w:styleId="1411">
    <w:name w:val="正文15"/>
    <w:autoRedefine/>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1412">
    <w:name w:val="盂县"/>
    <w:basedOn w:val="1"/>
    <w:autoRedefine/>
    <w:qFormat/>
    <w:uiPriority w:val="0"/>
    <w:pPr>
      <w:adjustRightInd w:val="0"/>
      <w:snapToGrid w:val="0"/>
      <w:spacing w:line="312" w:lineRule="auto"/>
      <w:ind w:firstLine="560" w:firstLineChars="200"/>
      <w:jc w:val="both"/>
    </w:pPr>
    <w:rPr>
      <w:rFonts w:ascii="Times New Roman" w:hAnsi="Times New Roman" w:cs="Times New Roman"/>
      <w:sz w:val="28"/>
      <w:szCs w:val="24"/>
      <w:lang w:val="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71.wmf"/><Relationship Id="rId98" Type="http://schemas.openxmlformats.org/officeDocument/2006/relationships/image" Target="media/image70.wmf"/><Relationship Id="rId97" Type="http://schemas.openxmlformats.org/officeDocument/2006/relationships/oleObject" Target="embeddings/oleObject13.bin"/><Relationship Id="rId96" Type="http://schemas.openxmlformats.org/officeDocument/2006/relationships/image" Target="media/image69.wmf"/><Relationship Id="rId95" Type="http://schemas.openxmlformats.org/officeDocument/2006/relationships/image" Target="media/image68.wmf"/><Relationship Id="rId94" Type="http://schemas.openxmlformats.org/officeDocument/2006/relationships/image" Target="media/image67.wmf"/><Relationship Id="rId93" Type="http://schemas.openxmlformats.org/officeDocument/2006/relationships/image" Target="media/image66.wmf"/><Relationship Id="rId92" Type="http://schemas.openxmlformats.org/officeDocument/2006/relationships/oleObject" Target="embeddings/oleObject12.bin"/><Relationship Id="rId91" Type="http://schemas.openxmlformats.org/officeDocument/2006/relationships/image" Target="media/image65.wmf"/><Relationship Id="rId90" Type="http://schemas.openxmlformats.org/officeDocument/2006/relationships/oleObject" Target="embeddings/oleObject11.bin"/><Relationship Id="rId9" Type="http://schemas.openxmlformats.org/officeDocument/2006/relationships/footer" Target="footer3.xml"/><Relationship Id="rId89" Type="http://schemas.openxmlformats.org/officeDocument/2006/relationships/image" Target="media/image64.wmf"/><Relationship Id="rId88" Type="http://schemas.openxmlformats.org/officeDocument/2006/relationships/image" Target="media/image63.wmf"/><Relationship Id="rId87" Type="http://schemas.openxmlformats.org/officeDocument/2006/relationships/image" Target="media/image62.wmf"/><Relationship Id="rId86" Type="http://schemas.openxmlformats.org/officeDocument/2006/relationships/oleObject" Target="embeddings/oleObject10.bin"/><Relationship Id="rId85" Type="http://schemas.openxmlformats.org/officeDocument/2006/relationships/image" Target="media/image61.wmf"/><Relationship Id="rId84" Type="http://schemas.openxmlformats.org/officeDocument/2006/relationships/image" Target="media/image60.wmf"/><Relationship Id="rId83" Type="http://schemas.openxmlformats.org/officeDocument/2006/relationships/oleObject" Target="embeddings/oleObject9.bin"/><Relationship Id="rId82" Type="http://schemas.openxmlformats.org/officeDocument/2006/relationships/image" Target="media/image59.wmf"/><Relationship Id="rId81" Type="http://schemas.openxmlformats.org/officeDocument/2006/relationships/oleObject" Target="embeddings/oleObject8.bin"/><Relationship Id="rId80" Type="http://schemas.openxmlformats.org/officeDocument/2006/relationships/image" Target="media/image58.wmf"/><Relationship Id="rId8" Type="http://schemas.openxmlformats.org/officeDocument/2006/relationships/footer" Target="footer2.xml"/><Relationship Id="rId79" Type="http://schemas.openxmlformats.org/officeDocument/2006/relationships/oleObject" Target="embeddings/oleObject7.bin"/><Relationship Id="rId78" Type="http://schemas.openxmlformats.org/officeDocument/2006/relationships/image" Target="media/image57.wmf"/><Relationship Id="rId77" Type="http://schemas.openxmlformats.org/officeDocument/2006/relationships/oleObject" Target="embeddings/oleObject6.bin"/><Relationship Id="rId76" Type="http://schemas.openxmlformats.org/officeDocument/2006/relationships/image" Target="media/image56.wmf"/><Relationship Id="rId75" Type="http://schemas.openxmlformats.org/officeDocument/2006/relationships/oleObject" Target="embeddings/oleObject5.bin"/><Relationship Id="rId74" Type="http://schemas.openxmlformats.org/officeDocument/2006/relationships/image" Target="media/image55.wmf"/><Relationship Id="rId73" Type="http://schemas.openxmlformats.org/officeDocument/2006/relationships/oleObject" Target="embeddings/oleObject4.bin"/><Relationship Id="rId72" Type="http://schemas.openxmlformats.org/officeDocument/2006/relationships/image" Target="media/image54.png"/><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footer" Target="footer1.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png"/><Relationship Id="rId61" Type="http://schemas.openxmlformats.org/officeDocument/2006/relationships/image" Target="media/image43.png"/><Relationship Id="rId60" Type="http://schemas.openxmlformats.org/officeDocument/2006/relationships/image" Target="media/image42.png"/><Relationship Id="rId6" Type="http://schemas.openxmlformats.org/officeDocument/2006/relationships/header" Target="header2.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wmf"/><Relationship Id="rId5" Type="http://schemas.openxmlformats.org/officeDocument/2006/relationships/header" Target="header1.xml"/><Relationship Id="rId49" Type="http://schemas.openxmlformats.org/officeDocument/2006/relationships/oleObject" Target="embeddings/oleObject3.bin"/><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wmf"/><Relationship Id="rId41" Type="http://schemas.openxmlformats.org/officeDocument/2006/relationships/oleObject" Target="embeddings/oleObject2.bin"/><Relationship Id="rId40" Type="http://schemas.openxmlformats.org/officeDocument/2006/relationships/image" Target="media/image24.wmf"/><Relationship Id="rId4" Type="http://schemas.openxmlformats.org/officeDocument/2006/relationships/endnotes" Target="endnotes.xml"/><Relationship Id="rId39" Type="http://schemas.openxmlformats.org/officeDocument/2006/relationships/oleObject" Target="embeddings/oleObject1.bin"/><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footnotes" Target="footnotes.xml"/><Relationship Id="rId29" Type="http://schemas.openxmlformats.org/officeDocument/2006/relationships/image" Target="media/image14.png"/><Relationship Id="rId28" Type="http://schemas.openxmlformats.org/officeDocument/2006/relationships/image" Target="media/image13.png"/><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png"/><Relationship Id="rId22" Type="http://schemas.openxmlformats.org/officeDocument/2006/relationships/image" Target="media/image7.png"/><Relationship Id="rId21" Type="http://schemas.openxmlformats.org/officeDocument/2006/relationships/image" Target="media/image6.pn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jpeg"/><Relationship Id="rId166" Type="http://schemas.openxmlformats.org/officeDocument/2006/relationships/fontTable" Target="fontTable.xml"/><Relationship Id="rId165" Type="http://schemas.openxmlformats.org/officeDocument/2006/relationships/customXml" Target="../customXml/item2.xml"/><Relationship Id="rId164" Type="http://schemas.openxmlformats.org/officeDocument/2006/relationships/numbering" Target="numbering.xml"/><Relationship Id="rId163" Type="http://schemas.openxmlformats.org/officeDocument/2006/relationships/customXml" Target="../customXml/item1.xml"/><Relationship Id="rId162" Type="http://schemas.openxmlformats.org/officeDocument/2006/relationships/image" Target="media/image132.png"/><Relationship Id="rId161" Type="http://schemas.openxmlformats.org/officeDocument/2006/relationships/image" Target="media/image131.png"/><Relationship Id="rId160" Type="http://schemas.openxmlformats.org/officeDocument/2006/relationships/image" Target="media/image130.png"/><Relationship Id="rId16" Type="http://schemas.openxmlformats.org/officeDocument/2006/relationships/image" Target="media/image1.jpeg"/><Relationship Id="rId159" Type="http://schemas.openxmlformats.org/officeDocument/2006/relationships/image" Target="media/image129.png"/><Relationship Id="rId158" Type="http://schemas.openxmlformats.org/officeDocument/2006/relationships/image" Target="media/image128.png"/><Relationship Id="rId157" Type="http://schemas.openxmlformats.org/officeDocument/2006/relationships/image" Target="media/image127.png"/><Relationship Id="rId156" Type="http://schemas.openxmlformats.org/officeDocument/2006/relationships/image" Target="media/image126.png"/><Relationship Id="rId155" Type="http://schemas.openxmlformats.org/officeDocument/2006/relationships/image" Target="media/image125.png"/><Relationship Id="rId154" Type="http://schemas.openxmlformats.org/officeDocument/2006/relationships/image" Target="media/image124.png"/><Relationship Id="rId153" Type="http://schemas.openxmlformats.org/officeDocument/2006/relationships/image" Target="media/image123.png"/><Relationship Id="rId152" Type="http://schemas.openxmlformats.org/officeDocument/2006/relationships/image" Target="media/image122.png"/><Relationship Id="rId151" Type="http://schemas.openxmlformats.org/officeDocument/2006/relationships/image" Target="media/image121.png"/><Relationship Id="rId150" Type="http://schemas.openxmlformats.org/officeDocument/2006/relationships/image" Target="media/image120.png"/><Relationship Id="rId15" Type="http://schemas.openxmlformats.org/officeDocument/2006/relationships/theme" Target="theme/theme1.xml"/><Relationship Id="rId149" Type="http://schemas.openxmlformats.org/officeDocument/2006/relationships/image" Target="media/image119.png"/><Relationship Id="rId148" Type="http://schemas.openxmlformats.org/officeDocument/2006/relationships/image" Target="media/image118.png"/><Relationship Id="rId147" Type="http://schemas.openxmlformats.org/officeDocument/2006/relationships/image" Target="media/image117.png"/><Relationship Id="rId146" Type="http://schemas.openxmlformats.org/officeDocument/2006/relationships/image" Target="media/image116.jpeg"/><Relationship Id="rId145" Type="http://schemas.openxmlformats.org/officeDocument/2006/relationships/image" Target="media/image115.jpeg"/><Relationship Id="rId144" Type="http://schemas.openxmlformats.org/officeDocument/2006/relationships/image" Target="media/image114.jpeg"/><Relationship Id="rId143" Type="http://schemas.openxmlformats.org/officeDocument/2006/relationships/image" Target="media/image113.jpeg"/><Relationship Id="rId142" Type="http://schemas.openxmlformats.org/officeDocument/2006/relationships/image" Target="media/image112.jpeg"/><Relationship Id="rId141" Type="http://schemas.openxmlformats.org/officeDocument/2006/relationships/image" Target="media/image111.png"/><Relationship Id="rId140" Type="http://schemas.openxmlformats.org/officeDocument/2006/relationships/image" Target="media/image110.png"/><Relationship Id="rId14" Type="http://schemas.openxmlformats.org/officeDocument/2006/relationships/header" Target="header7.xml"/><Relationship Id="rId139" Type="http://schemas.openxmlformats.org/officeDocument/2006/relationships/image" Target="media/image109.png"/><Relationship Id="rId138" Type="http://schemas.openxmlformats.org/officeDocument/2006/relationships/image" Target="media/image108.png"/><Relationship Id="rId137" Type="http://schemas.openxmlformats.org/officeDocument/2006/relationships/image" Target="media/image107.png"/><Relationship Id="rId136" Type="http://schemas.openxmlformats.org/officeDocument/2006/relationships/image" Target="media/image106.png"/><Relationship Id="rId135" Type="http://schemas.openxmlformats.org/officeDocument/2006/relationships/image" Target="media/image105.png"/><Relationship Id="rId134" Type="http://schemas.openxmlformats.org/officeDocument/2006/relationships/image" Target="media/image104.png"/><Relationship Id="rId133" Type="http://schemas.openxmlformats.org/officeDocument/2006/relationships/image" Target="media/image103.png"/><Relationship Id="rId132" Type="http://schemas.openxmlformats.org/officeDocument/2006/relationships/image" Target="media/image102.png"/><Relationship Id="rId131" Type="http://schemas.openxmlformats.org/officeDocument/2006/relationships/image" Target="media/image101.png"/><Relationship Id="rId130" Type="http://schemas.openxmlformats.org/officeDocument/2006/relationships/image" Target="media/image100.png"/><Relationship Id="rId13" Type="http://schemas.openxmlformats.org/officeDocument/2006/relationships/header" Target="header6.xml"/><Relationship Id="rId129" Type="http://schemas.openxmlformats.org/officeDocument/2006/relationships/image" Target="media/image99.png"/><Relationship Id="rId128" Type="http://schemas.openxmlformats.org/officeDocument/2006/relationships/image" Target="media/image98.png"/><Relationship Id="rId127" Type="http://schemas.openxmlformats.org/officeDocument/2006/relationships/image" Target="media/image97.png"/><Relationship Id="rId126" Type="http://schemas.openxmlformats.org/officeDocument/2006/relationships/image" Target="media/image96.png"/><Relationship Id="rId125" Type="http://schemas.openxmlformats.org/officeDocument/2006/relationships/image" Target="media/image95.png"/><Relationship Id="rId124" Type="http://schemas.openxmlformats.org/officeDocument/2006/relationships/image" Target="media/image94.png"/><Relationship Id="rId123" Type="http://schemas.openxmlformats.org/officeDocument/2006/relationships/image" Target="media/image93.png"/><Relationship Id="rId122" Type="http://schemas.openxmlformats.org/officeDocument/2006/relationships/image" Target="media/image92.png"/><Relationship Id="rId121" Type="http://schemas.openxmlformats.org/officeDocument/2006/relationships/image" Target="media/image91.png"/><Relationship Id="rId120" Type="http://schemas.openxmlformats.org/officeDocument/2006/relationships/image" Target="media/image90.png"/><Relationship Id="rId12" Type="http://schemas.openxmlformats.org/officeDocument/2006/relationships/header" Target="header5.xml"/><Relationship Id="rId119" Type="http://schemas.openxmlformats.org/officeDocument/2006/relationships/image" Target="media/image89.png"/><Relationship Id="rId118" Type="http://schemas.openxmlformats.org/officeDocument/2006/relationships/image" Target="media/image88.png"/><Relationship Id="rId117" Type="http://schemas.openxmlformats.org/officeDocument/2006/relationships/image" Target="media/image87.png"/><Relationship Id="rId116" Type="http://schemas.openxmlformats.org/officeDocument/2006/relationships/image" Target="media/image86.png"/><Relationship Id="rId115" Type="http://schemas.openxmlformats.org/officeDocument/2006/relationships/image" Target="media/image85.png"/><Relationship Id="rId114" Type="http://schemas.openxmlformats.org/officeDocument/2006/relationships/image" Target="media/image84.png"/><Relationship Id="rId113" Type="http://schemas.openxmlformats.org/officeDocument/2006/relationships/image" Target="media/image83.png"/><Relationship Id="rId112" Type="http://schemas.openxmlformats.org/officeDocument/2006/relationships/image" Target="media/image82.png"/><Relationship Id="rId111" Type="http://schemas.openxmlformats.org/officeDocument/2006/relationships/image" Target="media/image81.png"/><Relationship Id="rId110" Type="http://schemas.openxmlformats.org/officeDocument/2006/relationships/image" Target="media/image80.png"/><Relationship Id="rId11" Type="http://schemas.openxmlformats.org/officeDocument/2006/relationships/header" Target="header4.xml"/><Relationship Id="rId109" Type="http://schemas.openxmlformats.org/officeDocument/2006/relationships/image" Target="media/image79.png"/><Relationship Id="rId108" Type="http://schemas.openxmlformats.org/officeDocument/2006/relationships/image" Target="media/image78.png"/><Relationship Id="rId107" Type="http://schemas.openxmlformats.org/officeDocument/2006/relationships/image" Target="media/image77.wmf"/><Relationship Id="rId106" Type="http://schemas.openxmlformats.org/officeDocument/2006/relationships/oleObject" Target="embeddings/oleObject15.bin"/><Relationship Id="rId105" Type="http://schemas.openxmlformats.org/officeDocument/2006/relationships/image" Target="media/image76.wmf"/><Relationship Id="rId104" Type="http://schemas.openxmlformats.org/officeDocument/2006/relationships/image" Target="media/image75.wmf"/><Relationship Id="rId103" Type="http://schemas.openxmlformats.org/officeDocument/2006/relationships/image" Target="media/image74.wmf"/><Relationship Id="rId102" Type="http://schemas.openxmlformats.org/officeDocument/2006/relationships/image" Target="media/image73.wmf"/><Relationship Id="rId101" Type="http://schemas.openxmlformats.org/officeDocument/2006/relationships/oleObject" Target="embeddings/oleObject14.bin"/><Relationship Id="rId100" Type="http://schemas.openxmlformats.org/officeDocument/2006/relationships/image" Target="media/image72.wmf"/><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34"/>
    <customShpInfo spid="_x0000_s1035"/>
    <customShpInfo spid="_x0000_s1036"/>
    <customShpInfo spid="_x0000_s1037"/>
    <customShpInfo spid="_x0000_s1038"/>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B147D16-914C-4C58-93D4-0455873575AE}">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266</Pages>
  <Words>24296</Words>
  <Characters>138493</Characters>
  <Lines>1154</Lines>
  <Paragraphs>324</Paragraphs>
  <TotalTime>8</TotalTime>
  <ScaleCrop>false</ScaleCrop>
  <LinksUpToDate>false</LinksUpToDate>
  <CharactersWithSpaces>162465</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2024-04-03T02:55:00Z</dcterms:created>
  <dc:creator>Administrator</dc:creator>
  <cp:lastModifiedBy>WPS_1670550532</cp:lastModifiedBy>
  <cp:lastPrinted>2019-07-01T09:00:00Z</cp:lastPrinted>
  <dcterms:modified xsi:type="dcterms:W3CDTF">2024-04-10T06:47:00Z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B0F6D331C4314C43BBD3FAE9B5E298B0_13</vt:lpwstr>
  </property>
</Properties>
</file>