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sz w:val="36"/>
          <w:szCs w:val="36"/>
          <w:highlight w:val="none"/>
        </w:rPr>
      </w:pPr>
    </w:p>
    <w:p>
      <w:pPr>
        <w:rPr>
          <w:rFonts w:eastAsia="仿宋_GB2312"/>
          <w:sz w:val="36"/>
          <w:szCs w:val="36"/>
          <w:highlight w:val="none"/>
        </w:rPr>
      </w:pPr>
    </w:p>
    <w:p>
      <w:pPr>
        <w:rPr>
          <w:rFonts w:eastAsia="仿宋_GB2312"/>
          <w:sz w:val="36"/>
          <w:szCs w:val="36"/>
          <w:highlight w:val="none"/>
        </w:rPr>
      </w:pPr>
    </w:p>
    <w:p>
      <w:pPr>
        <w:rPr>
          <w:rFonts w:eastAsia="仿宋_GB2312"/>
          <w:sz w:val="36"/>
          <w:szCs w:val="36"/>
          <w:highlight w:val="none"/>
        </w:rPr>
      </w:pPr>
    </w:p>
    <w:p>
      <w:pPr>
        <w:rPr>
          <w:rFonts w:eastAsia="仿宋_GB2312"/>
          <w:sz w:val="36"/>
          <w:szCs w:val="36"/>
          <w:highlight w:val="none"/>
        </w:rPr>
      </w:pPr>
    </w:p>
    <w:p>
      <w:pPr>
        <w:adjustRightInd w:val="0"/>
        <w:snapToGrid w:val="0"/>
        <w:jc w:val="center"/>
        <w:outlineLvl w:val="0"/>
        <w:rPr>
          <w:rFonts w:eastAsia="方正小标宋_GBK"/>
          <w:bCs/>
          <w:sz w:val="72"/>
          <w:szCs w:val="72"/>
          <w:highlight w:val="none"/>
        </w:rPr>
      </w:pPr>
      <w:bookmarkStart w:id="0" w:name="_Toc8828"/>
      <w:bookmarkStart w:id="1" w:name="_Toc17705"/>
      <w:bookmarkStart w:id="2" w:name="_Toc28925"/>
      <w:bookmarkStart w:id="3" w:name="_Toc845"/>
      <w:bookmarkStart w:id="4" w:name="_Toc15511"/>
      <w:bookmarkStart w:id="5" w:name="_Toc23844"/>
      <w:bookmarkStart w:id="6" w:name="_Toc570"/>
      <w:bookmarkStart w:id="7" w:name="_Toc24661"/>
      <w:bookmarkStart w:id="8" w:name="_Toc80034800"/>
      <w:r>
        <w:rPr>
          <w:rFonts w:eastAsia="方正小标宋_GBK"/>
          <w:bCs/>
          <w:sz w:val="72"/>
          <w:szCs w:val="72"/>
          <w:highlight w:val="none"/>
        </w:rPr>
        <w:t>建设项目环境影响报告表</w:t>
      </w:r>
      <w:bookmarkEnd w:id="0"/>
      <w:bookmarkEnd w:id="1"/>
      <w:bookmarkEnd w:id="2"/>
      <w:bookmarkEnd w:id="3"/>
      <w:bookmarkEnd w:id="4"/>
      <w:bookmarkEnd w:id="5"/>
      <w:bookmarkEnd w:id="6"/>
      <w:bookmarkEnd w:id="7"/>
      <w:bookmarkEnd w:id="8"/>
    </w:p>
    <w:p>
      <w:pPr>
        <w:adjustRightInd w:val="0"/>
        <w:snapToGrid w:val="0"/>
        <w:spacing w:before="192" w:beforeLines="80"/>
        <w:jc w:val="center"/>
        <w:rPr>
          <w:rFonts w:eastAsia="楷体_GB2312"/>
          <w:bCs/>
          <w:sz w:val="48"/>
          <w:szCs w:val="48"/>
          <w:highlight w:val="none"/>
        </w:rPr>
      </w:pPr>
      <w:r>
        <w:rPr>
          <w:rFonts w:eastAsia="楷体_GB2312"/>
          <w:bCs/>
          <w:sz w:val="48"/>
          <w:szCs w:val="48"/>
          <w:highlight w:val="none"/>
        </w:rPr>
        <w:t>（污染影响类）</w:t>
      </w:r>
    </w:p>
    <w:p>
      <w:pPr>
        <w:adjustRightInd w:val="0"/>
        <w:snapToGrid w:val="0"/>
        <w:spacing w:before="192" w:beforeLines="80"/>
        <w:jc w:val="center"/>
        <w:rPr>
          <w:rFonts w:eastAsia="楷体_GB2312"/>
          <w:bCs/>
          <w:sz w:val="48"/>
          <w:szCs w:val="48"/>
          <w:highlight w:val="none"/>
        </w:rPr>
      </w:pPr>
    </w:p>
    <w:p>
      <w:pPr>
        <w:rPr>
          <w:highlight w:val="none"/>
        </w:rPr>
      </w:pPr>
    </w:p>
    <w:p>
      <w:pPr>
        <w:jc w:val="center"/>
        <w:rPr>
          <w:rFonts w:eastAsia="仿宋"/>
          <w:sz w:val="52"/>
          <w:szCs w:val="52"/>
          <w:highlight w:val="none"/>
        </w:rPr>
      </w:pPr>
    </w:p>
    <w:p>
      <w:pPr>
        <w:ind w:firstLine="1040"/>
        <w:rPr>
          <w:rFonts w:eastAsia="仿宋"/>
          <w:sz w:val="44"/>
          <w:szCs w:val="44"/>
          <w:highlight w:val="none"/>
        </w:rPr>
      </w:pPr>
    </w:p>
    <w:p>
      <w:pPr>
        <w:ind w:firstLine="1040"/>
        <w:rPr>
          <w:rFonts w:eastAsia="仿宋"/>
          <w:sz w:val="44"/>
          <w:szCs w:val="44"/>
          <w:highlight w:val="none"/>
        </w:rPr>
      </w:pPr>
    </w:p>
    <w:p>
      <w:pPr>
        <w:ind w:firstLine="1040"/>
        <w:rPr>
          <w:rFonts w:eastAsia="仿宋"/>
          <w:sz w:val="44"/>
          <w:szCs w:val="44"/>
          <w:highlight w:val="none"/>
        </w:rPr>
      </w:pPr>
    </w:p>
    <w:p>
      <w:pPr>
        <w:ind w:firstLine="1040"/>
        <w:rPr>
          <w:rFonts w:eastAsia="仿宋"/>
          <w:sz w:val="44"/>
          <w:szCs w:val="44"/>
          <w:highlight w:val="none"/>
        </w:rPr>
      </w:pPr>
    </w:p>
    <w:p>
      <w:pPr>
        <w:adjustRightInd w:val="0"/>
        <w:snapToGrid w:val="0"/>
        <w:spacing w:line="560" w:lineRule="exact"/>
        <w:ind w:left="630" w:leftChars="300"/>
        <w:rPr>
          <w:sz w:val="32"/>
          <w:szCs w:val="32"/>
          <w:highlight w:val="none"/>
          <w:u w:val="single"/>
        </w:rPr>
      </w:pPr>
      <w:r>
        <w:rPr>
          <w:sz w:val="32"/>
          <w:szCs w:val="32"/>
          <w:highlight w:val="none"/>
        </w:rPr>
        <w:t>项目名称：</w:t>
      </w:r>
      <w:r>
        <w:rPr>
          <w:rFonts w:hint="eastAsia"/>
          <w:sz w:val="32"/>
          <w:szCs w:val="32"/>
          <w:highlight w:val="none"/>
          <w:u w:val="single"/>
        </w:rPr>
        <w:t>太保镇开源村宝宇种植合作社黏玉米生产加工项目（重新报批）</w:t>
      </w:r>
    </w:p>
    <w:p>
      <w:pPr>
        <w:adjustRightInd w:val="0"/>
        <w:snapToGrid w:val="0"/>
        <w:spacing w:line="560" w:lineRule="exact"/>
        <w:ind w:left="630" w:leftChars="300"/>
        <w:rPr>
          <w:sz w:val="32"/>
          <w:szCs w:val="32"/>
          <w:highlight w:val="none"/>
        </w:rPr>
      </w:pPr>
      <w:r>
        <w:rPr>
          <w:sz w:val="32"/>
          <w:szCs w:val="32"/>
          <w:highlight w:val="none"/>
        </w:rPr>
        <w:t>建设单位（盖章）：</w:t>
      </w:r>
      <w:r>
        <w:rPr>
          <w:rFonts w:hint="eastAsia"/>
          <w:sz w:val="32"/>
          <w:szCs w:val="32"/>
          <w:highlight w:val="none"/>
          <w:u w:val="single"/>
        </w:rPr>
        <w:t>双鸭山市四方台区太保镇开源村宝宇种植农民专业合作社</w:t>
      </w:r>
    </w:p>
    <w:p>
      <w:pPr>
        <w:adjustRightInd w:val="0"/>
        <w:snapToGrid w:val="0"/>
        <w:spacing w:line="560" w:lineRule="exact"/>
        <w:ind w:left="630" w:leftChars="300"/>
        <w:rPr>
          <w:sz w:val="32"/>
          <w:szCs w:val="32"/>
          <w:highlight w:val="none"/>
          <w:u w:val="single"/>
        </w:rPr>
      </w:pPr>
      <w:r>
        <w:rPr>
          <w:sz w:val="32"/>
          <w:szCs w:val="32"/>
          <w:highlight w:val="none"/>
        </w:rPr>
        <w:t>编制日期：</w:t>
      </w:r>
      <w:r>
        <w:rPr>
          <w:sz w:val="32"/>
          <w:szCs w:val="32"/>
          <w:highlight w:val="none"/>
          <w:u w:val="single"/>
        </w:rPr>
        <w:t xml:space="preserve">    </w:t>
      </w:r>
      <w:r>
        <w:rPr>
          <w:rFonts w:hint="eastAsia"/>
          <w:sz w:val="32"/>
          <w:szCs w:val="32"/>
          <w:highlight w:val="none"/>
          <w:u w:val="single"/>
        </w:rPr>
        <w:t xml:space="preserve">    </w:t>
      </w:r>
      <w:r>
        <w:rPr>
          <w:sz w:val="32"/>
          <w:szCs w:val="32"/>
          <w:highlight w:val="none"/>
          <w:u w:val="single"/>
        </w:rPr>
        <w:t>202</w:t>
      </w:r>
      <w:r>
        <w:rPr>
          <w:rFonts w:hint="eastAsia"/>
          <w:sz w:val="32"/>
          <w:szCs w:val="32"/>
          <w:highlight w:val="none"/>
          <w:u w:val="single"/>
        </w:rPr>
        <w:t>3</w:t>
      </w:r>
      <w:r>
        <w:rPr>
          <w:sz w:val="32"/>
          <w:szCs w:val="32"/>
          <w:highlight w:val="none"/>
          <w:u w:val="single"/>
        </w:rPr>
        <w:t>年</w:t>
      </w:r>
      <w:r>
        <w:rPr>
          <w:rFonts w:hint="eastAsia"/>
          <w:sz w:val="32"/>
          <w:szCs w:val="32"/>
          <w:highlight w:val="none"/>
          <w:u w:val="single"/>
        </w:rPr>
        <w:t>1</w:t>
      </w:r>
      <w:r>
        <w:rPr>
          <w:rFonts w:hint="eastAsia"/>
          <w:sz w:val="32"/>
          <w:szCs w:val="32"/>
          <w:highlight w:val="none"/>
          <w:u w:val="single"/>
          <w:lang w:val="en-US" w:eastAsia="zh-CN"/>
        </w:rPr>
        <w:t>1</w:t>
      </w:r>
      <w:r>
        <w:rPr>
          <w:sz w:val="32"/>
          <w:szCs w:val="32"/>
          <w:highlight w:val="none"/>
          <w:u w:val="single"/>
        </w:rPr>
        <w:t xml:space="preserve">月               </w:t>
      </w:r>
    </w:p>
    <w:p>
      <w:pPr>
        <w:adjustRightInd w:val="0"/>
        <w:snapToGrid w:val="0"/>
        <w:spacing w:line="560" w:lineRule="exact"/>
        <w:ind w:firstLine="1040"/>
        <w:rPr>
          <w:rFonts w:eastAsia="仿宋_GB2312"/>
          <w:sz w:val="36"/>
          <w:szCs w:val="36"/>
          <w:highlight w:val="none"/>
          <w:u w:val="single"/>
        </w:rPr>
      </w:pPr>
      <w:bookmarkStart w:id="9" w:name="_Hlk57884087"/>
    </w:p>
    <w:p>
      <w:pPr>
        <w:adjustRightInd w:val="0"/>
        <w:snapToGrid w:val="0"/>
        <w:spacing w:line="288" w:lineRule="auto"/>
        <w:ind w:firstLine="1040"/>
        <w:rPr>
          <w:rFonts w:eastAsia="仿宋_GB2312"/>
          <w:sz w:val="36"/>
          <w:szCs w:val="36"/>
          <w:highlight w:val="none"/>
        </w:rPr>
      </w:pPr>
    </w:p>
    <w:bookmarkEnd w:id="9"/>
    <w:p>
      <w:pPr>
        <w:adjustRightInd w:val="0"/>
        <w:snapToGrid w:val="0"/>
        <w:spacing w:line="288" w:lineRule="auto"/>
        <w:jc w:val="center"/>
        <w:outlineLvl w:val="0"/>
        <w:rPr>
          <w:rFonts w:eastAsia="楷体_GB2312"/>
          <w:sz w:val="36"/>
          <w:szCs w:val="36"/>
          <w:highlight w:val="none"/>
        </w:rPr>
      </w:pPr>
      <w:bookmarkStart w:id="10" w:name="_Toc28752"/>
      <w:bookmarkStart w:id="11" w:name="_Toc20120"/>
      <w:r>
        <w:rPr>
          <w:rFonts w:hint="eastAsia" w:eastAsia="楷体_GB2312"/>
          <w:sz w:val="36"/>
          <w:szCs w:val="36"/>
          <w:highlight w:val="none"/>
        </w:rPr>
        <w:t>中华人民共和国生态环境部</w:t>
      </w:r>
      <w:r>
        <w:rPr>
          <w:rFonts w:eastAsia="楷体_GB2312"/>
          <w:sz w:val="36"/>
          <w:szCs w:val="36"/>
          <w:highlight w:val="none"/>
        </w:rPr>
        <w:t>制</w:t>
      </w:r>
      <w:bookmarkEnd w:id="10"/>
      <w:bookmarkEnd w:id="11"/>
    </w:p>
    <w:p>
      <w:pPr>
        <w:adjustRightInd w:val="0"/>
        <w:snapToGrid w:val="0"/>
        <w:spacing w:line="288" w:lineRule="auto"/>
        <w:jc w:val="center"/>
        <w:rPr>
          <w:rFonts w:eastAsia="楷体_GB2312"/>
          <w:sz w:val="36"/>
          <w:szCs w:val="36"/>
          <w:highlight w:val="none"/>
        </w:rPr>
      </w:pPr>
    </w:p>
    <w:p>
      <w:pPr>
        <w:rPr>
          <w:highlight w:val="none"/>
        </w:rPr>
        <w:sectPr>
          <w:footerReference r:id="rId3" w:type="default"/>
          <w:pgSz w:w="11906" w:h="16838"/>
          <w:pgMar w:top="1701" w:right="1531" w:bottom="1701" w:left="1531" w:header="851" w:footer="1077" w:gutter="0"/>
          <w:pgNumType w:fmt="decimal" w:start="1"/>
          <w:cols w:space="720" w:num="1"/>
          <w:docGrid w:linePitch="312" w:charSpace="0"/>
        </w:sectPr>
      </w:pPr>
    </w:p>
    <w:p>
      <w:pPr>
        <w:jc w:val="center"/>
        <w:rPr>
          <w:highlight w:val="none"/>
        </w:rPr>
      </w:pPr>
      <w:r>
        <w:rPr>
          <w:rFonts w:hint="eastAsia" w:eastAsiaTheme="minorEastAsia"/>
          <w:highlight w:val="none"/>
          <w:lang w:eastAsia="zh-CN"/>
        </w:rPr>
        <w:drawing>
          <wp:inline distT="0" distB="0" distL="114300" distR="114300">
            <wp:extent cx="5274310" cy="7522210"/>
            <wp:effectExtent l="0" t="0" r="2540" b="2540"/>
            <wp:docPr id="68" name="图片 68"/>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a:blip r:embed="rId12"/>
                  </pic:blipFill>
                  <pic:spPr>
                    <a:xfrm>
                      <a:off x="0" y="0"/>
                      <a:ext cx="5274310" cy="7522210"/>
                    </a:xfrm>
                    <a:prstGeom prst="rect">
                      <a:avLst/>
                    </a:prstGeom>
                  </pic:spPr>
                </pic:pic>
              </a:graphicData>
            </a:graphic>
          </wp:inline>
        </w:drawing>
      </w:r>
    </w:p>
    <w:p>
      <w:pPr>
        <w:rPr>
          <w:highlight w:val="none"/>
        </w:rPr>
      </w:pPr>
    </w:p>
    <w:p>
      <w:pPr>
        <w:widowControl/>
        <w:spacing w:line="360" w:lineRule="auto"/>
        <w:jc w:val="center"/>
        <w:rPr>
          <w:kern w:val="0"/>
          <w:sz w:val="48"/>
          <w:szCs w:val="48"/>
          <w:highlight w:val="none"/>
          <w:lang w:bidi="ar"/>
        </w:rPr>
      </w:pPr>
    </w:p>
    <w:p>
      <w:pPr>
        <w:pStyle w:val="24"/>
        <w:keepNext w:val="0"/>
        <w:keepLines w:val="0"/>
        <w:pageBreakBefore w:val="0"/>
        <w:widowControl/>
        <w:kinsoku/>
        <w:wordWrap/>
        <w:overflowPunct/>
        <w:topLinePunct w:val="0"/>
        <w:autoSpaceDE/>
        <w:autoSpaceDN/>
        <w:bidi w:val="0"/>
        <w:adjustRightInd/>
        <w:snapToGrid/>
        <w:spacing w:after="0" w:afterAutospacing="0" w:line="240" w:lineRule="auto"/>
        <w:jc w:val="center"/>
        <w:textAlignment w:val="auto"/>
        <w:outlineLvl w:val="9"/>
        <w:rPr>
          <w:rFonts w:hint="eastAsia" w:ascii="Times New Roman" w:hAnsi="Times New Roman" w:eastAsia="黑体"/>
          <w:snapToGrid w:val="0"/>
          <w:sz w:val="52"/>
          <w:szCs w:val="52"/>
          <w:highlight w:val="none"/>
          <w:lang w:val="en-US" w:eastAsia="zh-CN"/>
        </w:rPr>
        <w:sectPr>
          <w:footerReference r:id="rId4" w:type="default"/>
          <w:pgSz w:w="11906" w:h="16838"/>
          <w:pgMar w:top="1701" w:right="1531" w:bottom="1701" w:left="1531" w:header="851" w:footer="1077" w:gutter="0"/>
          <w:pgNumType w:fmt="decimal" w:start="1"/>
          <w:cols w:space="720" w:num="1"/>
          <w:docGrid w:linePitch="312" w:charSpace="0"/>
        </w:sectPr>
      </w:pPr>
      <w:bookmarkStart w:id="12" w:name="_Toc29625"/>
    </w:p>
    <w:p>
      <w:pPr>
        <w:pStyle w:val="24"/>
        <w:keepNext w:val="0"/>
        <w:keepLines w:val="0"/>
        <w:pageBreakBefore w:val="0"/>
        <w:widowControl/>
        <w:kinsoku/>
        <w:wordWrap/>
        <w:overflowPunct/>
        <w:topLinePunct w:val="0"/>
        <w:autoSpaceDE/>
        <w:autoSpaceDN/>
        <w:bidi w:val="0"/>
        <w:adjustRightInd/>
        <w:snapToGrid/>
        <w:spacing w:after="0" w:afterAutospacing="0" w:line="240" w:lineRule="auto"/>
        <w:jc w:val="center"/>
        <w:textAlignment w:val="auto"/>
        <w:outlineLvl w:val="0"/>
        <w:rPr>
          <w:rFonts w:hint="eastAsia" w:ascii="Times New Roman" w:hAnsi="Times New Roman" w:eastAsia="黑体"/>
          <w:snapToGrid w:val="0"/>
          <w:sz w:val="52"/>
          <w:szCs w:val="52"/>
          <w:highlight w:val="none"/>
          <w:lang w:val="en-US" w:eastAsia="zh-CN"/>
        </w:rPr>
      </w:pPr>
      <w:bookmarkStart w:id="13" w:name="_Toc8513"/>
      <w:r>
        <w:rPr>
          <w:rFonts w:hint="eastAsia" w:ascii="Times New Roman" w:hAnsi="Times New Roman" w:eastAsia="黑体"/>
          <w:snapToGrid w:val="0"/>
          <w:sz w:val="52"/>
          <w:szCs w:val="52"/>
          <w:highlight w:val="none"/>
          <w:lang w:val="en-US" w:eastAsia="zh-CN"/>
        </w:rPr>
        <w:t>目  录</w:t>
      </w:r>
      <w:bookmarkEnd w:id="13"/>
    </w:p>
    <w:sdt>
      <w:sdtPr>
        <w:rPr>
          <w:rFonts w:ascii="宋体" w:hAnsi="宋体" w:eastAsia="宋体" w:cs="Times New Roman"/>
          <w:kern w:val="2"/>
          <w:sz w:val="21"/>
          <w:szCs w:val="24"/>
          <w:highlight w:val="none"/>
          <w:lang w:val="en-US" w:eastAsia="zh-CN" w:bidi="ar-SA"/>
        </w:rPr>
        <w:id w:val="147475564"/>
        <w15:color w:val="DBDBDB"/>
        <w:docPartObj>
          <w:docPartGallery w:val="Table of Contents"/>
          <w:docPartUnique/>
        </w:docPartObj>
      </w:sdtPr>
      <w:sdtEndPr>
        <w:rPr>
          <w:rFonts w:hint="eastAsia" w:ascii="Times New Roman" w:hAnsi="Times New Roman" w:eastAsia="黑体" w:cs="Times New Roman"/>
          <w:snapToGrid w:val="0"/>
          <w:kern w:val="0"/>
          <w:sz w:val="24"/>
          <w:szCs w:val="52"/>
          <w:highlight w:val="none"/>
          <w:lang w:val="en-US" w:eastAsia="zh-CN" w:bidi="ar-SA"/>
        </w:rPr>
      </w:sdtEndPr>
      <w:sdtContent>
        <w:p>
          <w:pPr>
            <w:spacing w:before="0" w:beforeLines="0" w:after="0" w:afterLines="0" w:line="240" w:lineRule="auto"/>
            <w:ind w:left="0" w:leftChars="0" w:right="0" w:rightChars="0" w:firstLine="0" w:firstLineChars="0"/>
            <w:jc w:val="center"/>
            <w:rPr>
              <w:sz w:val="24"/>
              <w:szCs w:val="24"/>
              <w:highlight w:val="none"/>
            </w:rPr>
          </w:pPr>
          <w:r>
            <w:rPr>
              <w:rFonts w:hint="eastAsia" w:ascii="Times New Roman" w:hAnsi="Times New Roman" w:eastAsia="黑体"/>
              <w:snapToGrid w:val="0"/>
              <w:sz w:val="52"/>
              <w:szCs w:val="52"/>
              <w:highlight w:val="none"/>
              <w:lang w:val="en-US" w:eastAsia="zh-CN"/>
            </w:rPr>
            <w:fldChar w:fldCharType="begin"/>
          </w:r>
          <w:r>
            <w:rPr>
              <w:rFonts w:hint="eastAsia" w:ascii="Times New Roman" w:hAnsi="Times New Roman" w:eastAsia="黑体"/>
              <w:snapToGrid w:val="0"/>
              <w:sz w:val="52"/>
              <w:szCs w:val="52"/>
              <w:highlight w:val="none"/>
              <w:lang w:val="en-US" w:eastAsia="zh-CN"/>
            </w:rPr>
            <w:instrText xml:space="preserve">TOC \o "1-1" \h \u </w:instrText>
          </w:r>
          <w:r>
            <w:rPr>
              <w:rFonts w:hint="eastAsia" w:ascii="Times New Roman" w:hAnsi="Times New Roman" w:eastAsia="黑体"/>
              <w:snapToGrid w:val="0"/>
              <w:sz w:val="52"/>
              <w:szCs w:val="52"/>
              <w:highlight w:val="none"/>
              <w:lang w:val="en-US" w:eastAsia="zh-CN"/>
            </w:rPr>
            <w:fldChar w:fldCharType="separate"/>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_Toc30693 </w:instrText>
          </w:r>
          <w:r>
            <w:rPr>
              <w:rFonts w:hint="eastAsia" w:ascii="Times New Roman" w:hAnsi="Times New Roman" w:eastAsia="黑体"/>
              <w:snapToGrid w:val="0"/>
              <w:sz w:val="24"/>
              <w:szCs w:val="24"/>
              <w:highlight w:val="none"/>
              <w:lang w:val="en-US" w:eastAsia="zh-CN"/>
            </w:rPr>
            <w:fldChar w:fldCharType="separate"/>
          </w:r>
          <w:r>
            <w:rPr>
              <w:rFonts w:ascii="Times New Roman" w:hAnsi="Times New Roman" w:eastAsia="黑体"/>
              <w:snapToGrid w:val="0"/>
              <w:sz w:val="24"/>
              <w:szCs w:val="24"/>
              <w:highlight w:val="none"/>
            </w:rPr>
            <w:t>一、建设项目基本情况</w:t>
          </w:r>
          <w:r>
            <w:rPr>
              <w:sz w:val="24"/>
              <w:szCs w:val="24"/>
              <w:highlight w:val="none"/>
            </w:rPr>
            <w:tab/>
          </w:r>
          <w:r>
            <w:rPr>
              <w:sz w:val="24"/>
              <w:szCs w:val="24"/>
              <w:highlight w:val="none"/>
            </w:rPr>
            <w:fldChar w:fldCharType="begin"/>
          </w:r>
          <w:r>
            <w:rPr>
              <w:sz w:val="24"/>
              <w:szCs w:val="24"/>
              <w:highlight w:val="none"/>
            </w:rPr>
            <w:instrText xml:space="preserve"> PAGEREF _Toc30693 \h </w:instrText>
          </w:r>
          <w:r>
            <w:rPr>
              <w:sz w:val="24"/>
              <w:szCs w:val="24"/>
              <w:highlight w:val="none"/>
            </w:rPr>
            <w:fldChar w:fldCharType="separate"/>
          </w:r>
          <w:r>
            <w:rPr>
              <w:sz w:val="24"/>
              <w:szCs w:val="24"/>
              <w:highlight w:val="none"/>
            </w:rPr>
            <w:t>1</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_Toc13682 </w:instrText>
          </w:r>
          <w:r>
            <w:rPr>
              <w:rFonts w:hint="eastAsia" w:ascii="Times New Roman" w:hAnsi="Times New Roman" w:eastAsia="黑体"/>
              <w:snapToGrid w:val="0"/>
              <w:sz w:val="24"/>
              <w:szCs w:val="24"/>
              <w:highlight w:val="none"/>
              <w:lang w:val="en-US" w:eastAsia="zh-CN"/>
            </w:rPr>
            <w:fldChar w:fldCharType="separate"/>
          </w:r>
          <w:r>
            <w:rPr>
              <w:rFonts w:ascii="Times New Roman" w:hAnsi="Times New Roman" w:eastAsia="黑体"/>
              <w:snapToGrid w:val="0"/>
              <w:sz w:val="24"/>
              <w:szCs w:val="24"/>
              <w:highlight w:val="none"/>
            </w:rPr>
            <w:t>二、建设项目工程分析</w:t>
          </w:r>
          <w:r>
            <w:rPr>
              <w:sz w:val="24"/>
              <w:szCs w:val="24"/>
              <w:highlight w:val="none"/>
            </w:rPr>
            <w:tab/>
          </w:r>
          <w:r>
            <w:rPr>
              <w:sz w:val="24"/>
              <w:szCs w:val="24"/>
              <w:highlight w:val="none"/>
            </w:rPr>
            <w:fldChar w:fldCharType="begin"/>
          </w:r>
          <w:r>
            <w:rPr>
              <w:sz w:val="24"/>
              <w:szCs w:val="24"/>
              <w:highlight w:val="none"/>
            </w:rPr>
            <w:instrText xml:space="preserve"> PAGEREF _Toc13682 \h </w:instrText>
          </w:r>
          <w:r>
            <w:rPr>
              <w:sz w:val="24"/>
              <w:szCs w:val="24"/>
              <w:highlight w:val="none"/>
            </w:rPr>
            <w:fldChar w:fldCharType="separate"/>
          </w:r>
          <w:r>
            <w:rPr>
              <w:sz w:val="24"/>
              <w:szCs w:val="24"/>
              <w:highlight w:val="none"/>
            </w:rPr>
            <w:t>7</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_Toc4086 </w:instrText>
          </w:r>
          <w:r>
            <w:rPr>
              <w:rFonts w:hint="eastAsia" w:ascii="Times New Roman" w:hAnsi="Times New Roman" w:eastAsia="黑体"/>
              <w:snapToGrid w:val="0"/>
              <w:sz w:val="24"/>
              <w:szCs w:val="24"/>
              <w:highlight w:val="none"/>
              <w:lang w:val="en-US" w:eastAsia="zh-CN"/>
            </w:rPr>
            <w:fldChar w:fldCharType="separate"/>
          </w:r>
          <w:r>
            <w:rPr>
              <w:rFonts w:ascii="Times New Roman" w:hAnsi="Times New Roman" w:eastAsia="黑体"/>
              <w:snapToGrid w:val="0"/>
              <w:sz w:val="24"/>
              <w:szCs w:val="24"/>
              <w:highlight w:val="none"/>
            </w:rPr>
            <w:t>三、区域环境质量现状、环境保护目标及评价标准</w:t>
          </w:r>
          <w:r>
            <w:rPr>
              <w:sz w:val="24"/>
              <w:szCs w:val="24"/>
              <w:highlight w:val="none"/>
            </w:rPr>
            <w:tab/>
          </w:r>
          <w:r>
            <w:rPr>
              <w:sz w:val="24"/>
              <w:szCs w:val="24"/>
              <w:highlight w:val="none"/>
            </w:rPr>
            <w:fldChar w:fldCharType="begin"/>
          </w:r>
          <w:r>
            <w:rPr>
              <w:sz w:val="24"/>
              <w:szCs w:val="24"/>
              <w:highlight w:val="none"/>
            </w:rPr>
            <w:instrText xml:space="preserve"> PAGEREF _Toc4086 \h </w:instrText>
          </w:r>
          <w:r>
            <w:rPr>
              <w:sz w:val="24"/>
              <w:szCs w:val="24"/>
              <w:highlight w:val="none"/>
            </w:rPr>
            <w:fldChar w:fldCharType="separate"/>
          </w:r>
          <w:r>
            <w:rPr>
              <w:sz w:val="24"/>
              <w:szCs w:val="24"/>
              <w:highlight w:val="none"/>
            </w:rPr>
            <w:t>17</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_Toc13598 </w:instrText>
          </w:r>
          <w:r>
            <w:rPr>
              <w:rFonts w:hint="eastAsia" w:ascii="Times New Roman" w:hAnsi="Times New Roman" w:eastAsia="黑体"/>
              <w:snapToGrid w:val="0"/>
              <w:sz w:val="24"/>
              <w:szCs w:val="24"/>
              <w:highlight w:val="none"/>
              <w:lang w:val="en-US" w:eastAsia="zh-CN"/>
            </w:rPr>
            <w:fldChar w:fldCharType="separate"/>
          </w:r>
          <w:r>
            <w:rPr>
              <w:rFonts w:ascii="Times New Roman" w:hAnsi="Times New Roman" w:eastAsia="黑体"/>
              <w:snapToGrid w:val="0"/>
              <w:sz w:val="24"/>
              <w:szCs w:val="24"/>
              <w:highlight w:val="none"/>
            </w:rPr>
            <w:t>四、主要环境影响和保护措施</w:t>
          </w:r>
          <w:r>
            <w:rPr>
              <w:sz w:val="24"/>
              <w:szCs w:val="24"/>
              <w:highlight w:val="none"/>
            </w:rPr>
            <w:tab/>
          </w:r>
          <w:r>
            <w:rPr>
              <w:sz w:val="24"/>
              <w:szCs w:val="24"/>
              <w:highlight w:val="none"/>
            </w:rPr>
            <w:fldChar w:fldCharType="begin"/>
          </w:r>
          <w:r>
            <w:rPr>
              <w:sz w:val="24"/>
              <w:szCs w:val="24"/>
              <w:highlight w:val="none"/>
            </w:rPr>
            <w:instrText xml:space="preserve"> PAGEREF _Toc13598 \h </w:instrText>
          </w:r>
          <w:r>
            <w:rPr>
              <w:sz w:val="24"/>
              <w:szCs w:val="24"/>
              <w:highlight w:val="none"/>
            </w:rPr>
            <w:fldChar w:fldCharType="separate"/>
          </w:r>
          <w:r>
            <w:rPr>
              <w:sz w:val="24"/>
              <w:szCs w:val="24"/>
              <w:highlight w:val="none"/>
            </w:rPr>
            <w:t>25</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_Toc1637 </w:instrText>
          </w:r>
          <w:r>
            <w:rPr>
              <w:rFonts w:hint="eastAsia" w:ascii="Times New Roman" w:hAnsi="Times New Roman" w:eastAsia="黑体"/>
              <w:snapToGrid w:val="0"/>
              <w:sz w:val="24"/>
              <w:szCs w:val="24"/>
              <w:highlight w:val="none"/>
              <w:lang w:val="en-US" w:eastAsia="zh-CN"/>
            </w:rPr>
            <w:fldChar w:fldCharType="separate"/>
          </w:r>
          <w:r>
            <w:rPr>
              <w:rFonts w:ascii="Times New Roman" w:hAnsi="Times New Roman" w:eastAsia="黑体"/>
              <w:snapToGrid w:val="0"/>
              <w:sz w:val="24"/>
              <w:szCs w:val="24"/>
              <w:highlight w:val="none"/>
            </w:rPr>
            <w:t>五、环境保护措施监督检查清单</w:t>
          </w:r>
          <w:r>
            <w:rPr>
              <w:sz w:val="24"/>
              <w:szCs w:val="24"/>
              <w:highlight w:val="none"/>
            </w:rPr>
            <w:tab/>
          </w:r>
          <w:r>
            <w:rPr>
              <w:sz w:val="24"/>
              <w:szCs w:val="24"/>
              <w:highlight w:val="none"/>
            </w:rPr>
            <w:fldChar w:fldCharType="begin"/>
          </w:r>
          <w:r>
            <w:rPr>
              <w:sz w:val="24"/>
              <w:szCs w:val="24"/>
              <w:highlight w:val="none"/>
            </w:rPr>
            <w:instrText xml:space="preserve"> PAGEREF _Toc1637 \h </w:instrText>
          </w:r>
          <w:r>
            <w:rPr>
              <w:sz w:val="24"/>
              <w:szCs w:val="24"/>
              <w:highlight w:val="none"/>
            </w:rPr>
            <w:fldChar w:fldCharType="separate"/>
          </w:r>
          <w:r>
            <w:rPr>
              <w:sz w:val="24"/>
              <w:szCs w:val="24"/>
              <w:highlight w:val="none"/>
            </w:rPr>
            <w:t>41</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_Toc28480 </w:instrText>
          </w:r>
          <w:r>
            <w:rPr>
              <w:rFonts w:hint="eastAsia" w:ascii="Times New Roman" w:hAnsi="Times New Roman" w:eastAsia="黑体"/>
              <w:snapToGrid w:val="0"/>
              <w:sz w:val="24"/>
              <w:szCs w:val="24"/>
              <w:highlight w:val="none"/>
              <w:lang w:val="en-US" w:eastAsia="zh-CN"/>
            </w:rPr>
            <w:fldChar w:fldCharType="separate"/>
          </w:r>
          <w:r>
            <w:rPr>
              <w:rFonts w:ascii="Times New Roman" w:hAnsi="Times New Roman" w:eastAsia="黑体"/>
              <w:snapToGrid w:val="0"/>
              <w:sz w:val="24"/>
              <w:szCs w:val="24"/>
              <w:highlight w:val="none"/>
            </w:rPr>
            <w:t>六、结论</w:t>
          </w:r>
          <w:r>
            <w:rPr>
              <w:sz w:val="24"/>
              <w:szCs w:val="24"/>
              <w:highlight w:val="none"/>
            </w:rPr>
            <w:tab/>
          </w:r>
          <w:r>
            <w:rPr>
              <w:sz w:val="24"/>
              <w:szCs w:val="24"/>
              <w:highlight w:val="none"/>
            </w:rPr>
            <w:fldChar w:fldCharType="begin"/>
          </w:r>
          <w:r>
            <w:rPr>
              <w:sz w:val="24"/>
              <w:szCs w:val="24"/>
              <w:highlight w:val="none"/>
            </w:rPr>
            <w:instrText xml:space="preserve"> PAGEREF _Toc28480 \h </w:instrText>
          </w:r>
          <w:r>
            <w:rPr>
              <w:sz w:val="24"/>
              <w:szCs w:val="24"/>
              <w:highlight w:val="none"/>
            </w:rPr>
            <w:fldChar w:fldCharType="separate"/>
          </w:r>
          <w:r>
            <w:rPr>
              <w:sz w:val="24"/>
              <w:szCs w:val="24"/>
              <w:highlight w:val="none"/>
            </w:rPr>
            <w:t>43</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_Toc15029 </w:instrText>
          </w:r>
          <w:r>
            <w:rPr>
              <w:rFonts w:hint="eastAsia" w:ascii="Times New Roman" w:hAnsi="Times New Roman" w:eastAsia="黑体"/>
              <w:snapToGrid w:val="0"/>
              <w:sz w:val="24"/>
              <w:szCs w:val="24"/>
              <w:highlight w:val="none"/>
              <w:lang w:val="en-US" w:eastAsia="zh-CN"/>
            </w:rPr>
            <w:fldChar w:fldCharType="separate"/>
          </w:r>
          <w:r>
            <w:rPr>
              <w:rFonts w:ascii="Times New Roman" w:hAnsi="Times New Roman" w:eastAsia="黑体"/>
              <w:snapToGrid w:val="0"/>
              <w:sz w:val="24"/>
              <w:szCs w:val="24"/>
              <w:highlight w:val="none"/>
            </w:rPr>
            <w:t>附表</w:t>
          </w:r>
          <w:r>
            <w:rPr>
              <w:sz w:val="24"/>
              <w:szCs w:val="24"/>
              <w:highlight w:val="none"/>
            </w:rPr>
            <w:tab/>
          </w:r>
          <w:r>
            <w:rPr>
              <w:sz w:val="24"/>
              <w:szCs w:val="24"/>
              <w:highlight w:val="none"/>
            </w:rPr>
            <w:fldChar w:fldCharType="begin"/>
          </w:r>
          <w:r>
            <w:rPr>
              <w:sz w:val="24"/>
              <w:szCs w:val="24"/>
              <w:highlight w:val="none"/>
            </w:rPr>
            <w:instrText xml:space="preserve"> PAGEREF _Toc15029 \h </w:instrText>
          </w:r>
          <w:r>
            <w:rPr>
              <w:sz w:val="24"/>
              <w:szCs w:val="24"/>
              <w:highlight w:val="none"/>
            </w:rPr>
            <w:fldChar w:fldCharType="separate"/>
          </w:r>
          <w:r>
            <w:rPr>
              <w:sz w:val="24"/>
              <w:szCs w:val="24"/>
              <w:highlight w:val="none"/>
            </w:rPr>
            <w:t>44</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_Toc17547 </w:instrText>
          </w:r>
          <w:r>
            <w:rPr>
              <w:rFonts w:hint="eastAsia" w:ascii="Times New Roman" w:hAnsi="Times New Roman" w:eastAsia="黑体"/>
              <w:snapToGrid w:val="0"/>
              <w:sz w:val="24"/>
              <w:szCs w:val="24"/>
              <w:highlight w:val="none"/>
              <w:lang w:val="en-US" w:eastAsia="zh-CN"/>
            </w:rPr>
            <w:fldChar w:fldCharType="separate"/>
          </w:r>
          <w:r>
            <w:rPr>
              <w:rFonts w:ascii="Times New Roman" w:hAnsi="Times New Roman" w:eastAsia="方正小标宋_GBK"/>
              <w:snapToGrid w:val="0"/>
              <w:sz w:val="24"/>
              <w:szCs w:val="24"/>
              <w:highlight w:val="none"/>
            </w:rPr>
            <w:t>建设项目污染物排放量汇总表</w:t>
          </w:r>
          <w:r>
            <w:rPr>
              <w:sz w:val="24"/>
              <w:szCs w:val="24"/>
              <w:highlight w:val="none"/>
            </w:rPr>
            <w:tab/>
          </w:r>
          <w:r>
            <w:rPr>
              <w:sz w:val="24"/>
              <w:szCs w:val="24"/>
              <w:highlight w:val="none"/>
            </w:rPr>
            <w:fldChar w:fldCharType="begin"/>
          </w:r>
          <w:r>
            <w:rPr>
              <w:sz w:val="24"/>
              <w:szCs w:val="24"/>
              <w:highlight w:val="none"/>
            </w:rPr>
            <w:instrText xml:space="preserve"> PAGEREF _Toc17547 \h </w:instrText>
          </w:r>
          <w:r>
            <w:rPr>
              <w:sz w:val="24"/>
              <w:szCs w:val="24"/>
              <w:highlight w:val="none"/>
            </w:rPr>
            <w:fldChar w:fldCharType="separate"/>
          </w:r>
          <w:r>
            <w:rPr>
              <w:sz w:val="24"/>
              <w:szCs w:val="24"/>
              <w:highlight w:val="none"/>
            </w:rPr>
            <w:t>44</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_Toc4247 </w:instrText>
          </w:r>
          <w:r>
            <w:rPr>
              <w:rFonts w:hint="eastAsia" w:ascii="Times New Roman" w:hAnsi="Times New Roman" w:eastAsia="黑体"/>
              <w:snapToGrid w:val="0"/>
              <w:sz w:val="24"/>
              <w:szCs w:val="24"/>
              <w:highlight w:val="none"/>
              <w:lang w:val="en-US" w:eastAsia="zh-CN"/>
            </w:rPr>
            <w:fldChar w:fldCharType="separate"/>
          </w:r>
          <w:r>
            <w:rPr>
              <w:rFonts w:eastAsia="黑体"/>
              <w:snapToGrid w:val="0"/>
              <w:sz w:val="24"/>
              <w:szCs w:val="24"/>
              <w:highlight w:val="none"/>
            </w:rPr>
            <w:t>附图1</w:t>
          </w:r>
          <w:r>
            <w:rPr>
              <w:rFonts w:hint="eastAsia" w:eastAsia="黑体"/>
              <w:snapToGrid w:val="0"/>
              <w:sz w:val="24"/>
              <w:szCs w:val="24"/>
              <w:highlight w:val="none"/>
            </w:rPr>
            <w:t xml:space="preserve"> 项目</w:t>
          </w:r>
          <w:r>
            <w:rPr>
              <w:rFonts w:eastAsia="黑体"/>
              <w:snapToGrid w:val="0"/>
              <w:sz w:val="24"/>
              <w:szCs w:val="24"/>
              <w:highlight w:val="none"/>
            </w:rPr>
            <w:t>地理位置图</w:t>
          </w:r>
          <w:r>
            <w:rPr>
              <w:sz w:val="24"/>
              <w:szCs w:val="24"/>
              <w:highlight w:val="none"/>
            </w:rPr>
            <w:tab/>
          </w:r>
          <w:r>
            <w:rPr>
              <w:sz w:val="24"/>
              <w:szCs w:val="24"/>
              <w:highlight w:val="none"/>
            </w:rPr>
            <w:fldChar w:fldCharType="begin"/>
          </w:r>
          <w:r>
            <w:rPr>
              <w:sz w:val="24"/>
              <w:szCs w:val="24"/>
              <w:highlight w:val="none"/>
            </w:rPr>
            <w:instrText xml:space="preserve"> PAGEREF _Toc4247 \h </w:instrText>
          </w:r>
          <w:r>
            <w:rPr>
              <w:sz w:val="24"/>
              <w:szCs w:val="24"/>
              <w:highlight w:val="none"/>
            </w:rPr>
            <w:fldChar w:fldCharType="separate"/>
          </w:r>
          <w:r>
            <w:rPr>
              <w:sz w:val="24"/>
              <w:szCs w:val="24"/>
              <w:highlight w:val="none"/>
            </w:rPr>
            <w:t>45</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_Toc9529 </w:instrText>
          </w:r>
          <w:r>
            <w:rPr>
              <w:rFonts w:hint="eastAsia" w:ascii="Times New Roman" w:hAnsi="Times New Roman" w:eastAsia="黑体"/>
              <w:snapToGrid w:val="0"/>
              <w:sz w:val="24"/>
              <w:szCs w:val="24"/>
              <w:highlight w:val="none"/>
              <w:lang w:val="en-US" w:eastAsia="zh-CN"/>
            </w:rPr>
            <w:fldChar w:fldCharType="separate"/>
          </w:r>
          <w:r>
            <w:rPr>
              <w:rFonts w:hint="eastAsia"/>
              <w:bCs/>
              <w:sz w:val="24"/>
              <w:szCs w:val="24"/>
              <w:highlight w:val="none"/>
            </w:rPr>
            <w:t xml:space="preserve">附图2 </w:t>
          </w:r>
          <w:r>
            <w:rPr>
              <w:bCs/>
              <w:sz w:val="24"/>
              <w:szCs w:val="24"/>
              <w:highlight w:val="none"/>
            </w:rPr>
            <w:t>双鸭山市环境管控单元分布图</w:t>
          </w:r>
          <w:r>
            <w:rPr>
              <w:sz w:val="24"/>
              <w:szCs w:val="24"/>
              <w:highlight w:val="none"/>
            </w:rPr>
            <w:tab/>
          </w:r>
          <w:r>
            <w:rPr>
              <w:sz w:val="24"/>
              <w:szCs w:val="24"/>
              <w:highlight w:val="none"/>
            </w:rPr>
            <w:fldChar w:fldCharType="begin"/>
          </w:r>
          <w:r>
            <w:rPr>
              <w:sz w:val="24"/>
              <w:szCs w:val="24"/>
              <w:highlight w:val="none"/>
            </w:rPr>
            <w:instrText xml:space="preserve"> PAGEREF _Toc9529 \h </w:instrText>
          </w:r>
          <w:r>
            <w:rPr>
              <w:sz w:val="24"/>
              <w:szCs w:val="24"/>
              <w:highlight w:val="none"/>
            </w:rPr>
            <w:fldChar w:fldCharType="separate"/>
          </w:r>
          <w:r>
            <w:rPr>
              <w:sz w:val="24"/>
              <w:szCs w:val="24"/>
              <w:highlight w:val="none"/>
            </w:rPr>
            <w:t>46</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_Toc7349 </w:instrText>
          </w:r>
          <w:r>
            <w:rPr>
              <w:rFonts w:hint="eastAsia" w:ascii="Times New Roman" w:hAnsi="Times New Roman" w:eastAsia="黑体"/>
              <w:snapToGrid w:val="0"/>
              <w:sz w:val="24"/>
              <w:szCs w:val="24"/>
              <w:highlight w:val="none"/>
              <w:lang w:val="en-US" w:eastAsia="zh-CN"/>
            </w:rPr>
            <w:fldChar w:fldCharType="separate"/>
          </w:r>
          <w:r>
            <w:rPr>
              <w:bCs/>
              <w:sz w:val="24"/>
              <w:szCs w:val="24"/>
              <w:highlight w:val="none"/>
            </w:rPr>
            <w:t>附图</w:t>
          </w:r>
          <w:r>
            <w:rPr>
              <w:rFonts w:hint="eastAsia"/>
              <w:bCs/>
              <w:sz w:val="24"/>
              <w:szCs w:val="24"/>
              <w:highlight w:val="none"/>
            </w:rPr>
            <w:t>3</w:t>
          </w:r>
          <w:r>
            <w:rPr>
              <w:bCs/>
              <w:sz w:val="24"/>
              <w:szCs w:val="24"/>
              <w:highlight w:val="none"/>
            </w:rPr>
            <w:t xml:space="preserve"> </w:t>
          </w:r>
          <w:r>
            <w:rPr>
              <w:rFonts w:hint="eastAsia"/>
              <w:bCs/>
              <w:sz w:val="24"/>
              <w:szCs w:val="24"/>
              <w:highlight w:val="none"/>
            </w:rPr>
            <w:t>项目</w:t>
          </w:r>
          <w:r>
            <w:rPr>
              <w:bCs/>
              <w:sz w:val="24"/>
              <w:szCs w:val="24"/>
              <w:highlight w:val="none"/>
            </w:rPr>
            <w:t>平面布置图</w:t>
          </w:r>
          <w:r>
            <w:rPr>
              <w:sz w:val="24"/>
              <w:szCs w:val="24"/>
              <w:highlight w:val="none"/>
            </w:rPr>
            <w:tab/>
          </w:r>
          <w:r>
            <w:rPr>
              <w:sz w:val="24"/>
              <w:szCs w:val="24"/>
              <w:highlight w:val="none"/>
            </w:rPr>
            <w:fldChar w:fldCharType="begin"/>
          </w:r>
          <w:r>
            <w:rPr>
              <w:sz w:val="24"/>
              <w:szCs w:val="24"/>
              <w:highlight w:val="none"/>
            </w:rPr>
            <w:instrText xml:space="preserve"> PAGEREF _Toc7349 \h </w:instrText>
          </w:r>
          <w:r>
            <w:rPr>
              <w:sz w:val="24"/>
              <w:szCs w:val="24"/>
              <w:highlight w:val="none"/>
            </w:rPr>
            <w:fldChar w:fldCharType="separate"/>
          </w:r>
          <w:r>
            <w:rPr>
              <w:sz w:val="24"/>
              <w:szCs w:val="24"/>
              <w:highlight w:val="none"/>
            </w:rPr>
            <w:t>47</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_Toc30472 </w:instrText>
          </w:r>
          <w:r>
            <w:rPr>
              <w:rFonts w:hint="eastAsia" w:ascii="Times New Roman" w:hAnsi="Times New Roman" w:eastAsia="黑体"/>
              <w:snapToGrid w:val="0"/>
              <w:sz w:val="24"/>
              <w:szCs w:val="24"/>
              <w:highlight w:val="none"/>
              <w:lang w:val="en-US" w:eastAsia="zh-CN"/>
            </w:rPr>
            <w:fldChar w:fldCharType="separate"/>
          </w:r>
          <w:r>
            <w:rPr>
              <w:sz w:val="24"/>
              <w:szCs w:val="24"/>
              <w:highlight w:val="none"/>
            </w:rPr>
            <w:t>附图</w:t>
          </w:r>
          <w:r>
            <w:rPr>
              <w:rFonts w:hint="eastAsia"/>
              <w:sz w:val="24"/>
              <w:szCs w:val="24"/>
              <w:highlight w:val="none"/>
            </w:rPr>
            <w:t>4</w:t>
          </w:r>
          <w:r>
            <w:rPr>
              <w:sz w:val="24"/>
              <w:szCs w:val="24"/>
              <w:highlight w:val="none"/>
            </w:rPr>
            <w:t xml:space="preserve">  项目四周照片</w:t>
          </w:r>
          <w:r>
            <w:rPr>
              <w:sz w:val="24"/>
              <w:szCs w:val="24"/>
              <w:highlight w:val="none"/>
            </w:rPr>
            <w:tab/>
          </w:r>
          <w:r>
            <w:rPr>
              <w:sz w:val="24"/>
              <w:szCs w:val="24"/>
              <w:highlight w:val="none"/>
            </w:rPr>
            <w:fldChar w:fldCharType="begin"/>
          </w:r>
          <w:r>
            <w:rPr>
              <w:sz w:val="24"/>
              <w:szCs w:val="24"/>
              <w:highlight w:val="none"/>
            </w:rPr>
            <w:instrText xml:space="preserve"> PAGEREF _Toc30472 \h </w:instrText>
          </w:r>
          <w:r>
            <w:rPr>
              <w:sz w:val="24"/>
              <w:szCs w:val="24"/>
              <w:highlight w:val="none"/>
            </w:rPr>
            <w:fldChar w:fldCharType="separate"/>
          </w:r>
          <w:r>
            <w:rPr>
              <w:sz w:val="24"/>
              <w:szCs w:val="24"/>
              <w:highlight w:val="none"/>
            </w:rPr>
            <w:t>48</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_Toc17134 </w:instrText>
          </w:r>
          <w:r>
            <w:rPr>
              <w:rFonts w:hint="eastAsia" w:ascii="Times New Roman" w:hAnsi="Times New Roman" w:eastAsia="黑体"/>
              <w:snapToGrid w:val="0"/>
              <w:sz w:val="24"/>
              <w:szCs w:val="24"/>
              <w:highlight w:val="none"/>
              <w:lang w:val="en-US" w:eastAsia="zh-CN"/>
            </w:rPr>
            <w:fldChar w:fldCharType="separate"/>
          </w:r>
          <w:r>
            <w:rPr>
              <w:rFonts w:eastAsia="黑体"/>
              <w:snapToGrid w:val="0"/>
              <w:sz w:val="24"/>
              <w:szCs w:val="24"/>
              <w:highlight w:val="none"/>
            </w:rPr>
            <w:t>附件1 营业执照</w:t>
          </w:r>
          <w:r>
            <w:rPr>
              <w:sz w:val="24"/>
              <w:szCs w:val="24"/>
              <w:highlight w:val="none"/>
            </w:rPr>
            <w:tab/>
          </w:r>
          <w:r>
            <w:rPr>
              <w:sz w:val="24"/>
              <w:szCs w:val="24"/>
              <w:highlight w:val="none"/>
            </w:rPr>
            <w:fldChar w:fldCharType="begin"/>
          </w:r>
          <w:r>
            <w:rPr>
              <w:sz w:val="24"/>
              <w:szCs w:val="24"/>
              <w:highlight w:val="none"/>
            </w:rPr>
            <w:instrText xml:space="preserve"> PAGEREF _Toc17134 \h </w:instrText>
          </w:r>
          <w:r>
            <w:rPr>
              <w:sz w:val="24"/>
              <w:szCs w:val="24"/>
              <w:highlight w:val="none"/>
            </w:rPr>
            <w:fldChar w:fldCharType="separate"/>
          </w:r>
          <w:r>
            <w:rPr>
              <w:sz w:val="24"/>
              <w:szCs w:val="24"/>
              <w:highlight w:val="none"/>
            </w:rPr>
            <w:t>49</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_Toc14094 </w:instrText>
          </w:r>
          <w:r>
            <w:rPr>
              <w:rFonts w:hint="eastAsia" w:ascii="Times New Roman" w:hAnsi="Times New Roman" w:eastAsia="黑体"/>
              <w:snapToGrid w:val="0"/>
              <w:sz w:val="24"/>
              <w:szCs w:val="24"/>
              <w:highlight w:val="none"/>
              <w:lang w:val="en-US" w:eastAsia="zh-CN"/>
            </w:rPr>
            <w:fldChar w:fldCharType="separate"/>
          </w:r>
          <w:r>
            <w:rPr>
              <w:rFonts w:eastAsia="黑体"/>
              <w:snapToGrid w:val="0"/>
              <w:sz w:val="24"/>
              <w:szCs w:val="24"/>
              <w:highlight w:val="none"/>
            </w:rPr>
            <w:t>附件</w:t>
          </w:r>
          <w:r>
            <w:rPr>
              <w:rFonts w:hint="eastAsia" w:eastAsia="黑体"/>
              <w:snapToGrid w:val="0"/>
              <w:sz w:val="24"/>
              <w:szCs w:val="24"/>
              <w:highlight w:val="none"/>
            </w:rPr>
            <w:t>2</w:t>
          </w:r>
          <w:r>
            <w:rPr>
              <w:rFonts w:eastAsia="黑体"/>
              <w:snapToGrid w:val="0"/>
              <w:sz w:val="24"/>
              <w:szCs w:val="24"/>
              <w:highlight w:val="none"/>
            </w:rPr>
            <w:t xml:space="preserve"> </w:t>
          </w:r>
          <w:r>
            <w:rPr>
              <w:rFonts w:hint="eastAsia" w:eastAsia="黑体"/>
              <w:snapToGrid w:val="0"/>
              <w:sz w:val="24"/>
              <w:szCs w:val="24"/>
              <w:highlight w:val="none"/>
            </w:rPr>
            <w:t>土地文件</w:t>
          </w:r>
          <w:r>
            <w:rPr>
              <w:sz w:val="24"/>
              <w:szCs w:val="24"/>
              <w:highlight w:val="none"/>
            </w:rPr>
            <w:tab/>
          </w:r>
          <w:r>
            <w:rPr>
              <w:sz w:val="24"/>
              <w:szCs w:val="24"/>
              <w:highlight w:val="none"/>
            </w:rPr>
            <w:fldChar w:fldCharType="begin"/>
          </w:r>
          <w:r>
            <w:rPr>
              <w:sz w:val="24"/>
              <w:szCs w:val="24"/>
              <w:highlight w:val="none"/>
            </w:rPr>
            <w:instrText xml:space="preserve"> PAGEREF _Toc14094 \h </w:instrText>
          </w:r>
          <w:r>
            <w:rPr>
              <w:sz w:val="24"/>
              <w:szCs w:val="24"/>
              <w:highlight w:val="none"/>
            </w:rPr>
            <w:fldChar w:fldCharType="separate"/>
          </w:r>
          <w:r>
            <w:rPr>
              <w:sz w:val="24"/>
              <w:szCs w:val="24"/>
              <w:highlight w:val="none"/>
            </w:rPr>
            <w:t>50</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_Toc23017 </w:instrText>
          </w:r>
          <w:r>
            <w:rPr>
              <w:rFonts w:hint="eastAsia" w:ascii="Times New Roman" w:hAnsi="Times New Roman" w:eastAsia="黑体"/>
              <w:snapToGrid w:val="0"/>
              <w:sz w:val="24"/>
              <w:szCs w:val="24"/>
              <w:highlight w:val="none"/>
              <w:lang w:val="en-US" w:eastAsia="zh-CN"/>
            </w:rPr>
            <w:fldChar w:fldCharType="separate"/>
          </w:r>
          <w:r>
            <w:rPr>
              <w:rFonts w:eastAsia="黑体"/>
              <w:snapToGrid w:val="0"/>
              <w:sz w:val="24"/>
              <w:szCs w:val="24"/>
              <w:highlight w:val="none"/>
            </w:rPr>
            <w:t>附件</w:t>
          </w:r>
          <w:r>
            <w:rPr>
              <w:rFonts w:hint="eastAsia" w:eastAsia="黑体"/>
              <w:snapToGrid w:val="0"/>
              <w:sz w:val="24"/>
              <w:szCs w:val="24"/>
              <w:highlight w:val="none"/>
            </w:rPr>
            <w:t>3</w:t>
          </w:r>
          <w:r>
            <w:rPr>
              <w:rFonts w:eastAsia="黑体"/>
              <w:snapToGrid w:val="0"/>
              <w:sz w:val="24"/>
              <w:szCs w:val="24"/>
              <w:highlight w:val="none"/>
            </w:rPr>
            <w:t xml:space="preserve"> </w:t>
          </w:r>
          <w:r>
            <w:rPr>
              <w:rFonts w:hint="eastAsia" w:eastAsia="黑体"/>
              <w:snapToGrid w:val="0"/>
              <w:sz w:val="24"/>
              <w:szCs w:val="24"/>
              <w:highlight w:val="none"/>
            </w:rPr>
            <w:t>燃料分析单</w:t>
          </w:r>
          <w:r>
            <w:rPr>
              <w:sz w:val="24"/>
              <w:szCs w:val="24"/>
              <w:highlight w:val="none"/>
            </w:rPr>
            <w:tab/>
          </w:r>
          <w:r>
            <w:rPr>
              <w:sz w:val="24"/>
              <w:szCs w:val="24"/>
              <w:highlight w:val="none"/>
            </w:rPr>
            <w:fldChar w:fldCharType="begin"/>
          </w:r>
          <w:r>
            <w:rPr>
              <w:sz w:val="24"/>
              <w:szCs w:val="24"/>
              <w:highlight w:val="none"/>
            </w:rPr>
            <w:instrText xml:space="preserve"> PAGEREF _Toc23017 \h </w:instrText>
          </w:r>
          <w:r>
            <w:rPr>
              <w:sz w:val="24"/>
              <w:szCs w:val="24"/>
              <w:highlight w:val="none"/>
            </w:rPr>
            <w:fldChar w:fldCharType="separate"/>
          </w:r>
          <w:r>
            <w:rPr>
              <w:sz w:val="24"/>
              <w:szCs w:val="24"/>
              <w:highlight w:val="none"/>
            </w:rPr>
            <w:t>51</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_Toc8089 </w:instrText>
          </w:r>
          <w:r>
            <w:rPr>
              <w:rFonts w:hint="eastAsia" w:ascii="Times New Roman" w:hAnsi="Times New Roman" w:eastAsia="黑体"/>
              <w:snapToGrid w:val="0"/>
              <w:sz w:val="24"/>
              <w:szCs w:val="24"/>
              <w:highlight w:val="none"/>
              <w:lang w:val="en-US" w:eastAsia="zh-CN"/>
            </w:rPr>
            <w:fldChar w:fldCharType="separate"/>
          </w:r>
          <w:r>
            <w:rPr>
              <w:rFonts w:hint="eastAsia" w:eastAsia="黑体"/>
              <w:snapToGrid w:val="0"/>
              <w:sz w:val="24"/>
              <w:szCs w:val="24"/>
              <w:highlight w:val="none"/>
            </w:rPr>
            <w:t>附件4 太保镇开源村宝宇种植合作社黏玉米生产加工项目生产供热锅炉大气</w:t>
          </w:r>
          <w:r>
            <w:rPr>
              <w:rFonts w:eastAsia="黑体"/>
              <w:snapToGrid w:val="0"/>
              <w:sz w:val="24"/>
              <w:szCs w:val="24"/>
              <w:highlight w:val="none"/>
            </w:rPr>
            <w:t>污染物排放总量</w:t>
          </w:r>
          <w:r>
            <w:rPr>
              <w:rFonts w:hint="eastAsia" w:eastAsia="黑体"/>
              <w:snapToGrid w:val="0"/>
              <w:sz w:val="24"/>
              <w:szCs w:val="24"/>
              <w:highlight w:val="none"/>
            </w:rPr>
            <w:t>核定</w:t>
          </w:r>
          <w:r>
            <w:rPr>
              <w:rFonts w:eastAsia="黑体"/>
              <w:snapToGrid w:val="0"/>
              <w:sz w:val="24"/>
              <w:szCs w:val="24"/>
              <w:highlight w:val="none"/>
            </w:rPr>
            <w:t>计算说明</w:t>
          </w:r>
          <w:r>
            <w:rPr>
              <w:sz w:val="24"/>
              <w:szCs w:val="24"/>
              <w:highlight w:val="none"/>
            </w:rPr>
            <w:tab/>
          </w:r>
          <w:r>
            <w:rPr>
              <w:sz w:val="24"/>
              <w:szCs w:val="24"/>
              <w:highlight w:val="none"/>
            </w:rPr>
            <w:fldChar w:fldCharType="begin"/>
          </w:r>
          <w:r>
            <w:rPr>
              <w:sz w:val="24"/>
              <w:szCs w:val="24"/>
              <w:highlight w:val="none"/>
            </w:rPr>
            <w:instrText xml:space="preserve"> PAGEREF _Toc8089 \h </w:instrText>
          </w:r>
          <w:r>
            <w:rPr>
              <w:sz w:val="24"/>
              <w:szCs w:val="24"/>
              <w:highlight w:val="none"/>
            </w:rPr>
            <w:fldChar w:fldCharType="separate"/>
          </w:r>
          <w:r>
            <w:rPr>
              <w:sz w:val="24"/>
              <w:szCs w:val="24"/>
              <w:highlight w:val="none"/>
            </w:rPr>
            <w:t>52</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_Toc22027 </w:instrText>
          </w:r>
          <w:r>
            <w:rPr>
              <w:rFonts w:hint="eastAsia" w:ascii="Times New Roman" w:hAnsi="Times New Roman" w:eastAsia="黑体"/>
              <w:snapToGrid w:val="0"/>
              <w:sz w:val="24"/>
              <w:szCs w:val="24"/>
              <w:highlight w:val="none"/>
              <w:lang w:val="en-US" w:eastAsia="zh-CN"/>
            </w:rPr>
            <w:fldChar w:fldCharType="separate"/>
          </w:r>
          <w:r>
            <w:rPr>
              <w:rFonts w:hint="eastAsia" w:eastAsia="黑体"/>
              <w:snapToGrid w:val="0"/>
              <w:kern w:val="2"/>
              <w:sz w:val="24"/>
              <w:szCs w:val="24"/>
              <w:highlight w:val="none"/>
            </w:rPr>
            <w:t>附件5 检测报告</w:t>
          </w:r>
          <w:r>
            <w:rPr>
              <w:sz w:val="24"/>
              <w:szCs w:val="24"/>
              <w:highlight w:val="none"/>
            </w:rPr>
            <w:tab/>
          </w:r>
          <w:r>
            <w:rPr>
              <w:sz w:val="24"/>
              <w:szCs w:val="24"/>
              <w:highlight w:val="none"/>
            </w:rPr>
            <w:fldChar w:fldCharType="begin"/>
          </w:r>
          <w:r>
            <w:rPr>
              <w:sz w:val="24"/>
              <w:szCs w:val="24"/>
              <w:highlight w:val="none"/>
            </w:rPr>
            <w:instrText xml:space="preserve"> PAGEREF _Toc22027 \h </w:instrText>
          </w:r>
          <w:r>
            <w:rPr>
              <w:sz w:val="24"/>
              <w:szCs w:val="24"/>
              <w:highlight w:val="none"/>
            </w:rPr>
            <w:fldChar w:fldCharType="separate"/>
          </w:r>
          <w:r>
            <w:rPr>
              <w:sz w:val="24"/>
              <w:szCs w:val="24"/>
              <w:highlight w:val="none"/>
            </w:rPr>
            <w:t>53</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_Toc3063 </w:instrText>
          </w:r>
          <w:r>
            <w:rPr>
              <w:rFonts w:hint="eastAsia" w:ascii="Times New Roman" w:hAnsi="Times New Roman" w:eastAsia="黑体"/>
              <w:snapToGrid w:val="0"/>
              <w:sz w:val="24"/>
              <w:szCs w:val="24"/>
              <w:highlight w:val="none"/>
              <w:lang w:val="en-US" w:eastAsia="zh-CN"/>
            </w:rPr>
            <w:fldChar w:fldCharType="separate"/>
          </w:r>
          <w:r>
            <w:rPr>
              <w:rFonts w:hint="eastAsia" w:eastAsia="黑体"/>
              <w:snapToGrid w:val="0"/>
              <w:sz w:val="24"/>
              <w:szCs w:val="24"/>
              <w:highlight w:val="none"/>
            </w:rPr>
            <w:t>附件6 污水协议</w:t>
          </w:r>
          <w:r>
            <w:rPr>
              <w:sz w:val="24"/>
              <w:szCs w:val="24"/>
              <w:highlight w:val="none"/>
            </w:rPr>
            <w:tab/>
          </w:r>
          <w:r>
            <w:rPr>
              <w:sz w:val="24"/>
              <w:szCs w:val="24"/>
              <w:highlight w:val="none"/>
            </w:rPr>
            <w:fldChar w:fldCharType="begin"/>
          </w:r>
          <w:r>
            <w:rPr>
              <w:sz w:val="24"/>
              <w:szCs w:val="24"/>
              <w:highlight w:val="none"/>
            </w:rPr>
            <w:instrText xml:space="preserve"> PAGEREF _Toc3063 \h </w:instrText>
          </w:r>
          <w:r>
            <w:rPr>
              <w:sz w:val="24"/>
              <w:szCs w:val="24"/>
              <w:highlight w:val="none"/>
            </w:rPr>
            <w:fldChar w:fldCharType="separate"/>
          </w:r>
          <w:r>
            <w:rPr>
              <w:sz w:val="24"/>
              <w:szCs w:val="24"/>
              <w:highlight w:val="none"/>
            </w:rPr>
            <w:t>58</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_Toc10397 </w:instrText>
          </w:r>
          <w:r>
            <w:rPr>
              <w:rFonts w:hint="eastAsia" w:ascii="Times New Roman" w:hAnsi="Times New Roman" w:eastAsia="黑体"/>
              <w:snapToGrid w:val="0"/>
              <w:sz w:val="24"/>
              <w:szCs w:val="24"/>
              <w:highlight w:val="none"/>
              <w:lang w:val="en-US" w:eastAsia="zh-CN"/>
            </w:rPr>
            <w:fldChar w:fldCharType="separate"/>
          </w:r>
          <w:r>
            <w:rPr>
              <w:rFonts w:hint="eastAsia" w:eastAsia="黑体"/>
              <w:snapToGrid w:val="0"/>
              <w:kern w:val="2"/>
              <w:sz w:val="24"/>
              <w:szCs w:val="24"/>
              <w:highlight w:val="none"/>
            </w:rPr>
            <w:t>附件7 原有总量文件</w:t>
          </w:r>
          <w:r>
            <w:rPr>
              <w:sz w:val="24"/>
              <w:szCs w:val="24"/>
              <w:highlight w:val="none"/>
            </w:rPr>
            <w:tab/>
          </w:r>
          <w:r>
            <w:rPr>
              <w:sz w:val="24"/>
              <w:szCs w:val="24"/>
              <w:highlight w:val="none"/>
            </w:rPr>
            <w:fldChar w:fldCharType="begin"/>
          </w:r>
          <w:r>
            <w:rPr>
              <w:sz w:val="24"/>
              <w:szCs w:val="24"/>
              <w:highlight w:val="none"/>
            </w:rPr>
            <w:instrText xml:space="preserve"> PAGEREF _Toc10397 \h </w:instrText>
          </w:r>
          <w:r>
            <w:rPr>
              <w:sz w:val="24"/>
              <w:szCs w:val="24"/>
              <w:highlight w:val="none"/>
            </w:rPr>
            <w:fldChar w:fldCharType="separate"/>
          </w:r>
          <w:r>
            <w:rPr>
              <w:sz w:val="24"/>
              <w:szCs w:val="24"/>
              <w:highlight w:val="none"/>
            </w:rPr>
            <w:t>60</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_Toc8863 </w:instrText>
          </w:r>
          <w:r>
            <w:rPr>
              <w:rFonts w:hint="eastAsia" w:ascii="Times New Roman" w:hAnsi="Times New Roman" w:eastAsia="黑体"/>
              <w:snapToGrid w:val="0"/>
              <w:sz w:val="24"/>
              <w:szCs w:val="24"/>
              <w:highlight w:val="none"/>
              <w:lang w:val="en-US" w:eastAsia="zh-CN"/>
            </w:rPr>
            <w:fldChar w:fldCharType="separate"/>
          </w:r>
          <w:r>
            <w:rPr>
              <w:rFonts w:hint="eastAsia" w:eastAsia="黑体"/>
              <w:snapToGrid w:val="0"/>
              <w:kern w:val="2"/>
              <w:sz w:val="24"/>
              <w:szCs w:val="24"/>
              <w:highlight w:val="none"/>
            </w:rPr>
            <w:t>附件</w:t>
          </w:r>
          <w:r>
            <w:rPr>
              <w:rFonts w:hint="eastAsia" w:eastAsia="黑体"/>
              <w:snapToGrid w:val="0"/>
              <w:kern w:val="2"/>
              <w:sz w:val="24"/>
              <w:szCs w:val="24"/>
              <w:highlight w:val="none"/>
              <w:lang w:val="en-US" w:eastAsia="zh-CN"/>
            </w:rPr>
            <w:t>8</w:t>
          </w:r>
          <w:r>
            <w:rPr>
              <w:rFonts w:hint="eastAsia" w:eastAsia="黑体"/>
              <w:snapToGrid w:val="0"/>
              <w:kern w:val="2"/>
              <w:sz w:val="24"/>
              <w:szCs w:val="24"/>
              <w:highlight w:val="none"/>
            </w:rPr>
            <w:t xml:space="preserve"> </w:t>
          </w:r>
          <w:r>
            <w:rPr>
              <w:rFonts w:hint="eastAsia" w:eastAsia="黑体"/>
              <w:snapToGrid w:val="0"/>
              <w:kern w:val="2"/>
              <w:sz w:val="24"/>
              <w:szCs w:val="24"/>
              <w:highlight w:val="none"/>
              <w:lang w:val="en-US" w:eastAsia="zh-CN"/>
            </w:rPr>
            <w:t>本项目</w:t>
          </w:r>
          <w:r>
            <w:rPr>
              <w:rFonts w:hint="eastAsia" w:eastAsia="黑体"/>
              <w:snapToGrid w:val="0"/>
              <w:kern w:val="2"/>
              <w:sz w:val="24"/>
              <w:szCs w:val="24"/>
              <w:highlight w:val="none"/>
            </w:rPr>
            <w:t>总量文件</w:t>
          </w:r>
          <w:r>
            <w:rPr>
              <w:sz w:val="24"/>
              <w:szCs w:val="24"/>
              <w:highlight w:val="none"/>
            </w:rPr>
            <w:tab/>
          </w:r>
          <w:r>
            <w:rPr>
              <w:sz w:val="24"/>
              <w:szCs w:val="24"/>
              <w:highlight w:val="none"/>
            </w:rPr>
            <w:fldChar w:fldCharType="begin"/>
          </w:r>
          <w:r>
            <w:rPr>
              <w:sz w:val="24"/>
              <w:szCs w:val="24"/>
              <w:highlight w:val="none"/>
            </w:rPr>
            <w:instrText xml:space="preserve"> PAGEREF _Toc8863 \h </w:instrText>
          </w:r>
          <w:r>
            <w:rPr>
              <w:sz w:val="24"/>
              <w:szCs w:val="24"/>
              <w:highlight w:val="none"/>
            </w:rPr>
            <w:fldChar w:fldCharType="separate"/>
          </w:r>
          <w:r>
            <w:rPr>
              <w:sz w:val="24"/>
              <w:szCs w:val="24"/>
              <w:highlight w:val="none"/>
            </w:rPr>
            <w:t>62</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19"/>
            <w:tabs>
              <w:tab w:val="right" w:leader="dot" w:pos="9184"/>
            </w:tabs>
            <w:rPr>
              <w:sz w:val="24"/>
              <w:szCs w:val="24"/>
              <w:highlight w:val="none"/>
            </w:rPr>
          </w:pPr>
          <w:r>
            <w:rPr>
              <w:rFonts w:hint="eastAsia" w:ascii="Times New Roman" w:hAnsi="Times New Roman" w:eastAsia="黑体"/>
              <w:snapToGrid w:val="0"/>
              <w:sz w:val="24"/>
              <w:szCs w:val="24"/>
              <w:highlight w:val="none"/>
              <w:lang w:val="en-US" w:eastAsia="zh-CN"/>
            </w:rPr>
            <w:fldChar w:fldCharType="begin"/>
          </w:r>
          <w:r>
            <w:rPr>
              <w:rFonts w:hint="eastAsia" w:ascii="Times New Roman" w:hAnsi="Times New Roman" w:eastAsia="黑体"/>
              <w:snapToGrid w:val="0"/>
              <w:sz w:val="24"/>
              <w:szCs w:val="24"/>
              <w:highlight w:val="none"/>
              <w:lang w:val="en-US" w:eastAsia="zh-CN"/>
            </w:rPr>
            <w:instrText xml:space="preserve"> HYPERLINK \l _Toc25387 </w:instrText>
          </w:r>
          <w:r>
            <w:rPr>
              <w:rFonts w:hint="eastAsia" w:ascii="Times New Roman" w:hAnsi="Times New Roman" w:eastAsia="黑体"/>
              <w:snapToGrid w:val="0"/>
              <w:sz w:val="24"/>
              <w:szCs w:val="24"/>
              <w:highlight w:val="none"/>
              <w:lang w:val="en-US" w:eastAsia="zh-CN"/>
            </w:rPr>
            <w:fldChar w:fldCharType="separate"/>
          </w:r>
          <w:r>
            <w:rPr>
              <w:rFonts w:hint="eastAsia" w:eastAsia="黑体"/>
              <w:snapToGrid w:val="0"/>
              <w:kern w:val="2"/>
              <w:sz w:val="24"/>
              <w:szCs w:val="24"/>
              <w:highlight w:val="none"/>
            </w:rPr>
            <w:t>附件</w:t>
          </w:r>
          <w:r>
            <w:rPr>
              <w:rFonts w:hint="eastAsia" w:eastAsia="黑体"/>
              <w:snapToGrid w:val="0"/>
              <w:kern w:val="2"/>
              <w:sz w:val="24"/>
              <w:szCs w:val="24"/>
              <w:highlight w:val="none"/>
              <w:lang w:val="en-US" w:eastAsia="zh-CN"/>
            </w:rPr>
            <w:t>9</w:t>
          </w:r>
          <w:r>
            <w:rPr>
              <w:rFonts w:hint="eastAsia" w:eastAsia="黑体"/>
              <w:snapToGrid w:val="0"/>
              <w:kern w:val="2"/>
              <w:sz w:val="24"/>
              <w:szCs w:val="24"/>
              <w:highlight w:val="none"/>
            </w:rPr>
            <w:t xml:space="preserve"> 环评批复</w:t>
          </w:r>
          <w:r>
            <w:rPr>
              <w:sz w:val="24"/>
              <w:szCs w:val="24"/>
              <w:highlight w:val="none"/>
            </w:rPr>
            <w:tab/>
          </w:r>
          <w:r>
            <w:rPr>
              <w:sz w:val="24"/>
              <w:szCs w:val="24"/>
              <w:highlight w:val="none"/>
            </w:rPr>
            <w:fldChar w:fldCharType="begin"/>
          </w:r>
          <w:r>
            <w:rPr>
              <w:sz w:val="24"/>
              <w:szCs w:val="24"/>
              <w:highlight w:val="none"/>
            </w:rPr>
            <w:instrText xml:space="preserve"> PAGEREF _Toc25387 \h </w:instrText>
          </w:r>
          <w:r>
            <w:rPr>
              <w:sz w:val="24"/>
              <w:szCs w:val="24"/>
              <w:highlight w:val="none"/>
            </w:rPr>
            <w:fldChar w:fldCharType="separate"/>
          </w:r>
          <w:r>
            <w:rPr>
              <w:sz w:val="24"/>
              <w:szCs w:val="24"/>
              <w:highlight w:val="none"/>
            </w:rPr>
            <w:t>64</w:t>
          </w:r>
          <w:r>
            <w:rPr>
              <w:sz w:val="24"/>
              <w:szCs w:val="24"/>
              <w:highlight w:val="none"/>
            </w:rPr>
            <w:fldChar w:fldCharType="end"/>
          </w:r>
          <w:r>
            <w:rPr>
              <w:rFonts w:hint="eastAsia" w:ascii="Times New Roman" w:hAnsi="Times New Roman" w:eastAsia="黑体"/>
              <w:snapToGrid w:val="0"/>
              <w:sz w:val="24"/>
              <w:szCs w:val="24"/>
              <w:highlight w:val="none"/>
              <w:lang w:val="en-US" w:eastAsia="zh-CN"/>
            </w:rPr>
            <w:fldChar w:fldCharType="end"/>
          </w:r>
        </w:p>
        <w:p>
          <w:pPr>
            <w:pStyle w:val="24"/>
            <w:keepNext w:val="0"/>
            <w:keepLines w:val="0"/>
            <w:pageBreakBefore w:val="0"/>
            <w:widowControl/>
            <w:kinsoku/>
            <w:wordWrap/>
            <w:overflowPunct/>
            <w:topLinePunct w:val="0"/>
            <w:autoSpaceDE/>
            <w:autoSpaceDN/>
            <w:bidi w:val="0"/>
            <w:adjustRightInd/>
            <w:snapToGrid/>
            <w:spacing w:after="0" w:afterAutospacing="0" w:line="240" w:lineRule="auto"/>
            <w:jc w:val="center"/>
            <w:textAlignment w:val="auto"/>
            <w:outlineLvl w:val="0"/>
            <w:rPr>
              <w:rFonts w:hint="eastAsia" w:ascii="Times New Roman" w:hAnsi="Times New Roman" w:eastAsia="黑体"/>
              <w:snapToGrid w:val="0"/>
              <w:sz w:val="52"/>
              <w:szCs w:val="52"/>
              <w:highlight w:val="none"/>
              <w:lang w:val="en-US" w:eastAsia="zh-CN"/>
            </w:rPr>
          </w:pPr>
          <w:r>
            <w:rPr>
              <w:rFonts w:hint="eastAsia" w:ascii="Times New Roman" w:hAnsi="Times New Roman" w:eastAsia="黑体"/>
              <w:snapToGrid w:val="0"/>
              <w:szCs w:val="52"/>
              <w:highlight w:val="none"/>
              <w:lang w:val="en-US" w:eastAsia="zh-CN"/>
            </w:rPr>
            <w:fldChar w:fldCharType="end"/>
          </w:r>
        </w:p>
      </w:sdtContent>
    </w:sdt>
    <w:p>
      <w:pPr>
        <w:pStyle w:val="24"/>
        <w:keepNext w:val="0"/>
        <w:keepLines w:val="0"/>
        <w:pageBreakBefore w:val="0"/>
        <w:widowControl/>
        <w:kinsoku/>
        <w:wordWrap/>
        <w:overflowPunct/>
        <w:topLinePunct w:val="0"/>
        <w:autoSpaceDE/>
        <w:autoSpaceDN/>
        <w:bidi w:val="0"/>
        <w:adjustRightInd/>
        <w:snapToGrid/>
        <w:jc w:val="center"/>
        <w:textAlignment w:val="auto"/>
        <w:outlineLvl w:val="0"/>
        <w:rPr>
          <w:rFonts w:ascii="Times New Roman" w:hAnsi="Times New Roman" w:eastAsia="黑体"/>
          <w:snapToGrid w:val="0"/>
          <w:sz w:val="30"/>
          <w:szCs w:val="30"/>
          <w:highlight w:val="none"/>
        </w:rPr>
        <w:sectPr>
          <w:footerReference r:id="rId5" w:type="default"/>
          <w:pgSz w:w="11906" w:h="16838"/>
          <w:pgMar w:top="1247" w:right="1361" w:bottom="1247" w:left="1361" w:header="851" w:footer="1077" w:gutter="0"/>
          <w:pgNumType w:fmt="decimal" w:start="1"/>
          <w:cols w:space="720" w:num="1"/>
          <w:docGrid w:linePitch="312" w:charSpace="0"/>
        </w:sectPr>
      </w:pPr>
      <w:bookmarkStart w:id="14" w:name="_Toc5586"/>
    </w:p>
    <w:p>
      <w:pPr>
        <w:pStyle w:val="24"/>
        <w:keepNext w:val="0"/>
        <w:keepLines w:val="0"/>
        <w:pageBreakBefore w:val="0"/>
        <w:widowControl/>
        <w:kinsoku/>
        <w:wordWrap/>
        <w:overflowPunct/>
        <w:topLinePunct w:val="0"/>
        <w:autoSpaceDE/>
        <w:autoSpaceDN/>
        <w:bidi w:val="0"/>
        <w:adjustRightInd/>
        <w:snapToGrid/>
        <w:jc w:val="center"/>
        <w:textAlignment w:val="auto"/>
        <w:outlineLvl w:val="0"/>
        <w:rPr>
          <w:rFonts w:ascii="Times New Roman" w:hAnsi="Times New Roman" w:eastAsia="黑体"/>
          <w:snapToGrid w:val="0"/>
          <w:sz w:val="30"/>
          <w:szCs w:val="30"/>
          <w:highlight w:val="none"/>
        </w:rPr>
      </w:pPr>
      <w:bookmarkStart w:id="15" w:name="_Toc30693"/>
      <w:r>
        <w:rPr>
          <w:rFonts w:ascii="Times New Roman" w:hAnsi="Times New Roman" w:eastAsia="黑体"/>
          <w:snapToGrid w:val="0"/>
          <w:sz w:val="30"/>
          <w:szCs w:val="30"/>
          <w:highlight w:val="none"/>
        </w:rPr>
        <w:t>一、建设项目基本情况</w:t>
      </w:r>
      <w:bookmarkEnd w:id="12"/>
      <w:bookmarkEnd w:id="14"/>
      <w:bookmarkEnd w:id="15"/>
    </w:p>
    <w:tbl>
      <w:tblPr>
        <w:tblStyle w:val="29"/>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423"/>
        <w:gridCol w:w="1944"/>
        <w:gridCol w:w="2110"/>
        <w:gridCol w:w="3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建设项目名称</w:t>
            </w:r>
          </w:p>
        </w:tc>
        <w:tc>
          <w:tcPr>
            <w:tcW w:w="7215" w:type="dxa"/>
            <w:gridSpan w:val="3"/>
            <w:vAlign w:val="center"/>
          </w:tcPr>
          <w:p>
            <w:pPr>
              <w:adjustRightInd w:val="0"/>
              <w:snapToGrid w:val="0"/>
              <w:spacing w:line="340" w:lineRule="exact"/>
              <w:jc w:val="center"/>
              <w:rPr>
                <w:sz w:val="24"/>
                <w:highlight w:val="none"/>
              </w:rPr>
            </w:pPr>
            <w:r>
              <w:rPr>
                <w:rFonts w:hint="eastAsia"/>
                <w:sz w:val="24"/>
                <w:highlight w:val="none"/>
              </w:rPr>
              <w:t>太保镇开源村宝宇种植合作社黏玉米生产加工项目（重新报批）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项目代码</w:t>
            </w:r>
          </w:p>
        </w:tc>
        <w:tc>
          <w:tcPr>
            <w:tcW w:w="7215" w:type="dxa"/>
            <w:gridSpan w:val="3"/>
            <w:vAlign w:val="center"/>
          </w:tcPr>
          <w:p>
            <w:pPr>
              <w:pStyle w:val="9"/>
              <w:jc w:val="center"/>
              <w:rPr>
                <w:szCs w:val="24"/>
                <w:highlight w:val="none"/>
              </w:rPr>
            </w:pPr>
            <w:r>
              <w:rPr>
                <w:szCs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建设单位联系人</w:t>
            </w:r>
          </w:p>
        </w:tc>
        <w:tc>
          <w:tcPr>
            <w:tcW w:w="1944" w:type="dxa"/>
            <w:vAlign w:val="center"/>
          </w:tcPr>
          <w:p>
            <w:pPr>
              <w:adjustRightInd w:val="0"/>
              <w:snapToGrid w:val="0"/>
              <w:spacing w:line="340" w:lineRule="exact"/>
              <w:jc w:val="center"/>
              <w:rPr>
                <w:sz w:val="24"/>
                <w:highlight w:val="none"/>
              </w:rPr>
            </w:pPr>
            <w:r>
              <w:rPr>
                <w:rFonts w:hint="eastAsia"/>
                <w:sz w:val="24"/>
                <w:highlight w:val="none"/>
              </w:rPr>
              <w:t>于战宇</w:t>
            </w:r>
          </w:p>
        </w:tc>
        <w:tc>
          <w:tcPr>
            <w:tcW w:w="2110" w:type="dxa"/>
            <w:vAlign w:val="center"/>
          </w:tcPr>
          <w:p>
            <w:pPr>
              <w:adjustRightInd w:val="0"/>
              <w:snapToGrid w:val="0"/>
              <w:spacing w:line="340" w:lineRule="exact"/>
              <w:jc w:val="center"/>
              <w:rPr>
                <w:sz w:val="24"/>
                <w:highlight w:val="none"/>
              </w:rPr>
            </w:pPr>
            <w:r>
              <w:rPr>
                <w:sz w:val="24"/>
                <w:highlight w:val="none"/>
              </w:rPr>
              <w:t>联系方式</w:t>
            </w:r>
          </w:p>
        </w:tc>
        <w:tc>
          <w:tcPr>
            <w:tcW w:w="3161" w:type="dxa"/>
            <w:vAlign w:val="center"/>
          </w:tcPr>
          <w:p>
            <w:pPr>
              <w:adjustRightInd w:val="0"/>
              <w:snapToGrid w:val="0"/>
              <w:spacing w:line="340" w:lineRule="exact"/>
              <w:jc w:val="center"/>
              <w:rPr>
                <w:sz w:val="24"/>
                <w:highlight w:val="none"/>
              </w:rPr>
            </w:pPr>
            <w:r>
              <w:rPr>
                <w:rFonts w:hint="eastAsia"/>
                <w:sz w:val="24"/>
                <w:highlight w:val="none"/>
              </w:rPr>
              <w:t>18403824888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建设地点</w:t>
            </w:r>
          </w:p>
        </w:tc>
        <w:tc>
          <w:tcPr>
            <w:tcW w:w="7215" w:type="dxa"/>
            <w:gridSpan w:val="3"/>
            <w:vAlign w:val="center"/>
          </w:tcPr>
          <w:p>
            <w:pPr>
              <w:adjustRightInd w:val="0"/>
              <w:snapToGrid w:val="0"/>
              <w:spacing w:line="340" w:lineRule="exact"/>
              <w:jc w:val="center"/>
              <w:rPr>
                <w:sz w:val="24"/>
                <w:highlight w:val="none"/>
              </w:rPr>
            </w:pPr>
            <w:r>
              <w:rPr>
                <w:rFonts w:hint="eastAsia"/>
                <w:sz w:val="24"/>
                <w:highlight w:val="none"/>
              </w:rPr>
              <w:t>双鸭山市四方台区太保镇开源村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地理坐标</w:t>
            </w:r>
          </w:p>
        </w:tc>
        <w:tc>
          <w:tcPr>
            <w:tcW w:w="7215" w:type="dxa"/>
            <w:gridSpan w:val="3"/>
            <w:vAlign w:val="center"/>
          </w:tcPr>
          <w:p>
            <w:pPr>
              <w:spacing w:line="340" w:lineRule="exact"/>
              <w:jc w:val="center"/>
              <w:rPr>
                <w:sz w:val="24"/>
                <w:highlight w:val="none"/>
              </w:rPr>
            </w:pPr>
            <w:r>
              <w:rPr>
                <w:sz w:val="24"/>
                <w:highlight w:val="none"/>
              </w:rPr>
              <w:t>（</w:t>
            </w:r>
            <w:r>
              <w:rPr>
                <w:sz w:val="24"/>
                <w:highlight w:val="none"/>
                <w:u w:val="single"/>
              </w:rPr>
              <w:t>1</w:t>
            </w:r>
            <w:r>
              <w:rPr>
                <w:rFonts w:hint="eastAsia"/>
                <w:sz w:val="24"/>
                <w:highlight w:val="none"/>
                <w:u w:val="single"/>
              </w:rPr>
              <w:t>31</w:t>
            </w:r>
            <w:r>
              <w:rPr>
                <w:sz w:val="24"/>
                <w:highlight w:val="none"/>
              </w:rPr>
              <w:t>度</w:t>
            </w:r>
            <w:r>
              <w:rPr>
                <w:rFonts w:hint="eastAsia"/>
                <w:sz w:val="24"/>
                <w:highlight w:val="none"/>
                <w:u w:val="single"/>
                <w:lang w:val="en-US" w:eastAsia="zh-CN"/>
              </w:rPr>
              <w:t>12</w:t>
            </w:r>
            <w:r>
              <w:rPr>
                <w:sz w:val="24"/>
                <w:highlight w:val="none"/>
              </w:rPr>
              <w:t>分</w:t>
            </w:r>
            <w:r>
              <w:rPr>
                <w:rFonts w:hint="eastAsia"/>
                <w:sz w:val="24"/>
                <w:highlight w:val="none"/>
                <w:u w:val="single"/>
                <w:lang w:val="en-US" w:eastAsia="zh-CN"/>
              </w:rPr>
              <w:t>56</w:t>
            </w:r>
            <w:r>
              <w:rPr>
                <w:sz w:val="24"/>
                <w:highlight w:val="none"/>
              </w:rPr>
              <w:t>秒，</w:t>
            </w:r>
            <w:r>
              <w:rPr>
                <w:sz w:val="24"/>
                <w:highlight w:val="none"/>
                <w:u w:val="single"/>
              </w:rPr>
              <w:t>46</w:t>
            </w:r>
            <w:r>
              <w:rPr>
                <w:sz w:val="24"/>
                <w:highlight w:val="none"/>
              </w:rPr>
              <w:t>度</w:t>
            </w:r>
            <w:r>
              <w:rPr>
                <w:rFonts w:hint="eastAsia"/>
                <w:sz w:val="24"/>
                <w:highlight w:val="none"/>
                <w:u w:val="single"/>
              </w:rPr>
              <w:t>41</w:t>
            </w:r>
            <w:r>
              <w:rPr>
                <w:sz w:val="24"/>
                <w:highlight w:val="none"/>
              </w:rPr>
              <w:t>分</w:t>
            </w:r>
            <w:r>
              <w:rPr>
                <w:rFonts w:hint="eastAsia"/>
                <w:sz w:val="24"/>
                <w:highlight w:val="none"/>
                <w:u w:val="single"/>
                <w:lang w:val="en-US" w:eastAsia="zh-CN"/>
              </w:rPr>
              <w:t>44</w:t>
            </w:r>
            <w:r>
              <w:rPr>
                <w:sz w:val="24"/>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国民经济</w:t>
            </w:r>
          </w:p>
          <w:p>
            <w:pPr>
              <w:adjustRightInd w:val="0"/>
              <w:snapToGrid w:val="0"/>
              <w:spacing w:line="340" w:lineRule="exact"/>
              <w:jc w:val="center"/>
              <w:rPr>
                <w:sz w:val="24"/>
                <w:highlight w:val="none"/>
              </w:rPr>
            </w:pPr>
            <w:r>
              <w:rPr>
                <w:sz w:val="24"/>
                <w:highlight w:val="none"/>
              </w:rPr>
              <w:t>行业类别</w:t>
            </w:r>
          </w:p>
        </w:tc>
        <w:tc>
          <w:tcPr>
            <w:tcW w:w="1944" w:type="dxa"/>
            <w:vAlign w:val="center"/>
          </w:tcPr>
          <w:p>
            <w:pPr>
              <w:adjustRightInd w:val="0"/>
              <w:snapToGrid w:val="0"/>
              <w:jc w:val="center"/>
              <w:rPr>
                <w:sz w:val="24"/>
                <w:highlight w:val="none"/>
              </w:rPr>
            </w:pPr>
            <w:r>
              <w:rPr>
                <w:rFonts w:hint="eastAsia"/>
                <w:sz w:val="24"/>
                <w:highlight w:val="none"/>
              </w:rPr>
              <w:t>C</w:t>
            </w:r>
            <w:r>
              <w:rPr>
                <w:sz w:val="24"/>
                <w:highlight w:val="none"/>
              </w:rPr>
              <w:t>14</w:t>
            </w:r>
            <w:r>
              <w:rPr>
                <w:rFonts w:hint="eastAsia"/>
                <w:sz w:val="24"/>
                <w:highlight w:val="none"/>
              </w:rPr>
              <w:t>39</w:t>
            </w:r>
            <w:r>
              <w:rPr>
                <w:sz w:val="24"/>
                <w:highlight w:val="none"/>
              </w:rPr>
              <w:t>其他方便食品制造</w:t>
            </w:r>
            <w:r>
              <w:rPr>
                <w:rFonts w:hint="eastAsia"/>
                <w:sz w:val="24"/>
                <w:highlight w:val="none"/>
              </w:rPr>
              <w:t>；</w:t>
            </w:r>
          </w:p>
          <w:p>
            <w:pPr>
              <w:adjustRightInd w:val="0"/>
              <w:snapToGrid w:val="0"/>
              <w:jc w:val="center"/>
              <w:rPr>
                <w:sz w:val="24"/>
                <w:highlight w:val="none"/>
              </w:rPr>
            </w:pPr>
            <w:r>
              <w:rPr>
                <w:rFonts w:hint="eastAsia"/>
                <w:sz w:val="24"/>
                <w:highlight w:val="none"/>
              </w:rPr>
              <w:t>D4430热力生产和供应</w:t>
            </w:r>
          </w:p>
        </w:tc>
        <w:tc>
          <w:tcPr>
            <w:tcW w:w="2110" w:type="dxa"/>
            <w:vAlign w:val="center"/>
          </w:tcPr>
          <w:p>
            <w:pPr>
              <w:adjustRightInd w:val="0"/>
              <w:snapToGrid w:val="0"/>
              <w:spacing w:line="340" w:lineRule="exact"/>
              <w:jc w:val="center"/>
              <w:rPr>
                <w:sz w:val="24"/>
                <w:highlight w:val="none"/>
              </w:rPr>
            </w:pPr>
            <w:bookmarkStart w:id="16" w:name="_Hlk49843745"/>
            <w:r>
              <w:rPr>
                <w:sz w:val="24"/>
                <w:highlight w:val="none"/>
              </w:rPr>
              <w:t>建设项目</w:t>
            </w:r>
          </w:p>
          <w:p>
            <w:pPr>
              <w:adjustRightInd w:val="0"/>
              <w:snapToGrid w:val="0"/>
              <w:spacing w:line="340" w:lineRule="exact"/>
              <w:jc w:val="center"/>
              <w:rPr>
                <w:sz w:val="24"/>
                <w:highlight w:val="none"/>
              </w:rPr>
            </w:pPr>
            <w:r>
              <w:rPr>
                <w:sz w:val="24"/>
                <w:highlight w:val="none"/>
              </w:rPr>
              <w:t>行业类别</w:t>
            </w:r>
            <w:bookmarkEnd w:id="16"/>
          </w:p>
        </w:tc>
        <w:tc>
          <w:tcPr>
            <w:tcW w:w="3161" w:type="dxa"/>
            <w:vAlign w:val="center"/>
          </w:tcPr>
          <w:p>
            <w:pPr>
              <w:pStyle w:val="3"/>
              <w:numPr>
                <w:ilvl w:val="0"/>
                <w:numId w:val="2"/>
              </w:numPr>
              <w:spacing w:before="0" w:after="0" w:line="240" w:lineRule="auto"/>
              <w:ind w:left="0" w:firstLine="0"/>
              <w:jc w:val="center"/>
              <w:rPr>
                <w:rFonts w:eastAsia="宋体"/>
                <w:b w:val="0"/>
                <w:bCs w:val="0"/>
                <w:color w:val="auto"/>
                <w:sz w:val="24"/>
                <w:szCs w:val="24"/>
                <w:highlight w:val="none"/>
              </w:rPr>
            </w:pPr>
            <w:bookmarkStart w:id="17" w:name="_Toc25742"/>
            <w:bookmarkStart w:id="18" w:name="_Toc12682"/>
            <w:bookmarkStart w:id="19" w:name="_Toc5375"/>
            <w:bookmarkStart w:id="20" w:name="_Toc30919"/>
            <w:bookmarkStart w:id="21" w:name="_Toc13297"/>
            <w:bookmarkStart w:id="22" w:name="_Toc22373"/>
            <w:bookmarkStart w:id="23" w:name="_Toc3255"/>
            <w:bookmarkStart w:id="24" w:name="_Toc11274"/>
            <w:bookmarkStart w:id="25" w:name="_Toc12205"/>
            <w:r>
              <w:rPr>
                <w:rFonts w:eastAsia="宋体"/>
                <w:b w:val="0"/>
                <w:bCs w:val="0"/>
                <w:color w:val="auto"/>
                <w:sz w:val="24"/>
                <w:szCs w:val="24"/>
                <w:highlight w:val="none"/>
              </w:rPr>
              <w:t>食品制造业，2</w:t>
            </w:r>
            <w:r>
              <w:rPr>
                <w:rFonts w:hint="eastAsia" w:eastAsia="宋体"/>
                <w:b w:val="0"/>
                <w:bCs w:val="0"/>
                <w:color w:val="auto"/>
                <w:sz w:val="24"/>
                <w:szCs w:val="24"/>
                <w:highlight w:val="none"/>
                <w:lang w:val="en-US" w:eastAsia="zh-CN"/>
              </w:rPr>
              <w:t>4其他食品制造</w:t>
            </w:r>
            <w:r>
              <w:rPr>
                <w:rFonts w:eastAsia="宋体"/>
                <w:b w:val="0"/>
                <w:bCs w:val="0"/>
                <w:color w:val="auto"/>
                <w:sz w:val="24"/>
                <w:szCs w:val="24"/>
                <w:highlight w:val="none"/>
              </w:rPr>
              <w:t>；</w:t>
            </w:r>
            <w:bookmarkEnd w:id="17"/>
            <w:bookmarkEnd w:id="18"/>
            <w:bookmarkEnd w:id="19"/>
            <w:bookmarkEnd w:id="20"/>
            <w:bookmarkEnd w:id="21"/>
            <w:bookmarkEnd w:id="22"/>
            <w:bookmarkEnd w:id="23"/>
            <w:bookmarkEnd w:id="24"/>
            <w:bookmarkEnd w:id="25"/>
            <w:bookmarkStart w:id="264" w:name="_GoBack"/>
            <w:bookmarkEnd w:id="264"/>
          </w:p>
          <w:p>
            <w:pPr>
              <w:pStyle w:val="3"/>
              <w:spacing w:before="0" w:after="0" w:line="240" w:lineRule="auto"/>
              <w:ind w:left="0" w:firstLine="0"/>
              <w:rPr>
                <w:color w:val="auto"/>
                <w:highlight w:val="none"/>
              </w:rPr>
            </w:pPr>
            <w:bookmarkStart w:id="26" w:name="_Toc5932"/>
            <w:bookmarkStart w:id="27" w:name="_Toc15481"/>
            <w:bookmarkStart w:id="28" w:name="_Toc592"/>
            <w:bookmarkStart w:id="29" w:name="_Toc8170"/>
            <w:bookmarkStart w:id="30" w:name="_Toc9980"/>
            <w:bookmarkStart w:id="31" w:name="_Toc12567"/>
            <w:bookmarkStart w:id="32" w:name="_Toc4972"/>
            <w:bookmarkStart w:id="33" w:name="_Toc2660"/>
            <w:bookmarkStart w:id="34" w:name="_Toc3703"/>
            <w:r>
              <w:rPr>
                <w:rFonts w:eastAsia="宋体"/>
                <w:b w:val="0"/>
                <w:bCs w:val="0"/>
                <w:color w:val="auto"/>
                <w:sz w:val="24"/>
                <w:szCs w:val="24"/>
                <w:highlight w:val="none"/>
              </w:rPr>
              <w:t>四十一、电力、热力生产和供应业-91热力生产和供应工程</w:t>
            </w:r>
            <w:bookmarkEnd w:id="26"/>
            <w:bookmarkEnd w:id="27"/>
            <w:bookmarkEnd w:id="28"/>
            <w:bookmarkEnd w:id="29"/>
            <w:bookmarkEnd w:id="30"/>
            <w:bookmarkEnd w:id="31"/>
            <w:bookmarkEnd w:id="32"/>
            <w:bookmarkEnd w:id="33"/>
            <w:bookmarkEnd w:id="34"/>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建设性质</w:t>
            </w:r>
          </w:p>
        </w:tc>
        <w:tc>
          <w:tcPr>
            <w:tcW w:w="1944" w:type="dxa"/>
            <w:vAlign w:val="center"/>
          </w:tcPr>
          <w:p>
            <w:pPr>
              <w:spacing w:line="340" w:lineRule="exact"/>
              <w:jc w:val="left"/>
              <w:rPr>
                <w:sz w:val="24"/>
                <w:highlight w:val="none"/>
              </w:rPr>
            </w:pPr>
            <w:r>
              <w:rPr>
                <w:rFonts w:hint="eastAsia"/>
                <w:sz w:val="24"/>
                <w:highlight w:val="none"/>
              </w:rPr>
              <w:t>☑</w:t>
            </w:r>
            <w:r>
              <w:rPr>
                <w:sz w:val="24"/>
                <w:highlight w:val="none"/>
              </w:rPr>
              <w:t>新建（迁建）</w:t>
            </w:r>
          </w:p>
          <w:p>
            <w:pPr>
              <w:spacing w:line="340" w:lineRule="exact"/>
              <w:jc w:val="left"/>
              <w:rPr>
                <w:sz w:val="24"/>
                <w:highlight w:val="none"/>
              </w:rPr>
            </w:pPr>
            <w:r>
              <w:rPr>
                <w:sz w:val="24"/>
                <w:highlight w:val="none"/>
              </w:rPr>
              <w:t>□改建</w:t>
            </w:r>
          </w:p>
          <w:p>
            <w:pPr>
              <w:spacing w:line="340" w:lineRule="exact"/>
              <w:jc w:val="left"/>
              <w:rPr>
                <w:sz w:val="24"/>
                <w:highlight w:val="none"/>
              </w:rPr>
            </w:pPr>
            <w:r>
              <w:rPr>
                <w:sz w:val="24"/>
                <w:highlight w:val="none"/>
              </w:rPr>
              <w:t>□扩建</w:t>
            </w:r>
          </w:p>
          <w:p>
            <w:pPr>
              <w:spacing w:line="340" w:lineRule="exact"/>
              <w:jc w:val="left"/>
              <w:rPr>
                <w:sz w:val="24"/>
                <w:highlight w:val="none"/>
              </w:rPr>
            </w:pPr>
            <w:r>
              <w:rPr>
                <w:sz w:val="24"/>
                <w:highlight w:val="none"/>
              </w:rPr>
              <w:t>□技术改造</w:t>
            </w:r>
          </w:p>
        </w:tc>
        <w:tc>
          <w:tcPr>
            <w:tcW w:w="2110" w:type="dxa"/>
            <w:vAlign w:val="center"/>
          </w:tcPr>
          <w:p>
            <w:pPr>
              <w:adjustRightInd w:val="0"/>
              <w:snapToGrid w:val="0"/>
              <w:spacing w:line="340" w:lineRule="exact"/>
              <w:jc w:val="center"/>
              <w:rPr>
                <w:sz w:val="24"/>
                <w:highlight w:val="none"/>
              </w:rPr>
            </w:pPr>
            <w:r>
              <w:rPr>
                <w:sz w:val="24"/>
                <w:highlight w:val="none"/>
              </w:rPr>
              <w:t>建设项目</w:t>
            </w:r>
          </w:p>
          <w:p>
            <w:pPr>
              <w:adjustRightInd w:val="0"/>
              <w:snapToGrid w:val="0"/>
              <w:spacing w:line="340" w:lineRule="exact"/>
              <w:jc w:val="center"/>
              <w:rPr>
                <w:sz w:val="24"/>
                <w:highlight w:val="none"/>
              </w:rPr>
            </w:pPr>
            <w:r>
              <w:rPr>
                <w:sz w:val="24"/>
                <w:highlight w:val="none"/>
              </w:rPr>
              <w:t>申报情形</w:t>
            </w:r>
          </w:p>
        </w:tc>
        <w:tc>
          <w:tcPr>
            <w:tcW w:w="3161" w:type="dxa"/>
            <w:vAlign w:val="center"/>
          </w:tcPr>
          <w:p>
            <w:pPr>
              <w:spacing w:line="340" w:lineRule="exact"/>
              <w:jc w:val="left"/>
              <w:rPr>
                <w:sz w:val="24"/>
                <w:highlight w:val="none"/>
              </w:rPr>
            </w:pPr>
            <w:r>
              <w:rPr>
                <w:sz w:val="24"/>
                <w:highlight w:val="none"/>
              </w:rPr>
              <w:t xml:space="preserve">□首次申报项目             </w:t>
            </w:r>
          </w:p>
          <w:p>
            <w:pPr>
              <w:spacing w:line="340" w:lineRule="exact"/>
              <w:jc w:val="left"/>
              <w:rPr>
                <w:sz w:val="24"/>
                <w:highlight w:val="none"/>
              </w:rPr>
            </w:pPr>
            <w:r>
              <w:rPr>
                <w:sz w:val="24"/>
                <w:highlight w:val="none"/>
              </w:rPr>
              <w:t>□不予批准后再次申报项目</w:t>
            </w:r>
          </w:p>
          <w:p>
            <w:pPr>
              <w:spacing w:line="340" w:lineRule="exact"/>
              <w:jc w:val="left"/>
              <w:rPr>
                <w:sz w:val="24"/>
                <w:highlight w:val="none"/>
              </w:rPr>
            </w:pPr>
            <w:r>
              <w:rPr>
                <w:sz w:val="24"/>
                <w:highlight w:val="none"/>
              </w:rPr>
              <w:t xml:space="preserve">□超五年重新审核项目     </w:t>
            </w:r>
          </w:p>
          <w:p>
            <w:pPr>
              <w:spacing w:line="340" w:lineRule="exact"/>
              <w:jc w:val="left"/>
              <w:rPr>
                <w:sz w:val="24"/>
                <w:highlight w:val="none"/>
              </w:rPr>
            </w:pPr>
            <w:r>
              <w:rPr>
                <w:rFonts w:hint="eastAsia"/>
                <w:sz w:val="24"/>
                <w:highlight w:val="none"/>
              </w:rPr>
              <w:t>☑</w:t>
            </w:r>
            <w:r>
              <w:rPr>
                <w:sz w:val="24"/>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423" w:type="dxa"/>
            <w:tcMar>
              <w:top w:w="16" w:type="dxa"/>
              <w:left w:w="16" w:type="dxa"/>
              <w:right w:w="16" w:type="dxa"/>
            </w:tcMar>
            <w:vAlign w:val="center"/>
          </w:tcPr>
          <w:p>
            <w:pPr>
              <w:adjustRightInd w:val="0"/>
              <w:snapToGrid w:val="0"/>
              <w:spacing w:line="340" w:lineRule="exact"/>
              <w:ind w:firstLine="240" w:firstLineChars="100"/>
              <w:jc w:val="both"/>
              <w:rPr>
                <w:sz w:val="24"/>
                <w:highlight w:val="none"/>
              </w:rPr>
            </w:pPr>
            <w:r>
              <w:rPr>
                <w:sz w:val="24"/>
                <w:highlight w:val="none"/>
              </w:rPr>
              <w:t>项目审批（核准/</w:t>
            </w:r>
          </w:p>
          <w:p>
            <w:pPr>
              <w:adjustRightInd w:val="0"/>
              <w:snapToGrid w:val="0"/>
              <w:spacing w:line="340" w:lineRule="exact"/>
              <w:jc w:val="center"/>
              <w:rPr>
                <w:sz w:val="24"/>
                <w:highlight w:val="none"/>
              </w:rPr>
            </w:pPr>
            <w:r>
              <w:rPr>
                <w:sz w:val="24"/>
                <w:highlight w:val="none"/>
              </w:rPr>
              <w:t>备案）部门（选填）</w:t>
            </w:r>
          </w:p>
        </w:tc>
        <w:tc>
          <w:tcPr>
            <w:tcW w:w="1944" w:type="dxa"/>
            <w:vAlign w:val="center"/>
          </w:tcPr>
          <w:p>
            <w:pPr>
              <w:adjustRightInd w:val="0"/>
              <w:snapToGrid w:val="0"/>
              <w:spacing w:line="340" w:lineRule="exact"/>
              <w:jc w:val="center"/>
              <w:rPr>
                <w:sz w:val="24"/>
                <w:highlight w:val="none"/>
              </w:rPr>
            </w:pPr>
            <w:r>
              <w:rPr>
                <w:sz w:val="24"/>
                <w:highlight w:val="none"/>
              </w:rPr>
              <w:t>/</w:t>
            </w:r>
          </w:p>
        </w:tc>
        <w:tc>
          <w:tcPr>
            <w:tcW w:w="2110" w:type="dxa"/>
            <w:vAlign w:val="center"/>
          </w:tcPr>
          <w:p>
            <w:pPr>
              <w:adjustRightInd w:val="0"/>
              <w:snapToGrid w:val="0"/>
              <w:spacing w:line="340" w:lineRule="exact"/>
              <w:jc w:val="center"/>
              <w:rPr>
                <w:sz w:val="24"/>
                <w:highlight w:val="none"/>
              </w:rPr>
            </w:pPr>
            <w:r>
              <w:rPr>
                <w:sz w:val="24"/>
                <w:highlight w:val="none"/>
              </w:rPr>
              <w:t>项目审批（核准/</w:t>
            </w:r>
          </w:p>
          <w:p>
            <w:pPr>
              <w:adjustRightInd w:val="0"/>
              <w:snapToGrid w:val="0"/>
              <w:spacing w:line="340" w:lineRule="exact"/>
              <w:jc w:val="center"/>
              <w:rPr>
                <w:sz w:val="24"/>
                <w:highlight w:val="none"/>
              </w:rPr>
            </w:pPr>
            <w:r>
              <w:rPr>
                <w:sz w:val="24"/>
                <w:highlight w:val="none"/>
              </w:rPr>
              <w:t>备案）文号（选填）</w:t>
            </w:r>
          </w:p>
        </w:tc>
        <w:tc>
          <w:tcPr>
            <w:tcW w:w="3161" w:type="dxa"/>
            <w:vAlign w:val="center"/>
          </w:tcPr>
          <w:p>
            <w:pPr>
              <w:adjustRightInd w:val="0"/>
              <w:snapToGrid w:val="0"/>
              <w:spacing w:line="340" w:lineRule="exact"/>
              <w:jc w:val="center"/>
              <w:rPr>
                <w:sz w:val="24"/>
                <w:highlight w:val="none"/>
              </w:rPr>
            </w:pPr>
            <w:r>
              <w:rPr>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总投资（万元）</w:t>
            </w:r>
          </w:p>
        </w:tc>
        <w:tc>
          <w:tcPr>
            <w:tcW w:w="1944" w:type="dxa"/>
            <w:vAlign w:val="center"/>
          </w:tcPr>
          <w:p>
            <w:pPr>
              <w:adjustRightInd w:val="0"/>
              <w:snapToGrid w:val="0"/>
              <w:spacing w:line="340" w:lineRule="exact"/>
              <w:jc w:val="center"/>
              <w:rPr>
                <w:sz w:val="24"/>
                <w:highlight w:val="none"/>
              </w:rPr>
            </w:pPr>
            <w:r>
              <w:rPr>
                <w:rFonts w:hint="eastAsia"/>
                <w:sz w:val="24"/>
                <w:highlight w:val="none"/>
              </w:rPr>
              <w:t>800</w:t>
            </w:r>
          </w:p>
        </w:tc>
        <w:tc>
          <w:tcPr>
            <w:tcW w:w="2110"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环保投资（万元）</w:t>
            </w:r>
          </w:p>
        </w:tc>
        <w:tc>
          <w:tcPr>
            <w:tcW w:w="3161" w:type="dxa"/>
            <w:vAlign w:val="center"/>
          </w:tcPr>
          <w:p>
            <w:pPr>
              <w:adjustRightInd w:val="0"/>
              <w:snapToGrid w:val="0"/>
              <w:spacing w:line="340" w:lineRule="exact"/>
              <w:jc w:val="center"/>
              <w:rPr>
                <w:sz w:val="24"/>
                <w:highlight w:val="none"/>
              </w:rPr>
            </w:pPr>
            <w:r>
              <w:rPr>
                <w:rFonts w:hint="eastAsia"/>
                <w:sz w:val="24"/>
                <w:highlight w:val="none"/>
              </w:rPr>
              <w:t>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环保投资占比（%）</w:t>
            </w:r>
          </w:p>
        </w:tc>
        <w:tc>
          <w:tcPr>
            <w:tcW w:w="1944" w:type="dxa"/>
            <w:vAlign w:val="center"/>
          </w:tcPr>
          <w:p>
            <w:pPr>
              <w:adjustRightInd w:val="0"/>
              <w:snapToGrid w:val="0"/>
              <w:spacing w:line="340" w:lineRule="exact"/>
              <w:jc w:val="center"/>
              <w:rPr>
                <w:sz w:val="24"/>
                <w:highlight w:val="none"/>
              </w:rPr>
            </w:pPr>
            <w:r>
              <w:rPr>
                <w:rFonts w:hint="eastAsia"/>
                <w:sz w:val="24"/>
                <w:highlight w:val="none"/>
              </w:rPr>
              <w:t>3.75</w:t>
            </w:r>
          </w:p>
        </w:tc>
        <w:tc>
          <w:tcPr>
            <w:tcW w:w="2110"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施工工期</w:t>
            </w:r>
          </w:p>
        </w:tc>
        <w:tc>
          <w:tcPr>
            <w:tcW w:w="3161" w:type="dxa"/>
            <w:vAlign w:val="center"/>
          </w:tcPr>
          <w:p>
            <w:pPr>
              <w:adjustRightInd w:val="0"/>
              <w:snapToGrid w:val="0"/>
              <w:spacing w:line="340" w:lineRule="exact"/>
              <w:jc w:val="center"/>
              <w:rPr>
                <w:b/>
                <w:bCs/>
                <w:sz w:val="24"/>
                <w:highlight w:val="none"/>
              </w:rPr>
            </w:pPr>
            <w:r>
              <w:rPr>
                <w:rFonts w:hint="eastAsia"/>
                <w:sz w:val="24"/>
                <w:highlight w:val="none"/>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71" w:hRule="atLeast"/>
          <w:jc w:val="center"/>
        </w:trPr>
        <w:tc>
          <w:tcPr>
            <w:tcW w:w="2423" w:type="dxa"/>
            <w:tcMar>
              <w:top w:w="16" w:type="dxa"/>
              <w:left w:w="16" w:type="dxa"/>
              <w:right w:w="16" w:type="dxa"/>
            </w:tcMar>
            <w:vAlign w:val="center"/>
          </w:tcPr>
          <w:p>
            <w:pPr>
              <w:adjustRightInd w:val="0"/>
              <w:snapToGrid w:val="0"/>
              <w:spacing w:line="340" w:lineRule="exact"/>
              <w:jc w:val="center"/>
              <w:rPr>
                <w:sz w:val="24"/>
                <w:highlight w:val="none"/>
              </w:rPr>
            </w:pPr>
            <w:r>
              <w:rPr>
                <w:sz w:val="24"/>
                <w:highlight w:val="none"/>
              </w:rPr>
              <w:t>是否开工建设</w:t>
            </w:r>
          </w:p>
        </w:tc>
        <w:tc>
          <w:tcPr>
            <w:tcW w:w="1944" w:type="dxa"/>
            <w:vAlign w:val="center"/>
          </w:tcPr>
          <w:p>
            <w:pPr>
              <w:adjustRightInd w:val="0"/>
              <w:snapToGrid w:val="0"/>
              <w:spacing w:line="340" w:lineRule="exact"/>
              <w:rPr>
                <w:sz w:val="24"/>
                <w:highlight w:val="none"/>
                <w:u w:val="single"/>
              </w:rPr>
            </w:pPr>
            <w:r>
              <w:rPr>
                <w:sz w:val="24"/>
                <w:highlight w:val="none"/>
              </w:rPr>
              <w:t>□ 否：</w:t>
            </w:r>
            <w:r>
              <w:rPr>
                <w:sz w:val="24"/>
                <w:highlight w:val="none"/>
                <w:u w:val="single"/>
              </w:rPr>
              <w:t xml:space="preserve">         </w:t>
            </w:r>
          </w:p>
          <w:p>
            <w:pPr>
              <w:adjustRightInd w:val="0"/>
              <w:snapToGrid w:val="0"/>
              <w:spacing w:line="340" w:lineRule="exact"/>
              <w:jc w:val="left"/>
              <w:rPr>
                <w:sz w:val="24"/>
                <w:highlight w:val="none"/>
              </w:rPr>
            </w:pPr>
            <w:r>
              <w:rPr>
                <w:rFonts w:hint="eastAsia"/>
                <w:sz w:val="24"/>
                <w:highlight w:val="none"/>
              </w:rPr>
              <w:sym w:font="Wingdings 2" w:char="0052"/>
            </w:r>
            <w:r>
              <w:rPr>
                <w:sz w:val="24"/>
                <w:highlight w:val="none"/>
              </w:rPr>
              <w:t>是：</w:t>
            </w:r>
            <w:r>
              <w:rPr>
                <w:rFonts w:hint="eastAsia"/>
                <w:snapToGrid w:val="0"/>
                <w:kern w:val="0"/>
                <w:sz w:val="24"/>
                <w:highlight w:val="none"/>
                <w:u w:val="single"/>
              </w:rPr>
              <w:t>项目</w:t>
            </w:r>
            <w:r>
              <w:rPr>
                <w:rFonts w:hint="eastAsia"/>
                <w:snapToGrid w:val="0"/>
                <w:kern w:val="0"/>
                <w:sz w:val="24"/>
                <w:highlight w:val="none"/>
                <w:u w:val="single"/>
                <w:lang w:val="en-US" w:eastAsia="zh-CN"/>
              </w:rPr>
              <w:t>主体工程已建成，生产规模</w:t>
            </w:r>
            <w:r>
              <w:rPr>
                <w:rFonts w:hint="eastAsia"/>
                <w:snapToGrid w:val="0"/>
                <w:kern w:val="0"/>
                <w:sz w:val="24"/>
                <w:highlight w:val="none"/>
                <w:u w:val="single"/>
              </w:rPr>
              <w:t>发生重大变动</w:t>
            </w:r>
            <w:r>
              <w:rPr>
                <w:rFonts w:hint="eastAsia"/>
                <w:snapToGrid w:val="0"/>
                <w:kern w:val="0"/>
                <w:sz w:val="24"/>
                <w:highlight w:val="none"/>
                <w:u w:val="single"/>
                <w:lang w:eastAsia="zh-CN"/>
              </w:rPr>
              <w:t>，</w:t>
            </w:r>
            <w:r>
              <w:rPr>
                <w:rFonts w:hint="eastAsia"/>
                <w:snapToGrid w:val="0"/>
                <w:kern w:val="0"/>
                <w:sz w:val="24"/>
                <w:highlight w:val="none"/>
                <w:u w:val="single"/>
              </w:rPr>
              <w:t>重新</w:t>
            </w:r>
            <w:r>
              <w:rPr>
                <w:sz w:val="24"/>
                <w:highlight w:val="none"/>
                <w:u w:val="single"/>
              </w:rPr>
              <w:t>办</w:t>
            </w:r>
            <w:r>
              <w:rPr>
                <w:rFonts w:hint="eastAsia"/>
                <w:sz w:val="24"/>
                <w:highlight w:val="none"/>
                <w:u w:val="single"/>
              </w:rPr>
              <w:t>理</w:t>
            </w:r>
            <w:r>
              <w:rPr>
                <w:sz w:val="24"/>
                <w:highlight w:val="none"/>
                <w:u w:val="single"/>
              </w:rPr>
              <w:t>环评手续</w:t>
            </w:r>
            <w:r>
              <w:rPr>
                <w:rFonts w:hint="eastAsia"/>
                <w:sz w:val="24"/>
                <w:highlight w:val="none"/>
                <w:u w:val="single"/>
              </w:rPr>
              <w:t>，目前</w:t>
            </w:r>
            <w:r>
              <w:rPr>
                <w:rFonts w:hint="eastAsia"/>
                <w:snapToGrid w:val="0"/>
                <w:kern w:val="0"/>
                <w:sz w:val="24"/>
                <w:highlight w:val="none"/>
                <w:u w:val="single"/>
              </w:rPr>
              <w:t>停产状态。</w:t>
            </w:r>
          </w:p>
        </w:tc>
        <w:tc>
          <w:tcPr>
            <w:tcW w:w="2110" w:type="dxa"/>
            <w:tcMar>
              <w:top w:w="16" w:type="dxa"/>
              <w:left w:w="16" w:type="dxa"/>
              <w:right w:w="16" w:type="dxa"/>
            </w:tcMar>
            <w:vAlign w:val="center"/>
          </w:tcPr>
          <w:p>
            <w:pPr>
              <w:adjustRightInd w:val="0"/>
              <w:snapToGrid w:val="0"/>
              <w:spacing w:line="340" w:lineRule="exact"/>
              <w:jc w:val="center"/>
              <w:rPr>
                <w:spacing w:val="-6"/>
                <w:sz w:val="24"/>
                <w:highlight w:val="none"/>
              </w:rPr>
            </w:pPr>
            <w:r>
              <w:rPr>
                <w:spacing w:val="-6"/>
                <w:sz w:val="24"/>
                <w:highlight w:val="none"/>
              </w:rPr>
              <w:t>用地（用海）</w:t>
            </w:r>
          </w:p>
          <w:p>
            <w:pPr>
              <w:adjustRightInd w:val="0"/>
              <w:snapToGrid w:val="0"/>
              <w:spacing w:line="340" w:lineRule="exact"/>
              <w:jc w:val="center"/>
              <w:rPr>
                <w:sz w:val="24"/>
                <w:highlight w:val="none"/>
              </w:rPr>
            </w:pPr>
            <w:r>
              <w:rPr>
                <w:spacing w:val="-6"/>
                <w:sz w:val="24"/>
                <w:highlight w:val="none"/>
              </w:rPr>
              <w:t>面积（m</w:t>
            </w:r>
            <w:r>
              <w:rPr>
                <w:spacing w:val="-6"/>
                <w:sz w:val="24"/>
                <w:highlight w:val="none"/>
                <w:vertAlign w:val="superscript"/>
              </w:rPr>
              <w:t>2</w:t>
            </w:r>
            <w:r>
              <w:rPr>
                <w:spacing w:val="-6"/>
                <w:sz w:val="24"/>
                <w:highlight w:val="none"/>
              </w:rPr>
              <w:t>）</w:t>
            </w:r>
          </w:p>
        </w:tc>
        <w:tc>
          <w:tcPr>
            <w:tcW w:w="3161" w:type="dxa"/>
            <w:vAlign w:val="center"/>
          </w:tcPr>
          <w:p>
            <w:pPr>
              <w:adjustRightInd w:val="0"/>
              <w:snapToGrid w:val="0"/>
              <w:spacing w:line="340" w:lineRule="exact"/>
              <w:jc w:val="center"/>
              <w:rPr>
                <w:sz w:val="24"/>
                <w:highlight w:val="none"/>
              </w:rPr>
            </w:pPr>
            <w:r>
              <w:rPr>
                <w:rFonts w:hint="eastAsia"/>
                <w:sz w:val="24"/>
                <w:highlight w:val="none"/>
              </w:rPr>
              <w:t>4670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2423" w:type="dxa"/>
            <w:vAlign w:val="center"/>
          </w:tcPr>
          <w:p>
            <w:pPr>
              <w:autoSpaceDE w:val="0"/>
              <w:autoSpaceDN w:val="0"/>
              <w:adjustRightInd w:val="0"/>
              <w:snapToGrid w:val="0"/>
              <w:spacing w:line="340" w:lineRule="exact"/>
              <w:jc w:val="center"/>
              <w:rPr>
                <w:kern w:val="0"/>
                <w:sz w:val="24"/>
                <w:highlight w:val="none"/>
              </w:rPr>
            </w:pPr>
            <w:r>
              <w:rPr>
                <w:kern w:val="0"/>
                <w:sz w:val="24"/>
                <w:highlight w:val="none"/>
              </w:rPr>
              <w:t>专项评价设置情况</w:t>
            </w:r>
          </w:p>
        </w:tc>
        <w:tc>
          <w:tcPr>
            <w:tcW w:w="7215" w:type="dxa"/>
            <w:gridSpan w:val="3"/>
            <w:vAlign w:val="center"/>
          </w:tcPr>
          <w:p>
            <w:pPr>
              <w:autoSpaceDE w:val="0"/>
              <w:autoSpaceDN w:val="0"/>
              <w:adjustRightInd w:val="0"/>
              <w:snapToGrid w:val="0"/>
              <w:spacing w:line="340" w:lineRule="exact"/>
              <w:jc w:val="center"/>
              <w:rPr>
                <w:kern w:val="0"/>
                <w:sz w:val="24"/>
                <w:highlight w:val="none"/>
              </w:rPr>
            </w:pPr>
            <w:r>
              <w:rPr>
                <w:rFonts w:hint="eastAsia"/>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2423" w:type="dxa"/>
            <w:vAlign w:val="center"/>
          </w:tcPr>
          <w:p>
            <w:pPr>
              <w:autoSpaceDE w:val="0"/>
              <w:autoSpaceDN w:val="0"/>
              <w:adjustRightInd w:val="0"/>
              <w:snapToGrid w:val="0"/>
              <w:spacing w:line="340" w:lineRule="exact"/>
              <w:jc w:val="center"/>
              <w:rPr>
                <w:kern w:val="0"/>
                <w:sz w:val="24"/>
                <w:highlight w:val="none"/>
              </w:rPr>
            </w:pPr>
            <w:r>
              <w:rPr>
                <w:sz w:val="24"/>
                <w:highlight w:val="none"/>
              </w:rPr>
              <w:t>规划情况</w:t>
            </w:r>
          </w:p>
        </w:tc>
        <w:tc>
          <w:tcPr>
            <w:tcW w:w="7215" w:type="dxa"/>
            <w:gridSpan w:val="3"/>
            <w:vAlign w:val="center"/>
          </w:tcPr>
          <w:p>
            <w:pPr>
              <w:autoSpaceDE w:val="0"/>
              <w:autoSpaceDN w:val="0"/>
              <w:adjustRightInd w:val="0"/>
              <w:snapToGrid w:val="0"/>
              <w:spacing w:line="340" w:lineRule="exact"/>
              <w:jc w:val="center"/>
              <w:rPr>
                <w:kern w:val="0"/>
                <w:sz w:val="24"/>
                <w:highlight w:val="none"/>
              </w:rPr>
            </w:pPr>
            <w:r>
              <w:rPr>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2423" w:type="dxa"/>
            <w:vAlign w:val="center"/>
          </w:tcPr>
          <w:p>
            <w:pPr>
              <w:adjustRightInd w:val="0"/>
              <w:snapToGrid w:val="0"/>
              <w:spacing w:line="340" w:lineRule="exact"/>
              <w:jc w:val="center"/>
              <w:rPr>
                <w:sz w:val="24"/>
                <w:highlight w:val="none"/>
              </w:rPr>
            </w:pPr>
            <w:r>
              <w:rPr>
                <w:sz w:val="24"/>
                <w:highlight w:val="none"/>
              </w:rPr>
              <w:t>规划环境影响</w:t>
            </w:r>
          </w:p>
          <w:p>
            <w:pPr>
              <w:adjustRightInd w:val="0"/>
              <w:snapToGrid w:val="0"/>
              <w:spacing w:line="340" w:lineRule="exact"/>
              <w:jc w:val="center"/>
              <w:rPr>
                <w:kern w:val="0"/>
                <w:sz w:val="24"/>
                <w:highlight w:val="none"/>
              </w:rPr>
            </w:pPr>
            <w:r>
              <w:rPr>
                <w:sz w:val="24"/>
                <w:highlight w:val="none"/>
              </w:rPr>
              <w:t>评价情况</w:t>
            </w:r>
          </w:p>
        </w:tc>
        <w:tc>
          <w:tcPr>
            <w:tcW w:w="7215" w:type="dxa"/>
            <w:gridSpan w:val="3"/>
            <w:vAlign w:val="center"/>
          </w:tcPr>
          <w:p>
            <w:pPr>
              <w:autoSpaceDE w:val="0"/>
              <w:autoSpaceDN w:val="0"/>
              <w:adjustRightInd w:val="0"/>
              <w:snapToGrid w:val="0"/>
              <w:spacing w:line="340" w:lineRule="exact"/>
              <w:jc w:val="center"/>
              <w:rPr>
                <w:kern w:val="0"/>
                <w:sz w:val="24"/>
                <w:highlight w:val="none"/>
              </w:rPr>
            </w:pPr>
            <w:r>
              <w:rPr>
                <w:kern w:val="0"/>
                <w:sz w:val="24"/>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2423" w:type="dxa"/>
            <w:vAlign w:val="center"/>
          </w:tcPr>
          <w:p>
            <w:pPr>
              <w:autoSpaceDE w:val="0"/>
              <w:autoSpaceDN w:val="0"/>
              <w:adjustRightInd w:val="0"/>
              <w:snapToGrid w:val="0"/>
              <w:spacing w:line="340" w:lineRule="exact"/>
              <w:jc w:val="center"/>
              <w:rPr>
                <w:kern w:val="0"/>
                <w:sz w:val="24"/>
                <w:highlight w:val="none"/>
              </w:rPr>
            </w:pPr>
            <w:r>
              <w:rPr>
                <w:kern w:val="0"/>
                <w:sz w:val="24"/>
                <w:highlight w:val="none"/>
              </w:rPr>
              <w:t>规划及规划环境</w:t>
            </w:r>
          </w:p>
          <w:p>
            <w:pPr>
              <w:autoSpaceDE w:val="0"/>
              <w:autoSpaceDN w:val="0"/>
              <w:adjustRightInd w:val="0"/>
              <w:snapToGrid w:val="0"/>
              <w:spacing w:line="340" w:lineRule="exact"/>
              <w:jc w:val="center"/>
              <w:rPr>
                <w:kern w:val="0"/>
                <w:sz w:val="24"/>
                <w:highlight w:val="none"/>
              </w:rPr>
            </w:pPr>
            <w:r>
              <w:rPr>
                <w:kern w:val="0"/>
                <w:sz w:val="24"/>
                <w:highlight w:val="none"/>
              </w:rPr>
              <w:t>影响评价符合性分析</w:t>
            </w:r>
          </w:p>
        </w:tc>
        <w:tc>
          <w:tcPr>
            <w:tcW w:w="7215" w:type="dxa"/>
            <w:gridSpan w:val="3"/>
            <w:vAlign w:val="center"/>
          </w:tcPr>
          <w:p>
            <w:pPr>
              <w:autoSpaceDE w:val="0"/>
              <w:autoSpaceDN w:val="0"/>
              <w:adjustRightInd w:val="0"/>
              <w:snapToGrid w:val="0"/>
              <w:spacing w:line="340" w:lineRule="exact"/>
              <w:jc w:val="center"/>
              <w:rPr>
                <w:kern w:val="0"/>
                <w:sz w:val="24"/>
                <w:highlight w:val="none"/>
              </w:rPr>
            </w:pPr>
            <w:r>
              <w:rPr>
                <w:kern w:val="0"/>
                <w:sz w:val="24"/>
                <w:highlight w:val="none"/>
              </w:rPr>
              <w:t>/</w:t>
            </w:r>
          </w:p>
        </w:tc>
      </w:tr>
    </w:tbl>
    <w:p>
      <w:pPr>
        <w:rPr>
          <w:highlight w:val="none"/>
        </w:rPr>
      </w:pPr>
    </w:p>
    <w:tbl>
      <w:tblPr>
        <w:tblStyle w:val="29"/>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40"/>
        <w:gridCol w:w="909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2302" w:hRule="atLeast"/>
          <w:jc w:val="center"/>
        </w:trPr>
        <w:tc>
          <w:tcPr>
            <w:tcW w:w="497" w:type="dxa"/>
            <w:vAlign w:val="center"/>
          </w:tcPr>
          <w:p>
            <w:pPr>
              <w:autoSpaceDE w:val="0"/>
              <w:autoSpaceDN w:val="0"/>
              <w:adjustRightInd w:val="0"/>
              <w:snapToGrid w:val="0"/>
              <w:jc w:val="center"/>
              <w:rPr>
                <w:kern w:val="0"/>
                <w:szCs w:val="21"/>
                <w:highlight w:val="none"/>
              </w:rPr>
            </w:pPr>
            <w:r>
              <w:rPr>
                <w:kern w:val="0"/>
                <w:sz w:val="24"/>
                <w:highlight w:val="none"/>
              </w:rPr>
              <w:t>其</w:t>
            </w:r>
            <w:r>
              <w:rPr>
                <w:rFonts w:hint="eastAsia"/>
                <w:kern w:val="0"/>
                <w:sz w:val="24"/>
                <w:highlight w:val="none"/>
              </w:rPr>
              <w:t xml:space="preserve">  </w:t>
            </w:r>
            <w:r>
              <w:rPr>
                <w:kern w:val="0"/>
                <w:sz w:val="24"/>
                <w:highlight w:val="none"/>
              </w:rPr>
              <w:t>他符合性分析</w:t>
            </w:r>
          </w:p>
        </w:tc>
        <w:tc>
          <w:tcPr>
            <w:tcW w:w="8373" w:type="dxa"/>
            <w:vAlign w:val="center"/>
          </w:tcPr>
          <w:p>
            <w:pPr>
              <w:pStyle w:val="66"/>
              <w:spacing w:line="360" w:lineRule="auto"/>
              <w:jc w:val="both"/>
              <w:rPr>
                <w:rFonts w:ascii="Times New Roman" w:cs="Times New Roman"/>
                <w:b/>
                <w:color w:val="auto"/>
                <w:highlight w:val="none"/>
              </w:rPr>
            </w:pPr>
            <w:r>
              <w:rPr>
                <w:rFonts w:ascii="Times New Roman" w:cs="Times New Roman"/>
                <w:b/>
                <w:color w:val="auto"/>
                <w:highlight w:val="none"/>
              </w:rPr>
              <w:t>1、产业政策符合性分析</w:t>
            </w:r>
          </w:p>
          <w:p>
            <w:pPr>
              <w:widowControl/>
              <w:spacing w:line="360" w:lineRule="auto"/>
              <w:ind w:firstLine="480" w:firstLineChars="200"/>
              <w:jc w:val="left"/>
              <w:rPr>
                <w:sz w:val="24"/>
                <w:highlight w:val="none"/>
              </w:rPr>
            </w:pPr>
            <w:r>
              <w:rPr>
                <w:sz w:val="24"/>
                <w:highlight w:val="none"/>
              </w:rPr>
              <w:t>本项目属于</w:t>
            </w:r>
            <w:r>
              <w:rPr>
                <w:rFonts w:hint="eastAsia"/>
                <w:sz w:val="24"/>
                <w:highlight w:val="none"/>
              </w:rPr>
              <w:t>玉米加工项目</w:t>
            </w:r>
            <w:r>
              <w:rPr>
                <w:sz w:val="24"/>
                <w:highlight w:val="none"/>
              </w:rPr>
              <w:t>属于产业结构调整指导目录（2019年本）》</w:t>
            </w:r>
            <w:r>
              <w:rPr>
                <w:rFonts w:hint="eastAsia"/>
                <w:sz w:val="24"/>
                <w:highlight w:val="none"/>
              </w:rPr>
              <w:t>(2021年修改)</w:t>
            </w:r>
            <w:r>
              <w:rPr>
                <w:sz w:val="24"/>
                <w:highlight w:val="none"/>
              </w:rPr>
              <w:t>中的</w:t>
            </w:r>
            <w:r>
              <w:rPr>
                <w:rFonts w:hint="eastAsia"/>
                <w:sz w:val="24"/>
                <w:highlight w:val="none"/>
              </w:rPr>
              <w:t>26、农林牧渔产品储运、保鲜、加工与综合利用，</w:t>
            </w:r>
            <w:r>
              <w:rPr>
                <w:sz w:val="24"/>
                <w:highlight w:val="none"/>
              </w:rPr>
              <w:t>属于鼓励类项目，符合国家产业政策</w:t>
            </w:r>
            <w:r>
              <w:rPr>
                <w:rFonts w:hint="eastAsia"/>
                <w:sz w:val="24"/>
                <w:highlight w:val="none"/>
              </w:rPr>
              <w:t>。</w:t>
            </w:r>
          </w:p>
          <w:p>
            <w:pPr>
              <w:widowControl/>
              <w:spacing w:line="360" w:lineRule="auto"/>
              <w:ind w:firstLine="480" w:firstLineChars="200"/>
              <w:jc w:val="left"/>
              <w:rPr>
                <w:sz w:val="24"/>
                <w:highlight w:val="none"/>
              </w:rPr>
            </w:pPr>
            <w:r>
              <w:rPr>
                <w:sz w:val="24"/>
                <w:highlight w:val="none"/>
              </w:rPr>
              <w:t>项目所用设备无《产业结构调整指导目录(2019年本)》中限制、淘汰类设备。项目所用设备及产品无《部分工业行业淘汰落后生产工艺装备和产品指导目录(2010年本)》中淘汰落后生产工艺装备和产品，项目符合国家产业政策及有关部门的相关行业规定，项目实施后可以促进当地的经济发展。因此本项目的建设符合国家产业政策要求。</w:t>
            </w:r>
          </w:p>
          <w:p>
            <w:pPr>
              <w:spacing w:line="360" w:lineRule="auto"/>
              <w:jc w:val="left"/>
              <w:rPr>
                <w:b/>
                <w:sz w:val="24"/>
                <w:highlight w:val="none"/>
              </w:rPr>
            </w:pPr>
            <w:r>
              <w:rPr>
                <w:rFonts w:hint="eastAsia"/>
                <w:b/>
                <w:sz w:val="24"/>
                <w:highlight w:val="none"/>
              </w:rPr>
              <w:t>2</w:t>
            </w:r>
            <w:r>
              <w:rPr>
                <w:b/>
                <w:sz w:val="24"/>
                <w:highlight w:val="none"/>
              </w:rPr>
              <w:t>、“三线一单”符合性</w:t>
            </w:r>
          </w:p>
          <w:p>
            <w:pPr>
              <w:autoSpaceDE w:val="0"/>
              <w:autoSpaceDN w:val="0"/>
              <w:adjustRightInd w:val="0"/>
              <w:snapToGrid w:val="0"/>
              <w:spacing w:line="360" w:lineRule="auto"/>
              <w:ind w:firstLine="480" w:firstLineChars="200"/>
              <w:rPr>
                <w:kern w:val="0"/>
                <w:sz w:val="24"/>
                <w:highlight w:val="none"/>
              </w:rPr>
            </w:pPr>
            <w:r>
              <w:rPr>
                <w:kern w:val="0"/>
                <w:sz w:val="24"/>
                <w:highlight w:val="none"/>
              </w:rPr>
              <w:t>本项目位于</w:t>
            </w:r>
            <w:r>
              <w:rPr>
                <w:rFonts w:hint="eastAsia"/>
                <w:kern w:val="0"/>
                <w:sz w:val="24"/>
                <w:highlight w:val="none"/>
              </w:rPr>
              <w:t>双鸭山市四方台区太保镇开源村</w:t>
            </w:r>
            <w:r>
              <w:rPr>
                <w:kern w:val="0"/>
                <w:sz w:val="24"/>
                <w:highlight w:val="none"/>
              </w:rPr>
              <w:t>，</w:t>
            </w:r>
            <w:r>
              <w:rPr>
                <w:rFonts w:hint="eastAsia"/>
                <w:kern w:val="0"/>
                <w:sz w:val="24"/>
                <w:highlight w:val="none"/>
              </w:rPr>
              <w:t>项目不在生态保护红线范围内，</w:t>
            </w:r>
            <w:r>
              <w:rPr>
                <w:snapToGrid w:val="0"/>
                <w:kern w:val="0"/>
                <w:sz w:val="24"/>
                <w:highlight w:val="none"/>
              </w:rPr>
              <w:t>生态环境准入清单应满足双鸭山市</w:t>
            </w:r>
            <w:r>
              <w:rPr>
                <w:rFonts w:hint="eastAsia"/>
                <w:kern w:val="0"/>
                <w:sz w:val="24"/>
                <w:highlight w:val="none"/>
              </w:rPr>
              <w:t>四方台区</w:t>
            </w:r>
            <w:r>
              <w:rPr>
                <w:snapToGrid w:val="0"/>
                <w:kern w:val="0"/>
                <w:sz w:val="24"/>
                <w:highlight w:val="none"/>
              </w:rPr>
              <w:t>重点管控单元要求。根据</w:t>
            </w:r>
            <w:r>
              <w:rPr>
                <w:bCs/>
                <w:sz w:val="24"/>
                <w:highlight w:val="none"/>
              </w:rPr>
              <w:t>《黑龙江省人民政府关于实施“三线一单”生态环境分区管控的意见》（黑政发[2020]14号）》和</w:t>
            </w:r>
            <w:r>
              <w:rPr>
                <w:snapToGrid w:val="0"/>
                <w:kern w:val="0"/>
                <w:sz w:val="24"/>
                <w:highlight w:val="none"/>
              </w:rPr>
              <w:t>《双鸭山市人民政府 关于实施“三线一单”生态环境分区管控意见》双政规〔2021〕2号中要求</w:t>
            </w:r>
            <w:r>
              <w:rPr>
                <w:sz w:val="24"/>
                <w:highlight w:val="none"/>
                <w:lang w:bidi="ar"/>
              </w:rPr>
              <w:t>，</w:t>
            </w:r>
            <w:r>
              <w:rPr>
                <w:sz w:val="24"/>
                <w:szCs w:val="21"/>
                <w:highlight w:val="none"/>
                <w:lang w:bidi="ar"/>
              </w:rPr>
              <w:t>结合本项目生产工艺、排污状况和区域环境及环境质量现状进行调查的基础上</w:t>
            </w:r>
            <w:r>
              <w:rPr>
                <w:rFonts w:hint="eastAsia"/>
                <w:sz w:val="24"/>
                <w:szCs w:val="21"/>
                <w:highlight w:val="none"/>
                <w:lang w:bidi="ar"/>
              </w:rPr>
              <w:t>对项目进行评价</w:t>
            </w:r>
            <w:r>
              <w:rPr>
                <w:sz w:val="24"/>
                <w:szCs w:val="21"/>
                <w:highlight w:val="none"/>
                <w:lang w:bidi="ar"/>
              </w:rPr>
              <w:t>。</w:t>
            </w:r>
          </w:p>
          <w:p>
            <w:pPr>
              <w:autoSpaceDE w:val="0"/>
              <w:autoSpaceDN w:val="0"/>
              <w:adjustRightInd w:val="0"/>
              <w:snapToGrid w:val="0"/>
              <w:spacing w:line="360" w:lineRule="auto"/>
              <w:ind w:firstLine="480" w:firstLineChars="200"/>
              <w:rPr>
                <w:kern w:val="0"/>
                <w:sz w:val="24"/>
                <w:highlight w:val="none"/>
              </w:rPr>
            </w:pPr>
            <w:r>
              <w:rPr>
                <w:kern w:val="0"/>
                <w:sz w:val="24"/>
                <w:highlight w:val="none"/>
              </w:rPr>
              <w:t>1）生态保护红线</w:t>
            </w:r>
          </w:p>
          <w:p>
            <w:pPr>
              <w:autoSpaceDE w:val="0"/>
              <w:autoSpaceDN w:val="0"/>
              <w:adjustRightInd w:val="0"/>
              <w:snapToGrid w:val="0"/>
              <w:spacing w:line="360" w:lineRule="auto"/>
              <w:ind w:firstLine="480" w:firstLineChars="200"/>
              <w:rPr>
                <w:sz w:val="24"/>
                <w:highlight w:val="none"/>
              </w:rPr>
            </w:pPr>
            <w:r>
              <w:rPr>
                <w:kern w:val="0"/>
                <w:sz w:val="24"/>
                <w:highlight w:val="none"/>
              </w:rPr>
              <w:t>本项目位于</w:t>
            </w:r>
            <w:r>
              <w:rPr>
                <w:rFonts w:hint="eastAsia"/>
                <w:kern w:val="0"/>
                <w:sz w:val="24"/>
                <w:highlight w:val="none"/>
              </w:rPr>
              <w:t>双鸭山市四方台区太保镇开源村</w:t>
            </w:r>
            <w:r>
              <w:rPr>
                <w:kern w:val="0"/>
                <w:sz w:val="24"/>
                <w:highlight w:val="none"/>
              </w:rPr>
              <w:t>，</w:t>
            </w:r>
            <w:r>
              <w:rPr>
                <w:sz w:val="24"/>
                <w:highlight w:val="none"/>
              </w:rPr>
              <w:t>不在生态保护红线范围内，不在一般生态空间及各类保护地内，不涉及国家、省、市级自然保护区、自然文化遗产、风景名胜区、文物古迹、生态红线、饮用水水源保护区、重要湿地等区域；不在优先保护单元内。本项目建设不涉及生态保护红线。</w:t>
            </w:r>
          </w:p>
          <w:p>
            <w:pPr>
              <w:autoSpaceDE w:val="0"/>
              <w:autoSpaceDN w:val="0"/>
              <w:adjustRightInd w:val="0"/>
              <w:snapToGrid w:val="0"/>
              <w:spacing w:line="360" w:lineRule="auto"/>
              <w:ind w:firstLine="480" w:firstLineChars="200"/>
              <w:rPr>
                <w:sz w:val="24"/>
                <w:highlight w:val="none"/>
              </w:rPr>
            </w:pPr>
            <w:r>
              <w:rPr>
                <w:sz w:val="24"/>
                <w:highlight w:val="none"/>
              </w:rPr>
              <w:t>2）环境质量底线</w:t>
            </w:r>
          </w:p>
          <w:p>
            <w:pPr>
              <w:autoSpaceDE w:val="0"/>
              <w:autoSpaceDN w:val="0"/>
              <w:adjustRightInd w:val="0"/>
              <w:snapToGrid w:val="0"/>
              <w:spacing w:line="360" w:lineRule="auto"/>
              <w:ind w:firstLine="480" w:firstLineChars="200"/>
              <w:rPr>
                <w:sz w:val="24"/>
                <w:highlight w:val="none"/>
              </w:rPr>
            </w:pPr>
            <w:r>
              <w:rPr>
                <w:sz w:val="24"/>
                <w:highlight w:val="none"/>
              </w:rPr>
              <w:t>①大气</w:t>
            </w:r>
          </w:p>
          <w:p>
            <w:pPr>
              <w:autoSpaceDE w:val="0"/>
              <w:autoSpaceDN w:val="0"/>
              <w:adjustRightInd w:val="0"/>
              <w:snapToGrid w:val="0"/>
              <w:spacing w:line="360" w:lineRule="auto"/>
              <w:ind w:firstLine="480" w:firstLineChars="200"/>
              <w:rPr>
                <w:sz w:val="24"/>
                <w:highlight w:val="none"/>
              </w:rPr>
            </w:pPr>
            <w:r>
              <w:rPr>
                <w:sz w:val="24"/>
                <w:highlight w:val="none"/>
              </w:rPr>
              <w:t>本项目位于</w:t>
            </w:r>
            <w:r>
              <w:rPr>
                <w:rFonts w:hint="eastAsia"/>
                <w:sz w:val="24"/>
                <w:highlight w:val="none"/>
              </w:rPr>
              <w:t>双鸭山市四方台区太保镇开源村</w:t>
            </w:r>
            <w:r>
              <w:rPr>
                <w:sz w:val="24"/>
                <w:highlight w:val="none"/>
              </w:rPr>
              <w:t>。</w:t>
            </w:r>
            <w:r>
              <w:rPr>
                <w:rFonts w:hint="eastAsia"/>
                <w:sz w:val="24"/>
                <w:highlight w:val="none"/>
              </w:rPr>
              <w:t>根据项目现状监测报告，本项目所在区域在监测时段内TSP的浓度满足《环境空气质量标准》（GB3095-2012）中的二级标准限值要求；NH</w:t>
            </w:r>
            <w:r>
              <w:rPr>
                <w:rFonts w:hint="eastAsia"/>
                <w:sz w:val="24"/>
                <w:highlight w:val="none"/>
                <w:vertAlign w:val="subscript"/>
              </w:rPr>
              <w:t>3</w:t>
            </w:r>
            <w:r>
              <w:rPr>
                <w:rFonts w:hint="eastAsia"/>
                <w:sz w:val="24"/>
                <w:highlight w:val="none"/>
              </w:rPr>
              <w:t>和H</w:t>
            </w:r>
            <w:r>
              <w:rPr>
                <w:rFonts w:hint="eastAsia"/>
                <w:sz w:val="24"/>
                <w:highlight w:val="none"/>
                <w:vertAlign w:val="subscript"/>
              </w:rPr>
              <w:t>2</w:t>
            </w:r>
            <w:r>
              <w:rPr>
                <w:rFonts w:hint="eastAsia"/>
                <w:sz w:val="24"/>
                <w:highlight w:val="none"/>
              </w:rPr>
              <w:t>S 1小时平均值满足《环境影响评价技术导则 大气环境》（HJ2.2-2018）附录D其他污染物空气质量浓度参考限值。</w:t>
            </w:r>
            <w:r>
              <w:rPr>
                <w:sz w:val="24"/>
                <w:highlight w:val="none"/>
              </w:rPr>
              <w:t>本项目运营期产生的大气污染物主要为锅炉烟气，锅炉废气经</w:t>
            </w:r>
            <w:r>
              <w:rPr>
                <w:rFonts w:hint="eastAsia"/>
                <w:sz w:val="24"/>
                <w:highlight w:val="none"/>
              </w:rPr>
              <w:t>布袋除尘器</w:t>
            </w:r>
            <w:r>
              <w:rPr>
                <w:sz w:val="24"/>
                <w:highlight w:val="none"/>
              </w:rPr>
              <w:t>处理后通过</w:t>
            </w:r>
            <w:r>
              <w:rPr>
                <w:rFonts w:hint="eastAsia"/>
                <w:sz w:val="24"/>
                <w:highlight w:val="none"/>
              </w:rPr>
              <w:t>35m高</w:t>
            </w:r>
            <w:r>
              <w:rPr>
                <w:sz w:val="24"/>
                <w:highlight w:val="none"/>
              </w:rPr>
              <w:t>烟囱高空排放，可达标排放。本项目运营期废气对大气环境影响较小。</w:t>
            </w:r>
            <w:r>
              <w:rPr>
                <w:rFonts w:hint="eastAsia"/>
                <w:sz w:val="24"/>
                <w:highlight w:val="none"/>
              </w:rPr>
              <w:t>不会突破环境质量底线。</w:t>
            </w:r>
          </w:p>
          <w:p>
            <w:pPr>
              <w:spacing w:line="360" w:lineRule="auto"/>
              <w:ind w:firstLine="480" w:firstLineChars="200"/>
              <w:rPr>
                <w:sz w:val="24"/>
                <w:highlight w:val="none"/>
                <w:lang w:bidi="ar"/>
              </w:rPr>
            </w:pPr>
            <w:r>
              <w:rPr>
                <w:sz w:val="24"/>
                <w:highlight w:val="none"/>
                <w:lang w:bidi="ar"/>
              </w:rPr>
              <w:t>②水环境</w:t>
            </w:r>
          </w:p>
          <w:p>
            <w:pPr>
              <w:spacing w:line="360" w:lineRule="auto"/>
              <w:ind w:firstLine="480" w:firstLineChars="200"/>
              <w:rPr>
                <w:sz w:val="24"/>
                <w:highlight w:val="none"/>
              </w:rPr>
            </w:pPr>
            <w:r>
              <w:rPr>
                <w:sz w:val="24"/>
                <w:highlight w:val="none"/>
              </w:rPr>
              <w:t>本项目位于</w:t>
            </w:r>
            <w:r>
              <w:rPr>
                <w:rFonts w:hint="eastAsia"/>
                <w:sz w:val="24"/>
                <w:highlight w:val="none"/>
              </w:rPr>
              <w:t>双鸭山市四方台区太保镇开源村</w:t>
            </w:r>
            <w:r>
              <w:rPr>
                <w:sz w:val="24"/>
                <w:highlight w:val="none"/>
              </w:rPr>
              <w:t>。本项目锅炉排污水和软化处理废水用于锅炉除渣、除灰和锅炉间地面洒水降尘，不外排。生活污水</w:t>
            </w:r>
            <w:r>
              <w:rPr>
                <w:rFonts w:hint="eastAsia"/>
                <w:sz w:val="24"/>
                <w:highlight w:val="none"/>
              </w:rPr>
              <w:t>、</w:t>
            </w:r>
            <w:r>
              <w:rPr>
                <w:sz w:val="24"/>
                <w:highlight w:val="none"/>
              </w:rPr>
              <w:t>生产废水</w:t>
            </w:r>
            <w:r>
              <w:rPr>
                <w:rFonts w:hint="eastAsia"/>
                <w:sz w:val="24"/>
                <w:highlight w:val="none"/>
              </w:rPr>
              <w:t>拉运至污水处理厂，能够满足</w:t>
            </w:r>
            <w:r>
              <w:rPr>
                <w:sz w:val="24"/>
                <w:highlight w:val="none"/>
              </w:rPr>
              <w:t>《污水综合排放标准》（GB8978-1996）表4三级标准</w:t>
            </w:r>
            <w:r>
              <w:rPr>
                <w:rFonts w:hint="eastAsia"/>
                <w:sz w:val="24"/>
                <w:highlight w:val="none"/>
                <w:lang w:val="en-US" w:eastAsia="zh-CN"/>
              </w:rPr>
              <w:t>及污水处理厂进水水质要求</w:t>
            </w:r>
            <w:r>
              <w:rPr>
                <w:sz w:val="24"/>
                <w:highlight w:val="none"/>
              </w:rPr>
              <w:t>。</w:t>
            </w:r>
            <w:r>
              <w:rPr>
                <w:rFonts w:hint="eastAsia"/>
                <w:sz w:val="24"/>
                <w:highlight w:val="none"/>
              </w:rPr>
              <w:t>不会突破环境质量底线。</w:t>
            </w:r>
          </w:p>
          <w:p>
            <w:pPr>
              <w:spacing w:line="360" w:lineRule="auto"/>
              <w:ind w:left="420" w:leftChars="200"/>
              <w:rPr>
                <w:sz w:val="24"/>
                <w:highlight w:val="none"/>
                <w:lang w:bidi="ar"/>
              </w:rPr>
            </w:pPr>
            <w:r>
              <w:rPr>
                <w:sz w:val="24"/>
                <w:highlight w:val="none"/>
                <w:lang w:bidi="ar"/>
              </w:rPr>
              <w:t>③土壤</w:t>
            </w:r>
          </w:p>
          <w:p>
            <w:pPr>
              <w:autoSpaceDE w:val="0"/>
              <w:autoSpaceDN w:val="0"/>
              <w:adjustRightInd w:val="0"/>
              <w:snapToGrid w:val="0"/>
              <w:spacing w:line="360" w:lineRule="auto"/>
              <w:ind w:firstLine="480" w:firstLineChars="200"/>
              <w:rPr>
                <w:sz w:val="24"/>
                <w:highlight w:val="none"/>
              </w:rPr>
            </w:pPr>
            <w:r>
              <w:rPr>
                <w:sz w:val="24"/>
                <w:highlight w:val="none"/>
              </w:rPr>
              <w:t>本项目属于</w:t>
            </w:r>
            <w:r>
              <w:rPr>
                <w:rFonts w:hint="eastAsia"/>
                <w:sz w:val="24"/>
                <w:highlight w:val="none"/>
              </w:rPr>
              <w:t>玉米</w:t>
            </w:r>
            <w:r>
              <w:rPr>
                <w:sz w:val="24"/>
                <w:highlight w:val="none"/>
              </w:rPr>
              <w:t>加工项目，不属于需考虑大气沉降影响的行业，且项目不涉及地面漫流等，建设项目敏感程度为不敏感。故本项目不需要开展土壤环境影响评价。产生的固体废物进行合理处置，处置率100%。</w:t>
            </w:r>
            <w:r>
              <w:rPr>
                <w:rFonts w:hint="eastAsia"/>
                <w:sz w:val="24"/>
                <w:highlight w:val="none"/>
              </w:rPr>
              <w:t>不会突破环境质量底线。</w:t>
            </w:r>
          </w:p>
          <w:p>
            <w:pPr>
              <w:autoSpaceDE w:val="0"/>
              <w:autoSpaceDN w:val="0"/>
              <w:adjustRightInd w:val="0"/>
              <w:snapToGrid w:val="0"/>
              <w:spacing w:line="360" w:lineRule="auto"/>
              <w:ind w:firstLine="480" w:firstLineChars="200"/>
              <w:rPr>
                <w:sz w:val="24"/>
                <w:highlight w:val="none"/>
              </w:rPr>
            </w:pPr>
            <w:r>
              <w:rPr>
                <w:sz w:val="24"/>
                <w:highlight w:val="none"/>
              </w:rPr>
              <w:t>3）资源利用上线</w:t>
            </w:r>
          </w:p>
          <w:p>
            <w:pPr>
              <w:adjustRightInd w:val="0"/>
              <w:snapToGrid w:val="0"/>
              <w:spacing w:line="360" w:lineRule="auto"/>
              <w:ind w:firstLine="480" w:firstLineChars="200"/>
              <w:jc w:val="left"/>
              <w:rPr>
                <w:sz w:val="24"/>
                <w:highlight w:val="none"/>
              </w:rPr>
            </w:pPr>
            <w:r>
              <w:rPr>
                <w:sz w:val="24"/>
                <w:highlight w:val="none"/>
              </w:rPr>
              <w:t>本项目</w:t>
            </w:r>
            <w:r>
              <w:rPr>
                <w:rFonts w:hint="eastAsia"/>
                <w:sz w:val="24"/>
                <w:highlight w:val="none"/>
              </w:rPr>
              <w:t>水量消耗4420</w:t>
            </w:r>
            <w:r>
              <w:rPr>
                <w:sz w:val="24"/>
                <w:highlight w:val="none"/>
              </w:rPr>
              <w:t>‬m</w:t>
            </w:r>
            <w:r>
              <w:rPr>
                <w:sz w:val="24"/>
                <w:highlight w:val="none"/>
                <w:vertAlign w:val="superscript"/>
              </w:rPr>
              <w:t>3</w:t>
            </w:r>
            <w:r>
              <w:rPr>
                <w:sz w:val="24"/>
                <w:highlight w:val="none"/>
              </w:rPr>
              <w:t>/a</w:t>
            </w:r>
            <w:r>
              <w:rPr>
                <w:rFonts w:hint="eastAsia"/>
                <w:sz w:val="24"/>
                <w:highlight w:val="none"/>
              </w:rPr>
              <w:t>且不属于“两高”行业，水资源消耗量较小；土地均在使用范围内，不会额外消耗土地资源；</w:t>
            </w:r>
            <w:r>
              <w:rPr>
                <w:sz w:val="24"/>
                <w:highlight w:val="none"/>
              </w:rPr>
              <w:t>项目使用生物质作为能源，能源消耗量较低。</w:t>
            </w:r>
            <w:r>
              <w:rPr>
                <w:rFonts w:hint="eastAsia"/>
                <w:sz w:val="24"/>
                <w:highlight w:val="none"/>
              </w:rPr>
              <w:t>项目不会达到</w:t>
            </w:r>
            <w:r>
              <w:rPr>
                <w:sz w:val="24"/>
                <w:highlight w:val="none"/>
              </w:rPr>
              <w:t>资源利用上线</w:t>
            </w:r>
            <w:r>
              <w:rPr>
                <w:rFonts w:hint="eastAsia"/>
                <w:sz w:val="24"/>
                <w:highlight w:val="none"/>
              </w:rPr>
              <w:t>。</w:t>
            </w:r>
          </w:p>
          <w:p>
            <w:pPr>
              <w:adjustRightInd w:val="0"/>
              <w:snapToGrid w:val="0"/>
              <w:spacing w:line="360" w:lineRule="auto"/>
              <w:ind w:firstLine="480" w:firstLineChars="200"/>
              <w:jc w:val="left"/>
              <w:rPr>
                <w:snapToGrid w:val="0"/>
                <w:kern w:val="0"/>
                <w:sz w:val="24"/>
                <w:szCs w:val="21"/>
                <w:highlight w:val="none"/>
              </w:rPr>
            </w:pPr>
            <w:r>
              <w:rPr>
                <w:sz w:val="24"/>
                <w:highlight w:val="none"/>
              </w:rPr>
              <w:t>（4）</w:t>
            </w:r>
            <w:r>
              <w:rPr>
                <w:snapToGrid w:val="0"/>
                <w:kern w:val="0"/>
                <w:sz w:val="24"/>
                <w:szCs w:val="21"/>
                <w:highlight w:val="none"/>
              </w:rPr>
              <w:t>生态环境准入清单</w:t>
            </w:r>
          </w:p>
          <w:p>
            <w:pPr>
              <w:adjustRightInd w:val="0"/>
              <w:snapToGrid w:val="0"/>
              <w:spacing w:line="360" w:lineRule="auto"/>
              <w:ind w:firstLine="480" w:firstLineChars="200"/>
              <w:jc w:val="left"/>
              <w:rPr>
                <w:snapToGrid w:val="0"/>
                <w:kern w:val="0"/>
                <w:sz w:val="24"/>
                <w:szCs w:val="21"/>
                <w:highlight w:val="none"/>
              </w:rPr>
            </w:pPr>
            <w:r>
              <w:rPr>
                <w:sz w:val="24"/>
                <w:szCs w:val="21"/>
                <w:highlight w:val="none"/>
                <w:lang w:bidi="ar"/>
              </w:rPr>
              <w:t>本项目位于</w:t>
            </w:r>
            <w:r>
              <w:rPr>
                <w:rFonts w:hint="eastAsia"/>
                <w:sz w:val="24"/>
                <w:highlight w:val="none"/>
              </w:rPr>
              <w:t>双鸭山市四方台区太保镇开源村</w:t>
            </w:r>
            <w:r>
              <w:rPr>
                <w:sz w:val="24"/>
                <w:szCs w:val="21"/>
                <w:highlight w:val="none"/>
                <w:lang w:bidi="ar"/>
              </w:rPr>
              <w:t>，根</w:t>
            </w:r>
            <w:r>
              <w:rPr>
                <w:snapToGrid w:val="0"/>
                <w:kern w:val="0"/>
                <w:sz w:val="24"/>
                <w:szCs w:val="21"/>
                <w:highlight w:val="none"/>
              </w:rPr>
              <w:t>据《黑龙江省生态环境准入清单（</w:t>
            </w:r>
            <w:r>
              <w:rPr>
                <w:rFonts w:hint="eastAsia"/>
                <w:snapToGrid w:val="0"/>
                <w:kern w:val="0"/>
                <w:sz w:val="24"/>
                <w:szCs w:val="21"/>
                <w:highlight w:val="none"/>
              </w:rPr>
              <w:t>双鸭山市</w:t>
            </w:r>
            <w:r>
              <w:rPr>
                <w:snapToGrid w:val="0"/>
                <w:kern w:val="0"/>
                <w:sz w:val="24"/>
                <w:szCs w:val="21"/>
                <w:highlight w:val="none"/>
              </w:rPr>
              <w:t>）》及《双鸭山市人民政府 关于实施“三线一单”生态环境分区管控意见》双政规〔2021〕2号中要求，本项目与</w:t>
            </w:r>
            <w:r>
              <w:rPr>
                <w:rFonts w:hint="eastAsia"/>
                <w:snapToGrid w:val="0"/>
                <w:kern w:val="0"/>
                <w:sz w:val="24"/>
                <w:szCs w:val="21"/>
                <w:highlight w:val="none"/>
              </w:rPr>
              <w:t>双鸭山市</w:t>
            </w:r>
            <w:r>
              <w:rPr>
                <w:rFonts w:hint="eastAsia"/>
                <w:kern w:val="0"/>
                <w:sz w:val="24"/>
                <w:highlight w:val="none"/>
              </w:rPr>
              <w:t>四方台区</w:t>
            </w:r>
            <w:r>
              <w:rPr>
                <w:snapToGrid w:val="0"/>
                <w:kern w:val="0"/>
                <w:sz w:val="24"/>
                <w:szCs w:val="21"/>
                <w:highlight w:val="none"/>
              </w:rPr>
              <w:t>生态环境准入清单对照情况见下表。</w:t>
            </w:r>
          </w:p>
          <w:p>
            <w:pPr>
              <w:autoSpaceDE w:val="0"/>
              <w:autoSpaceDN w:val="0"/>
              <w:adjustRightInd w:val="0"/>
              <w:snapToGrid w:val="0"/>
              <w:jc w:val="center"/>
              <w:rPr>
                <w:b/>
                <w:bCs/>
                <w:highlight w:val="none"/>
              </w:rPr>
            </w:pPr>
            <w:r>
              <w:rPr>
                <w:b/>
                <w:bCs/>
                <w:highlight w:val="none"/>
              </w:rPr>
              <w:t xml:space="preserve">表1-6   </w:t>
            </w:r>
            <w:r>
              <w:rPr>
                <w:rFonts w:hint="eastAsia"/>
                <w:b/>
                <w:bCs/>
                <w:highlight w:val="none"/>
              </w:rPr>
              <w:t>双鸭山市</w:t>
            </w:r>
            <w:r>
              <w:rPr>
                <w:rFonts w:hint="eastAsia"/>
                <w:b/>
                <w:bCs/>
                <w:kern w:val="0"/>
                <w:szCs w:val="21"/>
                <w:highlight w:val="none"/>
              </w:rPr>
              <w:t>四方台区</w:t>
            </w:r>
            <w:r>
              <w:rPr>
                <w:b/>
                <w:bCs/>
                <w:highlight w:val="none"/>
              </w:rPr>
              <w:t>生态环境准入清单符合性分析</w:t>
            </w:r>
          </w:p>
          <w:tbl>
            <w:tblPr>
              <w:tblStyle w:val="29"/>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29"/>
              <w:gridCol w:w="936"/>
              <w:gridCol w:w="839"/>
              <w:gridCol w:w="783"/>
              <w:gridCol w:w="3275"/>
              <w:gridCol w:w="20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vAlign w:val="center"/>
                </w:tcPr>
                <w:p>
                  <w:pPr>
                    <w:adjustRightInd w:val="0"/>
                    <w:snapToGrid w:val="0"/>
                    <w:jc w:val="center"/>
                    <w:rPr>
                      <w:snapToGrid w:val="0"/>
                      <w:kern w:val="0"/>
                      <w:szCs w:val="21"/>
                      <w:highlight w:val="none"/>
                    </w:rPr>
                  </w:pPr>
                  <w:r>
                    <w:rPr>
                      <w:snapToGrid w:val="0"/>
                      <w:kern w:val="0"/>
                      <w:szCs w:val="21"/>
                      <w:highlight w:val="none"/>
                    </w:rPr>
                    <w:t>管控单元编码</w:t>
                  </w:r>
                </w:p>
              </w:tc>
              <w:tc>
                <w:tcPr>
                  <w:tcW w:w="936" w:type="dxa"/>
                  <w:vAlign w:val="center"/>
                </w:tcPr>
                <w:p>
                  <w:pPr>
                    <w:adjustRightInd w:val="0"/>
                    <w:snapToGrid w:val="0"/>
                    <w:jc w:val="center"/>
                    <w:rPr>
                      <w:snapToGrid w:val="0"/>
                      <w:kern w:val="0"/>
                      <w:szCs w:val="21"/>
                      <w:highlight w:val="none"/>
                    </w:rPr>
                  </w:pPr>
                  <w:r>
                    <w:rPr>
                      <w:snapToGrid w:val="0"/>
                      <w:kern w:val="0"/>
                      <w:szCs w:val="21"/>
                      <w:highlight w:val="none"/>
                    </w:rPr>
                    <w:t>环境管控单元名称</w:t>
                  </w:r>
                </w:p>
              </w:tc>
              <w:tc>
                <w:tcPr>
                  <w:tcW w:w="839" w:type="dxa"/>
                  <w:vAlign w:val="center"/>
                </w:tcPr>
                <w:p>
                  <w:pPr>
                    <w:adjustRightInd w:val="0"/>
                    <w:snapToGrid w:val="0"/>
                    <w:jc w:val="center"/>
                    <w:rPr>
                      <w:snapToGrid w:val="0"/>
                      <w:kern w:val="0"/>
                      <w:szCs w:val="21"/>
                      <w:highlight w:val="none"/>
                    </w:rPr>
                  </w:pPr>
                  <w:r>
                    <w:rPr>
                      <w:snapToGrid w:val="0"/>
                      <w:kern w:val="0"/>
                      <w:szCs w:val="21"/>
                      <w:highlight w:val="none"/>
                    </w:rPr>
                    <w:t>管控单元类别</w:t>
                  </w:r>
                </w:p>
              </w:tc>
              <w:tc>
                <w:tcPr>
                  <w:tcW w:w="4058" w:type="dxa"/>
                  <w:gridSpan w:val="2"/>
                  <w:vAlign w:val="center"/>
                </w:tcPr>
                <w:p>
                  <w:pPr>
                    <w:adjustRightInd w:val="0"/>
                    <w:snapToGrid w:val="0"/>
                    <w:jc w:val="center"/>
                    <w:rPr>
                      <w:snapToGrid w:val="0"/>
                      <w:kern w:val="0"/>
                      <w:szCs w:val="21"/>
                      <w:highlight w:val="none"/>
                    </w:rPr>
                  </w:pPr>
                  <w:r>
                    <w:rPr>
                      <w:snapToGrid w:val="0"/>
                      <w:kern w:val="0"/>
                      <w:szCs w:val="21"/>
                      <w:highlight w:val="none"/>
                    </w:rPr>
                    <w:t>管控要求</w:t>
                  </w:r>
                </w:p>
              </w:tc>
              <w:tc>
                <w:tcPr>
                  <w:tcW w:w="2025" w:type="dxa"/>
                  <w:vAlign w:val="center"/>
                </w:tcPr>
                <w:p>
                  <w:pPr>
                    <w:adjustRightInd w:val="0"/>
                    <w:snapToGrid w:val="0"/>
                    <w:jc w:val="center"/>
                    <w:rPr>
                      <w:snapToGrid w:val="0"/>
                      <w:kern w:val="0"/>
                      <w:szCs w:val="21"/>
                      <w:highlight w:val="none"/>
                    </w:rPr>
                  </w:pPr>
                  <w:r>
                    <w:rPr>
                      <w:snapToGrid w:val="0"/>
                      <w:kern w:val="0"/>
                      <w:szCs w:val="21"/>
                      <w:highlight w:val="none"/>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vMerge w:val="restart"/>
                  <w:vAlign w:val="center"/>
                </w:tcPr>
                <w:p>
                  <w:pPr>
                    <w:adjustRightInd w:val="0"/>
                    <w:snapToGrid w:val="0"/>
                    <w:jc w:val="center"/>
                    <w:rPr>
                      <w:snapToGrid w:val="0"/>
                      <w:kern w:val="0"/>
                      <w:szCs w:val="21"/>
                      <w:highlight w:val="none"/>
                    </w:rPr>
                  </w:pPr>
                  <w:r>
                    <w:rPr>
                      <w:rFonts w:hint="eastAsia"/>
                      <w:snapToGrid w:val="0"/>
                      <w:kern w:val="0"/>
                      <w:szCs w:val="21"/>
                      <w:highlight w:val="none"/>
                    </w:rPr>
                    <w:t>ZH23050520004</w:t>
                  </w:r>
                </w:p>
              </w:tc>
              <w:tc>
                <w:tcPr>
                  <w:tcW w:w="936" w:type="dxa"/>
                  <w:vMerge w:val="restart"/>
                  <w:vAlign w:val="center"/>
                </w:tcPr>
                <w:p>
                  <w:pPr>
                    <w:adjustRightInd w:val="0"/>
                    <w:snapToGrid w:val="0"/>
                    <w:jc w:val="center"/>
                    <w:rPr>
                      <w:snapToGrid w:val="0"/>
                      <w:kern w:val="0"/>
                      <w:szCs w:val="21"/>
                      <w:highlight w:val="none"/>
                    </w:rPr>
                  </w:pPr>
                  <w:r>
                    <w:rPr>
                      <w:rFonts w:hint="eastAsia"/>
                      <w:snapToGrid w:val="0"/>
                      <w:kern w:val="0"/>
                      <w:szCs w:val="21"/>
                      <w:highlight w:val="none"/>
                    </w:rPr>
                    <w:t>四方台区大气环境布局敏感重点管控区</w:t>
                  </w:r>
                </w:p>
              </w:tc>
              <w:tc>
                <w:tcPr>
                  <w:tcW w:w="839" w:type="dxa"/>
                  <w:vMerge w:val="restart"/>
                  <w:vAlign w:val="center"/>
                </w:tcPr>
                <w:p>
                  <w:pPr>
                    <w:adjustRightInd w:val="0"/>
                    <w:snapToGrid w:val="0"/>
                    <w:jc w:val="center"/>
                    <w:rPr>
                      <w:snapToGrid w:val="0"/>
                      <w:kern w:val="0"/>
                      <w:szCs w:val="21"/>
                      <w:highlight w:val="none"/>
                    </w:rPr>
                  </w:pPr>
                  <w:r>
                    <w:rPr>
                      <w:rFonts w:hint="eastAsia"/>
                      <w:snapToGrid w:val="0"/>
                      <w:kern w:val="0"/>
                      <w:szCs w:val="21"/>
                      <w:highlight w:val="none"/>
                    </w:rPr>
                    <w:t>重点管控单元</w:t>
                  </w:r>
                </w:p>
              </w:tc>
              <w:tc>
                <w:tcPr>
                  <w:tcW w:w="783" w:type="dxa"/>
                  <w:vAlign w:val="center"/>
                </w:tcPr>
                <w:p>
                  <w:pPr>
                    <w:adjustRightInd w:val="0"/>
                    <w:snapToGrid w:val="0"/>
                    <w:jc w:val="center"/>
                    <w:rPr>
                      <w:snapToGrid w:val="0"/>
                      <w:kern w:val="0"/>
                      <w:szCs w:val="21"/>
                      <w:highlight w:val="none"/>
                    </w:rPr>
                  </w:pPr>
                  <w:r>
                    <w:rPr>
                      <w:rFonts w:hint="eastAsia"/>
                      <w:snapToGrid w:val="0"/>
                      <w:kern w:val="0"/>
                      <w:szCs w:val="21"/>
                      <w:highlight w:val="none"/>
                    </w:rPr>
                    <w:t>空间布局约束</w:t>
                  </w:r>
                </w:p>
              </w:tc>
              <w:tc>
                <w:tcPr>
                  <w:tcW w:w="3275" w:type="dxa"/>
                  <w:vAlign w:val="center"/>
                </w:tcPr>
                <w:p>
                  <w:pPr>
                    <w:adjustRightInd w:val="0"/>
                    <w:snapToGrid w:val="0"/>
                    <w:jc w:val="center"/>
                    <w:rPr>
                      <w:snapToGrid w:val="0"/>
                      <w:kern w:val="0"/>
                      <w:szCs w:val="21"/>
                      <w:highlight w:val="none"/>
                      <w:lang w:val="zh-CN"/>
                    </w:rPr>
                  </w:pPr>
                  <w:r>
                    <w:rPr>
                      <w:rFonts w:hint="eastAsia"/>
                      <w:snapToGrid w:val="0"/>
                      <w:kern w:val="0"/>
                      <w:szCs w:val="21"/>
                      <w:highlight w:val="none"/>
                    </w:rPr>
                    <w:t>一、区域内原则上禁止布局高污染项目。严控“两高”行业产能。严格执行钢铁、水泥、平板玻璃等行业产能置换实施办法。</w:t>
                  </w:r>
                </w:p>
                <w:p>
                  <w:pPr>
                    <w:adjustRightInd w:val="0"/>
                    <w:snapToGrid w:val="0"/>
                    <w:jc w:val="center"/>
                    <w:rPr>
                      <w:snapToGrid w:val="0"/>
                      <w:kern w:val="0"/>
                      <w:szCs w:val="21"/>
                      <w:highlight w:val="none"/>
                    </w:rPr>
                  </w:pPr>
                  <w:r>
                    <w:rPr>
                      <w:rFonts w:hint="eastAsia"/>
                      <w:snapToGrid w:val="0"/>
                      <w:kern w:val="0"/>
                      <w:szCs w:val="21"/>
                      <w:highlight w:val="none"/>
                    </w:rPr>
                    <w:t>二、利用水泥窑协同处置城市生活垃圾、危险废弃物、电石渣等固废伴生水泥项目，必须依托现有新型干法水泥熟料生产线进行不扩产能改造。</w:t>
                  </w:r>
                </w:p>
              </w:tc>
              <w:tc>
                <w:tcPr>
                  <w:tcW w:w="2025" w:type="dxa"/>
                  <w:vAlign w:val="center"/>
                </w:tcPr>
                <w:p>
                  <w:pPr>
                    <w:adjustRightInd w:val="0"/>
                    <w:snapToGrid w:val="0"/>
                    <w:jc w:val="center"/>
                    <w:rPr>
                      <w:snapToGrid w:val="0"/>
                      <w:kern w:val="0"/>
                      <w:szCs w:val="21"/>
                      <w:highlight w:val="none"/>
                    </w:rPr>
                  </w:pPr>
                  <w:r>
                    <w:rPr>
                      <w:rFonts w:hint="eastAsia"/>
                      <w:snapToGrid w:val="0"/>
                      <w:kern w:val="0"/>
                      <w:szCs w:val="21"/>
                      <w:highlight w:val="none"/>
                    </w:rPr>
                    <w:t>本项目不属于高污染项目，不属于两高行业，不属于水泥窑，符合要求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vMerge w:val="continue"/>
                  <w:vAlign w:val="center"/>
                </w:tcPr>
                <w:p>
                  <w:pPr>
                    <w:adjustRightInd w:val="0"/>
                    <w:snapToGrid w:val="0"/>
                    <w:jc w:val="center"/>
                    <w:rPr>
                      <w:snapToGrid w:val="0"/>
                      <w:kern w:val="0"/>
                      <w:szCs w:val="21"/>
                      <w:highlight w:val="none"/>
                    </w:rPr>
                  </w:pPr>
                </w:p>
              </w:tc>
              <w:tc>
                <w:tcPr>
                  <w:tcW w:w="936" w:type="dxa"/>
                  <w:vMerge w:val="continue"/>
                  <w:vAlign w:val="center"/>
                </w:tcPr>
                <w:p>
                  <w:pPr>
                    <w:adjustRightInd w:val="0"/>
                    <w:snapToGrid w:val="0"/>
                    <w:jc w:val="center"/>
                    <w:rPr>
                      <w:snapToGrid w:val="0"/>
                      <w:kern w:val="0"/>
                      <w:szCs w:val="21"/>
                      <w:highlight w:val="none"/>
                    </w:rPr>
                  </w:pPr>
                </w:p>
              </w:tc>
              <w:tc>
                <w:tcPr>
                  <w:tcW w:w="839" w:type="dxa"/>
                  <w:vMerge w:val="continue"/>
                  <w:vAlign w:val="center"/>
                </w:tcPr>
                <w:p>
                  <w:pPr>
                    <w:adjustRightInd w:val="0"/>
                    <w:snapToGrid w:val="0"/>
                    <w:jc w:val="center"/>
                    <w:rPr>
                      <w:snapToGrid w:val="0"/>
                      <w:kern w:val="0"/>
                      <w:szCs w:val="21"/>
                      <w:highlight w:val="none"/>
                    </w:rPr>
                  </w:pPr>
                </w:p>
              </w:tc>
              <w:tc>
                <w:tcPr>
                  <w:tcW w:w="783" w:type="dxa"/>
                  <w:vAlign w:val="center"/>
                </w:tcPr>
                <w:p>
                  <w:pPr>
                    <w:adjustRightInd w:val="0"/>
                    <w:snapToGrid w:val="0"/>
                    <w:jc w:val="center"/>
                    <w:rPr>
                      <w:snapToGrid w:val="0"/>
                      <w:kern w:val="0"/>
                      <w:szCs w:val="21"/>
                      <w:highlight w:val="none"/>
                    </w:rPr>
                  </w:pPr>
                  <w:r>
                    <w:rPr>
                      <w:rFonts w:hint="eastAsia"/>
                      <w:snapToGrid w:val="0"/>
                      <w:kern w:val="0"/>
                      <w:szCs w:val="21"/>
                      <w:highlight w:val="none"/>
                    </w:rPr>
                    <w:t>污染物排放管控</w:t>
                  </w:r>
                </w:p>
              </w:tc>
              <w:tc>
                <w:tcPr>
                  <w:tcW w:w="3275" w:type="dxa"/>
                  <w:vAlign w:val="center"/>
                </w:tcPr>
                <w:p>
                  <w:pPr>
                    <w:adjustRightInd w:val="0"/>
                    <w:snapToGrid w:val="0"/>
                    <w:jc w:val="center"/>
                    <w:rPr>
                      <w:snapToGrid w:val="0"/>
                      <w:kern w:val="0"/>
                      <w:szCs w:val="21"/>
                      <w:highlight w:val="none"/>
                      <w:lang w:val="zh-CN"/>
                    </w:rPr>
                  </w:pPr>
                  <w:r>
                    <w:rPr>
                      <w:rFonts w:hint="eastAsia"/>
                      <w:snapToGrid w:val="0"/>
                      <w:kern w:val="0"/>
                      <w:szCs w:val="21"/>
                      <w:highlight w:val="none"/>
                    </w:rPr>
                    <w:t>一、推广使用电、天然气等清洁能源。</w:t>
                  </w:r>
                </w:p>
                <w:p>
                  <w:pPr>
                    <w:adjustRightInd w:val="0"/>
                    <w:snapToGrid w:val="0"/>
                    <w:jc w:val="center"/>
                    <w:rPr>
                      <w:snapToGrid w:val="0"/>
                      <w:kern w:val="0"/>
                      <w:szCs w:val="21"/>
                      <w:highlight w:val="none"/>
                      <w:lang w:val="zh-CN"/>
                    </w:rPr>
                  </w:pPr>
                  <w:r>
                    <w:rPr>
                      <w:rFonts w:hint="eastAsia"/>
                      <w:snapToGrid w:val="0"/>
                      <w:kern w:val="0"/>
                      <w:szCs w:val="21"/>
                      <w:highlight w:val="none"/>
                    </w:rPr>
                    <w:t>二、提升环境管理水平，减少污染物排放。</w:t>
                  </w:r>
                </w:p>
                <w:p>
                  <w:pPr>
                    <w:adjustRightInd w:val="0"/>
                    <w:snapToGrid w:val="0"/>
                    <w:jc w:val="center"/>
                    <w:rPr>
                      <w:snapToGrid w:val="0"/>
                      <w:kern w:val="0"/>
                      <w:szCs w:val="21"/>
                      <w:highlight w:val="none"/>
                    </w:rPr>
                  </w:pPr>
                  <w:r>
                    <w:rPr>
                      <w:rFonts w:hint="eastAsia"/>
                      <w:snapToGrid w:val="0"/>
                      <w:kern w:val="0"/>
                      <w:szCs w:val="21"/>
                      <w:highlight w:val="none"/>
                    </w:rPr>
                    <w:t>三、支持企业开展能效提升、清洁生产、工业节水等绿色化升级改造，实施重点行业和企业循环化改造，推动资源循环再生利用，降低能源消耗和污染物排放量。</w:t>
                  </w:r>
                </w:p>
              </w:tc>
              <w:tc>
                <w:tcPr>
                  <w:tcW w:w="2025" w:type="dxa"/>
                  <w:vAlign w:val="center"/>
                </w:tcPr>
                <w:p>
                  <w:pPr>
                    <w:adjustRightInd w:val="0"/>
                    <w:snapToGrid w:val="0"/>
                    <w:jc w:val="center"/>
                    <w:rPr>
                      <w:snapToGrid w:val="0"/>
                      <w:kern w:val="0"/>
                      <w:szCs w:val="21"/>
                      <w:highlight w:val="none"/>
                    </w:rPr>
                  </w:pPr>
                  <w:r>
                    <w:rPr>
                      <w:rFonts w:hint="eastAsia"/>
                      <w:snapToGrid w:val="0"/>
                      <w:kern w:val="0"/>
                      <w:szCs w:val="21"/>
                      <w:highlight w:val="none"/>
                    </w:rPr>
                    <w:t>项目污染物排放满足国家标准，符合要求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29" w:type="dxa"/>
                  <w:vMerge w:val="continue"/>
                  <w:vAlign w:val="center"/>
                </w:tcPr>
                <w:p>
                  <w:pPr>
                    <w:adjustRightInd w:val="0"/>
                    <w:snapToGrid w:val="0"/>
                    <w:jc w:val="center"/>
                    <w:rPr>
                      <w:snapToGrid w:val="0"/>
                      <w:kern w:val="0"/>
                      <w:szCs w:val="21"/>
                      <w:highlight w:val="none"/>
                    </w:rPr>
                  </w:pPr>
                </w:p>
              </w:tc>
              <w:tc>
                <w:tcPr>
                  <w:tcW w:w="936" w:type="dxa"/>
                  <w:vMerge w:val="continue"/>
                  <w:vAlign w:val="center"/>
                </w:tcPr>
                <w:p>
                  <w:pPr>
                    <w:adjustRightInd w:val="0"/>
                    <w:snapToGrid w:val="0"/>
                    <w:jc w:val="center"/>
                    <w:rPr>
                      <w:snapToGrid w:val="0"/>
                      <w:kern w:val="0"/>
                      <w:szCs w:val="21"/>
                      <w:highlight w:val="none"/>
                    </w:rPr>
                  </w:pPr>
                </w:p>
              </w:tc>
              <w:tc>
                <w:tcPr>
                  <w:tcW w:w="839" w:type="dxa"/>
                  <w:vMerge w:val="continue"/>
                  <w:vAlign w:val="center"/>
                </w:tcPr>
                <w:p>
                  <w:pPr>
                    <w:adjustRightInd w:val="0"/>
                    <w:snapToGrid w:val="0"/>
                    <w:jc w:val="center"/>
                    <w:rPr>
                      <w:snapToGrid w:val="0"/>
                      <w:kern w:val="0"/>
                      <w:szCs w:val="21"/>
                      <w:highlight w:val="none"/>
                    </w:rPr>
                  </w:pPr>
                </w:p>
              </w:tc>
              <w:tc>
                <w:tcPr>
                  <w:tcW w:w="783" w:type="dxa"/>
                  <w:vAlign w:val="center"/>
                </w:tcPr>
                <w:p>
                  <w:pPr>
                    <w:adjustRightInd w:val="0"/>
                    <w:snapToGrid w:val="0"/>
                    <w:jc w:val="center"/>
                    <w:rPr>
                      <w:snapToGrid w:val="0"/>
                      <w:kern w:val="0"/>
                      <w:szCs w:val="21"/>
                      <w:highlight w:val="none"/>
                    </w:rPr>
                  </w:pPr>
                  <w:r>
                    <w:rPr>
                      <w:rFonts w:hint="eastAsia"/>
                      <w:snapToGrid w:val="0"/>
                      <w:kern w:val="0"/>
                      <w:szCs w:val="21"/>
                      <w:highlight w:val="none"/>
                    </w:rPr>
                    <w:t>环境风险防控</w:t>
                  </w:r>
                </w:p>
              </w:tc>
              <w:tc>
                <w:tcPr>
                  <w:tcW w:w="3275" w:type="dxa"/>
                  <w:vAlign w:val="center"/>
                </w:tcPr>
                <w:p>
                  <w:pPr>
                    <w:adjustRightInd w:val="0"/>
                    <w:snapToGrid w:val="0"/>
                    <w:jc w:val="center"/>
                    <w:rPr>
                      <w:snapToGrid w:val="0"/>
                      <w:kern w:val="0"/>
                      <w:szCs w:val="21"/>
                      <w:highlight w:val="none"/>
                    </w:rPr>
                  </w:pPr>
                  <w:r>
                    <w:rPr>
                      <w:rFonts w:hint="eastAsia"/>
                      <w:snapToGrid w:val="0"/>
                      <w:kern w:val="0"/>
                      <w:szCs w:val="21"/>
                      <w:highlight w:val="none"/>
                    </w:rPr>
                    <w:t>严格执行相关行业企业布局选址要求，禁止在商住、学校、医疗、养老机构、人口密集区和公共服务设施等周边新建有色金属冶炼、化工等行业企业。</w:t>
                  </w:r>
                </w:p>
              </w:tc>
              <w:tc>
                <w:tcPr>
                  <w:tcW w:w="2025" w:type="dxa"/>
                  <w:vAlign w:val="center"/>
                </w:tcPr>
                <w:p>
                  <w:pPr>
                    <w:adjustRightInd w:val="0"/>
                    <w:snapToGrid w:val="0"/>
                    <w:jc w:val="center"/>
                    <w:rPr>
                      <w:snapToGrid w:val="0"/>
                      <w:kern w:val="0"/>
                      <w:szCs w:val="21"/>
                      <w:highlight w:val="none"/>
                    </w:rPr>
                  </w:pPr>
                  <w:r>
                    <w:rPr>
                      <w:rFonts w:hint="eastAsia"/>
                      <w:snapToGrid w:val="0"/>
                      <w:kern w:val="0"/>
                      <w:szCs w:val="21"/>
                      <w:highlight w:val="none"/>
                    </w:rPr>
                    <w:t>本项目不属于条目规定的行业，符合要求</w:t>
                  </w:r>
                </w:p>
              </w:tc>
            </w:tr>
          </w:tbl>
          <w:p>
            <w:pPr>
              <w:pStyle w:val="88"/>
              <w:ind w:firstLine="480" w:firstLineChars="200"/>
              <w:rPr>
                <w:rFonts w:ascii="Times New Roman" w:hAnsi="Times New Roman"/>
                <w:snapToGrid w:val="0"/>
                <w:kern w:val="0"/>
                <w:szCs w:val="21"/>
                <w:highlight w:val="none"/>
              </w:rPr>
            </w:pPr>
            <w:r>
              <w:rPr>
                <w:rFonts w:ascii="Times New Roman" w:hAnsi="Times New Roman"/>
                <w:snapToGrid w:val="0"/>
                <w:kern w:val="0"/>
                <w:szCs w:val="21"/>
                <w:highlight w:val="none"/>
              </w:rPr>
              <w:t>本项目选址位于项目位于</w:t>
            </w:r>
            <w:r>
              <w:rPr>
                <w:rFonts w:hint="eastAsia" w:ascii="Times New Roman" w:hAnsi="Times New Roman"/>
                <w:highlight w:val="none"/>
              </w:rPr>
              <w:t>双鸭山市四方台区太保镇开源村</w:t>
            </w:r>
            <w:r>
              <w:rPr>
                <w:rFonts w:ascii="Times New Roman" w:hAnsi="Times New Roman"/>
                <w:snapToGrid w:val="0"/>
                <w:kern w:val="0"/>
                <w:szCs w:val="21"/>
                <w:highlight w:val="none"/>
              </w:rPr>
              <w:t>，</w:t>
            </w:r>
            <w:r>
              <w:rPr>
                <w:rFonts w:hint="eastAsia" w:ascii="Times New Roman" w:hAnsi="Times New Roman"/>
                <w:snapToGrid w:val="0"/>
                <w:kern w:val="0"/>
                <w:szCs w:val="21"/>
                <w:highlight w:val="none"/>
              </w:rPr>
              <w:t>项目所在区域不属于</w:t>
            </w:r>
            <w:r>
              <w:rPr>
                <w:rFonts w:ascii="Times New Roman" w:hAnsi="Times New Roman"/>
                <w:snapToGrid w:val="0"/>
                <w:kern w:val="0"/>
                <w:szCs w:val="21"/>
                <w:highlight w:val="none"/>
              </w:rPr>
              <w:t>水资源地下水超载区</w:t>
            </w:r>
            <w:r>
              <w:rPr>
                <w:rFonts w:hint="eastAsia" w:ascii="Times New Roman" w:hAnsi="Times New Roman"/>
                <w:snapToGrid w:val="0"/>
                <w:kern w:val="0"/>
                <w:szCs w:val="21"/>
                <w:highlight w:val="none"/>
              </w:rPr>
              <w:t>，本项目生产用水采用地下水，用水量很小不会突破水资源利用上线</w:t>
            </w:r>
            <w:r>
              <w:rPr>
                <w:rFonts w:hint="eastAsia" w:ascii="Times New Roman" w:hAnsi="Times New Roman"/>
                <w:snapToGrid w:val="0"/>
                <w:kern w:val="0"/>
                <w:szCs w:val="21"/>
                <w:highlight w:val="none"/>
                <w:lang w:eastAsia="zh-CN"/>
              </w:rPr>
              <w:t>，</w:t>
            </w:r>
            <w:r>
              <w:rPr>
                <w:rFonts w:hint="eastAsia" w:ascii="Times New Roman" w:hAnsi="Times New Roman"/>
                <w:snapToGrid w:val="0"/>
                <w:kern w:val="0"/>
                <w:szCs w:val="21"/>
                <w:highlight w:val="none"/>
              </w:rPr>
              <w:t>符合三线一单要求，</w:t>
            </w:r>
            <w:r>
              <w:rPr>
                <w:rFonts w:ascii="Times New Roman" w:hAnsi="Times New Roman"/>
                <w:snapToGrid w:val="0"/>
                <w:kern w:val="0"/>
                <w:szCs w:val="21"/>
                <w:highlight w:val="none"/>
              </w:rPr>
              <w:t>本项目选址占地性质为</w:t>
            </w:r>
            <w:r>
              <w:rPr>
                <w:rFonts w:hint="eastAsia" w:ascii="Times New Roman" w:hAnsi="Times New Roman"/>
                <w:snapToGrid w:val="0"/>
                <w:kern w:val="0"/>
                <w:szCs w:val="21"/>
                <w:highlight w:val="none"/>
              </w:rPr>
              <w:t>建设</w:t>
            </w:r>
            <w:r>
              <w:rPr>
                <w:rFonts w:ascii="Times New Roman" w:hAnsi="Times New Roman"/>
                <w:snapToGrid w:val="0"/>
                <w:kern w:val="0"/>
                <w:szCs w:val="21"/>
                <w:highlight w:val="none"/>
              </w:rPr>
              <w:t>用地，并采取了有效、可行的污染治理措施，各项污染物均可达标排放，本项目建设对周围环境影响较小，因此本项目符合《双鸭山市人民政府</w:t>
            </w:r>
            <w:r>
              <w:rPr>
                <w:rFonts w:hint="eastAsia" w:ascii="Times New Roman" w:hAnsi="Times New Roman"/>
                <w:snapToGrid w:val="0"/>
                <w:kern w:val="0"/>
                <w:szCs w:val="21"/>
                <w:highlight w:val="none"/>
              </w:rPr>
              <w:t xml:space="preserve"> </w:t>
            </w:r>
            <w:r>
              <w:rPr>
                <w:rFonts w:ascii="Times New Roman" w:hAnsi="Times New Roman"/>
                <w:snapToGrid w:val="0"/>
                <w:kern w:val="0"/>
                <w:szCs w:val="21"/>
                <w:highlight w:val="none"/>
              </w:rPr>
              <w:t>关于实施“三线一单”生态环境分区管控意见》双政规〔2021〕2号以及《黑龙江省“三线一单”文本》中要求。</w:t>
            </w:r>
          </w:p>
          <w:p>
            <w:pPr>
              <w:spacing w:line="360" w:lineRule="auto"/>
              <w:jc w:val="left"/>
              <w:rPr>
                <w:b/>
                <w:sz w:val="24"/>
                <w:highlight w:val="none"/>
              </w:rPr>
            </w:pPr>
            <w:r>
              <w:rPr>
                <w:rFonts w:hint="eastAsia"/>
                <w:b/>
                <w:sz w:val="24"/>
                <w:highlight w:val="none"/>
              </w:rPr>
              <w:t>3、</w:t>
            </w:r>
            <w:r>
              <w:rPr>
                <w:b/>
                <w:sz w:val="24"/>
                <w:highlight w:val="none"/>
              </w:rPr>
              <w:t>项目与大气污染防治条例符合性分析</w:t>
            </w:r>
          </w:p>
          <w:p>
            <w:pPr>
              <w:widowControl/>
              <w:spacing w:line="360" w:lineRule="auto"/>
              <w:ind w:firstLine="480" w:firstLineChars="200"/>
              <w:rPr>
                <w:sz w:val="24"/>
                <w:highlight w:val="none"/>
              </w:rPr>
            </w:pPr>
            <w:r>
              <w:rPr>
                <w:sz w:val="24"/>
                <w:highlight w:val="none"/>
              </w:rPr>
              <w:t>根据《黑龙江省大气污染防治条例》，燃煤电厂、燃煤供热锅炉以及其他燃煤单位，应当采用清洁生产工艺，配套建设除尘、脱硫、脱硝等装置或者采用技术改造等措施，减少大气污染物的产生和排放，排放的大气污染物应当达到规定标准。县级以上人民政府应当向社会公布燃煤锅炉计划淘汰名单和时限，并合理控制城市建成区外规划区内额定蒸发量每小时十吨以下或者额定功率七兆瓦以下燃煤锅炉的建设和使用。</w:t>
            </w:r>
          </w:p>
          <w:p>
            <w:pPr>
              <w:widowControl/>
              <w:spacing w:line="360" w:lineRule="auto"/>
              <w:ind w:firstLine="480" w:firstLineChars="200"/>
              <w:rPr>
                <w:sz w:val="24"/>
                <w:highlight w:val="none"/>
              </w:rPr>
            </w:pPr>
            <w:r>
              <w:rPr>
                <w:sz w:val="24"/>
                <w:highlight w:val="none"/>
              </w:rPr>
              <w:t>项目建设</w:t>
            </w:r>
            <w:r>
              <w:rPr>
                <w:rFonts w:hint="eastAsia"/>
                <w:sz w:val="24"/>
                <w:highlight w:val="none"/>
              </w:rPr>
              <w:t>1</w:t>
            </w:r>
            <w:r>
              <w:rPr>
                <w:sz w:val="24"/>
                <w:highlight w:val="none"/>
              </w:rPr>
              <w:t>台</w:t>
            </w:r>
            <w:r>
              <w:rPr>
                <w:rFonts w:hint="eastAsia"/>
                <w:sz w:val="24"/>
                <w:highlight w:val="none"/>
              </w:rPr>
              <w:t>4</w:t>
            </w:r>
            <w:r>
              <w:rPr>
                <w:sz w:val="24"/>
                <w:highlight w:val="none"/>
              </w:rPr>
              <w:t>t/h生物质蒸汽锅炉，非燃煤锅炉，且生物质蒸汽锅炉烟气经布袋除尘器处理后通过35m高烟囱排放，烟气中颗粒物、SO</w:t>
            </w:r>
            <w:r>
              <w:rPr>
                <w:sz w:val="24"/>
                <w:highlight w:val="none"/>
                <w:vertAlign w:val="subscript"/>
              </w:rPr>
              <w:t>2</w:t>
            </w:r>
            <w:r>
              <w:rPr>
                <w:sz w:val="24"/>
                <w:highlight w:val="none"/>
              </w:rPr>
              <w:t>、NO</w:t>
            </w:r>
            <w:r>
              <w:rPr>
                <w:sz w:val="24"/>
                <w:highlight w:val="none"/>
                <w:vertAlign w:val="subscript"/>
              </w:rPr>
              <w:t>X、</w:t>
            </w:r>
            <w:r>
              <w:rPr>
                <w:sz w:val="24"/>
                <w:highlight w:val="none"/>
              </w:rPr>
              <w:t>烟气黑度（林格曼黑度）排放浓度满足《锅炉大气污染物排放标准》（GB13271-2014）表2中燃煤锅炉标准要求，符合《黑龙江省大气污染防治条例》。</w:t>
            </w:r>
          </w:p>
          <w:p>
            <w:pPr>
              <w:spacing w:line="360" w:lineRule="auto"/>
              <w:jc w:val="left"/>
              <w:rPr>
                <w:b/>
                <w:sz w:val="24"/>
                <w:highlight w:val="none"/>
              </w:rPr>
            </w:pPr>
            <w:r>
              <w:rPr>
                <w:rFonts w:hint="eastAsia"/>
                <w:b/>
                <w:sz w:val="24"/>
                <w:highlight w:val="none"/>
              </w:rPr>
              <w:t>4、与《关于划定双鸭山市城区高污染燃料禁燃区范围的通知》符合性</w:t>
            </w:r>
          </w:p>
          <w:p>
            <w:pPr>
              <w:widowControl/>
              <w:spacing w:line="360" w:lineRule="auto"/>
              <w:ind w:firstLine="480" w:firstLineChars="200"/>
              <w:rPr>
                <w:sz w:val="24"/>
                <w:highlight w:val="none"/>
              </w:rPr>
            </w:pPr>
            <w:r>
              <w:rPr>
                <w:rFonts w:hint="eastAsia"/>
                <w:sz w:val="24"/>
                <w:highlight w:val="none"/>
              </w:rPr>
              <w:t>根据《关于划定双鸭山市城区高污染燃料禁燃区范围的通知》中规定，禁燃区面积不低于建成区面积的 80%，并根据城市建成区的发展不断调整划定范围。双鸭山市城区高污染燃料禁燃区包括尖山区、开发区、岭东区、四方台区、宝山区的建成区范围。禁燃区内禁止散烧原煤以及煤焦油、重油、渣油等燃料，禁止燃烧各种可燃废物，禁止燃用生物质燃料及污染物含量超过国家规定限值的柴油、煤油等高污染燃料。禁燃区禁止燃烧高污染燃料后，将进一步有效控制燃煤污染，为改善我市大气环境质量起到积极作用。本项目位于黑龙江省双鸭山四方台区太保镇</w:t>
            </w:r>
            <w:r>
              <w:rPr>
                <w:rFonts w:hint="eastAsia"/>
                <w:sz w:val="24"/>
                <w:highlight w:val="none"/>
                <w:lang w:val="en-US" w:eastAsia="zh-CN"/>
              </w:rPr>
              <w:t>开源</w:t>
            </w:r>
            <w:r>
              <w:rPr>
                <w:rFonts w:hint="eastAsia"/>
                <w:sz w:val="24"/>
                <w:highlight w:val="none"/>
              </w:rPr>
              <w:t>村，不在四方台区建成区范围内，本项目燃料为生物质压块燃料，所以本项目不在双鸭山市城区高污染燃料禁燃区范围内。</w:t>
            </w:r>
          </w:p>
          <w:p>
            <w:pPr>
              <w:spacing w:line="360" w:lineRule="auto"/>
              <w:jc w:val="left"/>
              <w:rPr>
                <w:b/>
                <w:sz w:val="24"/>
                <w:highlight w:val="none"/>
              </w:rPr>
            </w:pPr>
            <w:r>
              <w:rPr>
                <w:rFonts w:hint="eastAsia"/>
                <w:b/>
                <w:sz w:val="24"/>
                <w:highlight w:val="none"/>
              </w:rPr>
              <w:t>5、与《冷库设计规范》（GB/T50072-2021）符合性分析</w:t>
            </w:r>
          </w:p>
          <w:p>
            <w:pPr>
              <w:autoSpaceDE w:val="0"/>
              <w:autoSpaceDN w:val="0"/>
              <w:adjustRightInd w:val="0"/>
              <w:snapToGrid w:val="0"/>
              <w:jc w:val="center"/>
              <w:rPr>
                <w:b/>
                <w:bCs/>
                <w:highlight w:val="none"/>
              </w:rPr>
            </w:pPr>
            <w:r>
              <w:rPr>
                <w:b/>
                <w:bCs/>
                <w:highlight w:val="none"/>
              </w:rPr>
              <w:t>表1-</w:t>
            </w:r>
            <w:r>
              <w:rPr>
                <w:rFonts w:hint="eastAsia"/>
                <w:b/>
                <w:bCs/>
                <w:highlight w:val="none"/>
              </w:rPr>
              <w:t>7</w:t>
            </w:r>
            <w:r>
              <w:rPr>
                <w:b/>
                <w:bCs/>
                <w:highlight w:val="none"/>
              </w:rPr>
              <w:t xml:space="preserve"> 冷库设计规范</w:t>
            </w:r>
          </w:p>
          <w:tbl>
            <w:tblPr>
              <w:tblStyle w:val="29"/>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04"/>
              <w:gridCol w:w="4778"/>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67" w:type="dxa"/>
                  <w:vAlign w:val="center"/>
                </w:tcPr>
                <w:p>
                  <w:pPr>
                    <w:pStyle w:val="71"/>
                    <w:rPr>
                      <w:highlight w:val="none"/>
                    </w:rPr>
                  </w:pPr>
                  <w:r>
                    <w:rPr>
                      <w:highlight w:val="none"/>
                    </w:rPr>
                    <w:t>选址要求</w:t>
                  </w:r>
                </w:p>
              </w:tc>
              <w:tc>
                <w:tcPr>
                  <w:tcW w:w="3804" w:type="dxa"/>
                  <w:vAlign w:val="center"/>
                </w:tcPr>
                <w:p>
                  <w:pPr>
                    <w:pStyle w:val="71"/>
                    <w:rPr>
                      <w:highlight w:val="none"/>
                    </w:rPr>
                  </w:pPr>
                  <w:r>
                    <w:rPr>
                      <w:highlight w:val="none"/>
                    </w:rPr>
                    <w:t>符合性分析</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7" w:type="dxa"/>
                  <w:vAlign w:val="center"/>
                </w:tcPr>
                <w:p>
                  <w:pPr>
                    <w:pStyle w:val="71"/>
                    <w:rPr>
                      <w:highlight w:val="none"/>
                    </w:rPr>
                  </w:pPr>
                  <w:r>
                    <w:rPr>
                      <w:highlight w:val="none"/>
                    </w:rPr>
                    <w:t>1、应符合当地总体规划的要求</w:t>
                  </w:r>
                </w:p>
              </w:tc>
              <w:tc>
                <w:tcPr>
                  <w:tcW w:w="3804" w:type="dxa"/>
                  <w:vAlign w:val="center"/>
                </w:tcPr>
                <w:p>
                  <w:pPr>
                    <w:pStyle w:val="71"/>
                    <w:rPr>
                      <w:highlight w:val="none"/>
                    </w:rPr>
                  </w:pPr>
                  <w:r>
                    <w:rPr>
                      <w:highlight w:val="none"/>
                    </w:rPr>
                    <w:t>本项目符合总体规划的要求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7" w:type="dxa"/>
                  <w:vAlign w:val="center"/>
                </w:tcPr>
                <w:p>
                  <w:pPr>
                    <w:pStyle w:val="71"/>
                    <w:rPr>
                      <w:highlight w:val="none"/>
                    </w:rPr>
                  </w:pPr>
                  <w:r>
                    <w:rPr>
                      <w:highlight w:val="none"/>
                    </w:rPr>
                    <w:t>2、使用氨制冷系统的冷库库址宜选择在相邻集中居住区全年最大频率风向的下风侧</w:t>
                  </w:r>
                </w:p>
              </w:tc>
              <w:tc>
                <w:tcPr>
                  <w:tcW w:w="3804" w:type="dxa"/>
                  <w:vAlign w:val="center"/>
                </w:tcPr>
                <w:p>
                  <w:pPr>
                    <w:pStyle w:val="71"/>
                    <w:rPr>
                      <w:highlight w:val="none"/>
                    </w:rPr>
                  </w:pPr>
                  <w:r>
                    <w:rPr>
                      <w:highlight w:val="none"/>
                    </w:rPr>
                    <w:t>本项目采用R410A环保制冷剂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7" w:type="dxa"/>
                  <w:vAlign w:val="center"/>
                </w:tcPr>
                <w:p>
                  <w:pPr>
                    <w:pStyle w:val="71"/>
                    <w:rPr>
                      <w:highlight w:val="none"/>
                    </w:rPr>
                  </w:pPr>
                  <w:r>
                    <w:rPr>
                      <w:highlight w:val="none"/>
                    </w:rPr>
                    <w:t>3、库址周围应有良好的卫生条件，且必须避开和远离有害气体、烟雾、粉尘及其它有污染源的地段</w:t>
                  </w:r>
                </w:p>
              </w:tc>
              <w:tc>
                <w:tcPr>
                  <w:tcW w:w="3804" w:type="dxa"/>
                  <w:vAlign w:val="center"/>
                </w:tcPr>
                <w:p>
                  <w:pPr>
                    <w:pStyle w:val="71"/>
                    <w:rPr>
                      <w:highlight w:val="none"/>
                    </w:rPr>
                  </w:pPr>
                  <w:r>
                    <w:rPr>
                      <w:highlight w:val="none"/>
                    </w:rPr>
                    <w:t>项目位于农村地区，区域环境本底值较好，项目</w:t>
                  </w:r>
                  <w:r>
                    <w:rPr>
                      <w:rFonts w:hint="eastAsia"/>
                      <w:highlight w:val="none"/>
                    </w:rPr>
                    <w:t>四周均为开源村平房居民房</w:t>
                  </w:r>
                  <w:r>
                    <w:rPr>
                      <w:highlight w:val="none"/>
                    </w:rPr>
                    <w:t>，对本项目影响较小。周围以居住区、农田为主，卫生条件良好。</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7" w:type="dxa"/>
                  <w:vAlign w:val="center"/>
                </w:tcPr>
                <w:p>
                  <w:pPr>
                    <w:pStyle w:val="71"/>
                    <w:rPr>
                      <w:highlight w:val="none"/>
                    </w:rPr>
                  </w:pPr>
                  <w:r>
                    <w:rPr>
                      <w:highlight w:val="none"/>
                    </w:rPr>
                    <w:t>4、应结合物流流向和近远期发展因素等，选择在交通运输方便的区域</w:t>
                  </w:r>
                </w:p>
              </w:tc>
              <w:tc>
                <w:tcPr>
                  <w:tcW w:w="3804" w:type="dxa"/>
                  <w:vAlign w:val="center"/>
                </w:tcPr>
                <w:p>
                  <w:pPr>
                    <w:pStyle w:val="71"/>
                    <w:rPr>
                      <w:highlight w:val="none"/>
                    </w:rPr>
                  </w:pPr>
                  <w:r>
                    <w:rPr>
                      <w:highlight w:val="none"/>
                    </w:rPr>
                    <w:t>项目</w:t>
                  </w:r>
                  <w:r>
                    <w:rPr>
                      <w:rFonts w:hint="eastAsia"/>
                      <w:highlight w:val="none"/>
                    </w:rPr>
                    <w:t>位于太保镇开源村内</w:t>
                  </w:r>
                  <w:r>
                    <w:rPr>
                      <w:highlight w:val="none"/>
                    </w:rPr>
                    <w:t>，选址交通运输较便利。</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7" w:type="dxa"/>
                  <w:vAlign w:val="center"/>
                </w:tcPr>
                <w:p>
                  <w:pPr>
                    <w:pStyle w:val="71"/>
                    <w:rPr>
                      <w:highlight w:val="none"/>
                    </w:rPr>
                  </w:pPr>
                  <w:r>
                    <w:rPr>
                      <w:highlight w:val="none"/>
                    </w:rPr>
                    <w:t>5、宜具备可靠的水源和电源以及排水条件</w:t>
                  </w:r>
                </w:p>
              </w:tc>
              <w:tc>
                <w:tcPr>
                  <w:tcW w:w="3804" w:type="dxa"/>
                  <w:vAlign w:val="center"/>
                </w:tcPr>
                <w:p>
                  <w:pPr>
                    <w:pStyle w:val="71"/>
                    <w:rPr>
                      <w:highlight w:val="none"/>
                    </w:rPr>
                  </w:pPr>
                  <w:r>
                    <w:rPr>
                      <w:highlight w:val="none"/>
                    </w:rPr>
                    <w:t>项目水源由</w:t>
                  </w:r>
                  <w:r>
                    <w:rPr>
                      <w:rFonts w:hint="eastAsia"/>
                      <w:highlight w:val="none"/>
                    </w:rPr>
                    <w:t>水井</w:t>
                  </w:r>
                  <w:r>
                    <w:rPr>
                      <w:highlight w:val="none"/>
                    </w:rPr>
                    <w:t>提供；用电由当地电业局供给，项目所在位置目前无城市污水管网，</w:t>
                  </w:r>
                  <w:r>
                    <w:rPr>
                      <w:rFonts w:hint="eastAsia"/>
                      <w:highlight w:val="none"/>
                    </w:rPr>
                    <w:t>由罐车自行拉运排入</w:t>
                  </w:r>
                  <w:r>
                    <w:rPr>
                      <w:rFonts w:hint="eastAsia"/>
                      <w:highlight w:val="none"/>
                      <w:lang w:eastAsia="zh-CN"/>
                    </w:rPr>
                    <w:t>双鸭山市四洁水处理有限责任公司（四洁污水处理厂）</w:t>
                  </w:r>
                  <w:r>
                    <w:rPr>
                      <w:highlight w:val="none"/>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267" w:type="dxa"/>
                  <w:vAlign w:val="center"/>
                </w:tcPr>
                <w:p>
                  <w:pPr>
                    <w:pStyle w:val="71"/>
                    <w:rPr>
                      <w:highlight w:val="none"/>
                    </w:rPr>
                  </w:pPr>
                  <w:r>
                    <w:rPr>
                      <w:highlight w:val="none"/>
                    </w:rPr>
                    <w:t>6、应避开洪水和泥石流易发地段以及其他地质条件不良地段</w:t>
                  </w:r>
                </w:p>
              </w:tc>
              <w:tc>
                <w:tcPr>
                  <w:tcW w:w="3804" w:type="dxa"/>
                  <w:vAlign w:val="center"/>
                </w:tcPr>
                <w:p>
                  <w:pPr>
                    <w:pStyle w:val="71"/>
                    <w:rPr>
                      <w:highlight w:val="none"/>
                    </w:rPr>
                  </w:pPr>
                  <w:r>
                    <w:rPr>
                      <w:highlight w:val="none"/>
                    </w:rPr>
                    <w:t>项目位于平原地区，周围无山地、河流，无不良地质地段。</w:t>
                  </w:r>
                </w:p>
              </w:tc>
            </w:tr>
          </w:tbl>
          <w:p>
            <w:pPr>
              <w:snapToGrid w:val="0"/>
              <w:spacing w:line="360" w:lineRule="auto"/>
              <w:ind w:firstLine="480" w:firstLineChars="200"/>
              <w:textAlignment w:val="baseline"/>
              <w:rPr>
                <w:sz w:val="24"/>
                <w:highlight w:val="none"/>
              </w:rPr>
            </w:pPr>
            <w:r>
              <w:rPr>
                <w:sz w:val="24"/>
                <w:highlight w:val="none"/>
              </w:rPr>
              <w:t>综上所述，项目选址符合《冷库设计规范》（GB/T50072-2021）中选址要求。</w:t>
            </w:r>
          </w:p>
          <w:p>
            <w:pPr>
              <w:pStyle w:val="72"/>
              <w:spacing w:line="360" w:lineRule="auto"/>
              <w:ind w:firstLine="0"/>
              <w:rPr>
                <w:b/>
                <w:highlight w:val="none"/>
              </w:rPr>
            </w:pPr>
            <w:r>
              <w:rPr>
                <w:rFonts w:hint="eastAsia"/>
                <w:b/>
                <w:highlight w:val="none"/>
              </w:rPr>
              <w:t>6</w:t>
            </w:r>
            <w:r>
              <w:rPr>
                <w:b/>
                <w:highlight w:val="none"/>
              </w:rPr>
              <w:t>、选址合理性分析</w:t>
            </w:r>
          </w:p>
          <w:p>
            <w:pPr>
              <w:spacing w:line="360" w:lineRule="auto"/>
              <w:ind w:firstLine="480" w:firstLineChars="200"/>
              <w:rPr>
                <w:sz w:val="28"/>
                <w:szCs w:val="28"/>
                <w:highlight w:val="none"/>
              </w:rPr>
            </w:pPr>
            <w:r>
              <w:rPr>
                <w:sz w:val="24"/>
                <w:highlight w:val="none"/>
              </w:rPr>
              <w:t>（1）选址符合性</w:t>
            </w:r>
          </w:p>
          <w:p>
            <w:pPr>
              <w:spacing w:line="360" w:lineRule="auto"/>
              <w:ind w:firstLine="480" w:firstLineChars="200"/>
              <w:rPr>
                <w:sz w:val="24"/>
                <w:highlight w:val="none"/>
              </w:rPr>
            </w:pPr>
            <w:r>
              <w:rPr>
                <w:sz w:val="24"/>
                <w:highlight w:val="none"/>
              </w:rPr>
              <w:t>项目位于</w:t>
            </w:r>
            <w:r>
              <w:rPr>
                <w:rFonts w:hint="eastAsia"/>
                <w:sz w:val="24"/>
                <w:highlight w:val="none"/>
              </w:rPr>
              <w:t>黑龙江省双鸭山市四方台区太保镇开源村</w:t>
            </w:r>
            <w:r>
              <w:rPr>
                <w:sz w:val="24"/>
                <w:highlight w:val="none"/>
              </w:rPr>
              <w:t>，用地性质为</w:t>
            </w:r>
            <w:r>
              <w:rPr>
                <w:rFonts w:hint="eastAsia"/>
                <w:sz w:val="24"/>
                <w:highlight w:val="none"/>
              </w:rPr>
              <w:t>建设</w:t>
            </w:r>
            <w:r>
              <w:rPr>
                <w:sz w:val="24"/>
                <w:highlight w:val="none"/>
              </w:rPr>
              <w:t>用地，项目选址不属于生活饮用水源地和地下水补给区、风景名胜区、温泉疗养区、水产养殖区、基本农田保护区、自然保护区等需要特殊保护区域。</w:t>
            </w:r>
          </w:p>
          <w:p>
            <w:pPr>
              <w:spacing w:line="360" w:lineRule="auto"/>
              <w:ind w:firstLine="480" w:firstLineChars="200"/>
              <w:rPr>
                <w:rFonts w:hint="default" w:ascii="Times New Roman" w:hAnsi="Times New Roman" w:eastAsia="宋体" w:cs="Times New Roman"/>
                <w:sz w:val="24"/>
                <w:highlight w:val="none"/>
                <w:lang w:val="en-US" w:eastAsia="zh-CN"/>
              </w:rPr>
            </w:pPr>
            <w:r>
              <w:rPr>
                <w:rFonts w:ascii="Times New Roman" w:hAnsi="Times New Roman" w:eastAsia="宋体" w:cs="Times New Roman"/>
                <w:sz w:val="24"/>
                <w:highlight w:val="none"/>
              </w:rPr>
              <w:t>（2）</w:t>
            </w:r>
            <w:r>
              <w:rPr>
                <w:rFonts w:hint="eastAsia" w:ascii="Times New Roman" w:hAnsi="Times New Roman" w:eastAsia="宋体" w:cs="Times New Roman"/>
                <w:sz w:val="24"/>
                <w:highlight w:val="none"/>
                <w:lang w:val="en-US" w:eastAsia="zh-CN"/>
              </w:rPr>
              <w:t>平面布置合理性</w:t>
            </w:r>
          </w:p>
          <w:p>
            <w:pPr>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t>本项目周边其他外环境现状为：项目东侧</w:t>
            </w:r>
            <w:r>
              <w:rPr>
                <w:rFonts w:hint="eastAsia" w:ascii="Times New Roman" w:hAnsi="Times New Roman" w:eastAsia="宋体" w:cs="Times New Roman"/>
                <w:sz w:val="24"/>
                <w:highlight w:val="none"/>
              </w:rPr>
              <w:t>5m处</w:t>
            </w:r>
            <w:r>
              <w:rPr>
                <w:rFonts w:ascii="Times New Roman" w:hAnsi="Times New Roman" w:eastAsia="宋体" w:cs="Times New Roman"/>
                <w:sz w:val="24"/>
                <w:highlight w:val="none"/>
              </w:rPr>
              <w:t>为</w:t>
            </w:r>
            <w:r>
              <w:rPr>
                <w:rFonts w:hint="eastAsia" w:ascii="Times New Roman" w:hAnsi="Times New Roman" w:eastAsia="宋体" w:cs="Times New Roman"/>
                <w:sz w:val="24"/>
                <w:highlight w:val="none"/>
              </w:rPr>
              <w:t>开源村平房居民</w:t>
            </w:r>
            <w:r>
              <w:rPr>
                <w:rFonts w:ascii="Times New Roman" w:hAnsi="Times New Roman" w:eastAsia="宋体" w:cs="Times New Roman"/>
                <w:sz w:val="24"/>
                <w:highlight w:val="none"/>
              </w:rPr>
              <w:t>，</w:t>
            </w:r>
            <w:r>
              <w:rPr>
                <w:rFonts w:hint="eastAsia" w:ascii="Times New Roman" w:hAnsi="Times New Roman" w:eastAsia="宋体" w:cs="Times New Roman"/>
                <w:sz w:val="24"/>
                <w:highlight w:val="none"/>
              </w:rPr>
              <w:t>北侧15m处为开源村平房居民</w:t>
            </w:r>
            <w:r>
              <w:rPr>
                <w:rFonts w:ascii="Times New Roman" w:hAnsi="Times New Roman" w:eastAsia="宋体" w:cs="Times New Roman"/>
                <w:sz w:val="24"/>
                <w:highlight w:val="none"/>
              </w:rPr>
              <w:t>，南侧</w:t>
            </w:r>
            <w:r>
              <w:rPr>
                <w:rFonts w:hint="eastAsia" w:ascii="Times New Roman" w:hAnsi="Times New Roman" w:eastAsia="宋体" w:cs="Times New Roman"/>
                <w:sz w:val="24"/>
                <w:highlight w:val="none"/>
              </w:rPr>
              <w:t>10m处</w:t>
            </w:r>
            <w:r>
              <w:rPr>
                <w:rFonts w:ascii="Times New Roman" w:hAnsi="Times New Roman" w:eastAsia="宋体" w:cs="Times New Roman"/>
                <w:sz w:val="24"/>
                <w:highlight w:val="none"/>
              </w:rPr>
              <w:t>为</w:t>
            </w:r>
            <w:r>
              <w:rPr>
                <w:rFonts w:hint="eastAsia" w:ascii="Times New Roman" w:hAnsi="Times New Roman" w:eastAsia="宋体" w:cs="Times New Roman"/>
                <w:sz w:val="24"/>
                <w:highlight w:val="none"/>
              </w:rPr>
              <w:t>开源村平房居民</w:t>
            </w:r>
            <w:r>
              <w:rPr>
                <w:rFonts w:ascii="Times New Roman" w:hAnsi="Times New Roman" w:eastAsia="宋体" w:cs="Times New Roman"/>
                <w:sz w:val="24"/>
                <w:highlight w:val="none"/>
              </w:rPr>
              <w:t>，</w:t>
            </w:r>
            <w:r>
              <w:rPr>
                <w:rFonts w:hint="eastAsia" w:ascii="Times New Roman" w:hAnsi="Times New Roman" w:eastAsia="宋体" w:cs="Times New Roman"/>
                <w:sz w:val="24"/>
                <w:highlight w:val="none"/>
              </w:rPr>
              <w:t>西侧为5m处</w:t>
            </w:r>
            <w:r>
              <w:rPr>
                <w:rFonts w:ascii="Times New Roman" w:hAnsi="Times New Roman" w:eastAsia="宋体" w:cs="Times New Roman"/>
                <w:sz w:val="24"/>
                <w:highlight w:val="none"/>
              </w:rPr>
              <w:t>为</w:t>
            </w:r>
            <w:r>
              <w:rPr>
                <w:rFonts w:hint="eastAsia" w:ascii="Times New Roman" w:hAnsi="Times New Roman" w:eastAsia="宋体" w:cs="Times New Roman"/>
                <w:sz w:val="24"/>
                <w:highlight w:val="none"/>
              </w:rPr>
              <w:t>开源村平房居民</w:t>
            </w:r>
            <w:r>
              <w:rPr>
                <w:rFonts w:ascii="Times New Roman" w:hAnsi="Times New Roman" w:eastAsia="宋体" w:cs="Times New Roman"/>
                <w:sz w:val="24"/>
                <w:highlight w:val="none"/>
              </w:rPr>
              <w:t>。</w:t>
            </w:r>
          </w:p>
          <w:p>
            <w:pPr>
              <w:spacing w:line="360" w:lineRule="auto"/>
              <w:ind w:firstLine="480" w:firstLineChars="200"/>
              <w:rPr>
                <w:rFonts w:hint="default" w:ascii="Times New Roman" w:hAnsi="Times New Roman" w:eastAsia="宋体" w:cs="Times New Roman"/>
                <w:sz w:val="24"/>
                <w:highlight w:val="none"/>
                <w:lang w:val="en-US" w:eastAsia="zh-CN"/>
              </w:rPr>
            </w:pPr>
            <w:r>
              <w:rPr>
                <w:rFonts w:hint="default" w:ascii="Times New Roman" w:hAnsi="Times New Roman" w:eastAsia="宋体" w:cs="Times New Roman"/>
                <w:sz w:val="24"/>
                <w:highlight w:val="none"/>
                <w:lang w:val="en-US" w:eastAsia="zh-CN"/>
              </w:rPr>
              <w:t>厂区内建有锅炉房、</w:t>
            </w:r>
            <w:r>
              <w:rPr>
                <w:rFonts w:hint="eastAsia" w:ascii="Times New Roman" w:hAnsi="Times New Roman" w:eastAsia="宋体" w:cs="Times New Roman"/>
                <w:sz w:val="24"/>
                <w:highlight w:val="none"/>
                <w:lang w:val="en-US" w:eastAsia="zh-CN"/>
              </w:rPr>
              <w:t>原料库</w:t>
            </w:r>
            <w:r>
              <w:rPr>
                <w:rFonts w:hint="default" w:ascii="Times New Roman" w:hAnsi="Times New Roman" w:eastAsia="宋体" w:cs="Times New Roman"/>
                <w:sz w:val="24"/>
                <w:highlight w:val="none"/>
                <w:lang w:val="en-US" w:eastAsia="zh-CN"/>
              </w:rPr>
              <w:t>、</w:t>
            </w:r>
            <w:r>
              <w:rPr>
                <w:rFonts w:hint="eastAsia" w:ascii="Times New Roman" w:hAnsi="Times New Roman" w:eastAsia="宋体" w:cs="Times New Roman"/>
                <w:sz w:val="24"/>
                <w:highlight w:val="none"/>
                <w:lang w:val="en-US" w:eastAsia="zh-CN"/>
              </w:rPr>
              <w:t>冷库库、生产车间，锅炉房</w:t>
            </w:r>
            <w:r>
              <w:rPr>
                <w:rFonts w:hint="default" w:ascii="Times New Roman" w:hAnsi="Times New Roman" w:eastAsia="宋体" w:cs="Times New Roman"/>
                <w:sz w:val="24"/>
                <w:highlight w:val="none"/>
                <w:lang w:val="en-US" w:eastAsia="zh-CN"/>
              </w:rPr>
              <w:t>位于厂区东</w:t>
            </w:r>
            <w:r>
              <w:rPr>
                <w:rFonts w:hint="eastAsia" w:ascii="Times New Roman" w:hAnsi="Times New Roman" w:eastAsia="宋体" w:cs="Times New Roman"/>
                <w:sz w:val="24"/>
                <w:highlight w:val="none"/>
                <w:lang w:val="en-US" w:eastAsia="zh-CN"/>
              </w:rPr>
              <w:t>北</w:t>
            </w:r>
            <w:r>
              <w:rPr>
                <w:rFonts w:hint="default" w:ascii="Times New Roman" w:hAnsi="Times New Roman" w:eastAsia="宋体" w:cs="Times New Roman"/>
                <w:sz w:val="24"/>
                <w:highlight w:val="none"/>
                <w:lang w:val="en-US" w:eastAsia="zh-CN"/>
              </w:rPr>
              <w:t>侧，</w:t>
            </w:r>
            <w:r>
              <w:rPr>
                <w:rFonts w:hint="eastAsia" w:ascii="Times New Roman" w:hAnsi="Times New Roman" w:eastAsia="宋体" w:cs="Times New Roman"/>
                <w:sz w:val="24"/>
                <w:highlight w:val="none"/>
                <w:lang w:val="en-US" w:eastAsia="zh-CN"/>
              </w:rPr>
              <w:t>厂区西南</w:t>
            </w:r>
            <w:r>
              <w:rPr>
                <w:rFonts w:hint="default" w:ascii="Times New Roman" w:hAnsi="Times New Roman" w:eastAsia="宋体" w:cs="Times New Roman"/>
                <w:sz w:val="24"/>
                <w:highlight w:val="none"/>
                <w:lang w:val="en-US" w:eastAsia="zh-CN"/>
              </w:rPr>
              <w:t>侧为</w:t>
            </w:r>
            <w:r>
              <w:rPr>
                <w:rFonts w:hint="eastAsia" w:ascii="Times New Roman" w:hAnsi="Times New Roman" w:eastAsia="宋体" w:cs="Times New Roman"/>
                <w:sz w:val="24"/>
                <w:highlight w:val="none"/>
                <w:lang w:val="en-US" w:eastAsia="zh-CN"/>
              </w:rPr>
              <w:t>原料库</w:t>
            </w:r>
            <w:r>
              <w:rPr>
                <w:rFonts w:hint="default" w:ascii="Times New Roman" w:hAnsi="Times New Roman" w:eastAsia="宋体" w:cs="Times New Roman"/>
                <w:sz w:val="24"/>
                <w:highlight w:val="none"/>
                <w:lang w:val="en-US" w:eastAsia="zh-CN"/>
              </w:rPr>
              <w:t>，</w:t>
            </w:r>
            <w:r>
              <w:rPr>
                <w:rFonts w:hint="eastAsia" w:ascii="Times New Roman" w:hAnsi="Times New Roman" w:eastAsia="宋体" w:cs="Times New Roman"/>
                <w:sz w:val="24"/>
                <w:highlight w:val="none"/>
                <w:lang w:val="en-US" w:eastAsia="zh-CN"/>
              </w:rPr>
              <w:t>厂区西北</w:t>
            </w:r>
            <w:r>
              <w:rPr>
                <w:rFonts w:hint="default" w:ascii="Times New Roman" w:hAnsi="Times New Roman" w:eastAsia="宋体" w:cs="Times New Roman"/>
                <w:sz w:val="24"/>
                <w:highlight w:val="none"/>
                <w:lang w:val="en-US" w:eastAsia="zh-CN"/>
              </w:rPr>
              <w:t>侧为</w:t>
            </w:r>
            <w:r>
              <w:rPr>
                <w:rFonts w:hint="eastAsia" w:ascii="Times New Roman" w:hAnsi="Times New Roman" w:eastAsia="宋体" w:cs="Times New Roman"/>
                <w:sz w:val="24"/>
                <w:highlight w:val="none"/>
                <w:lang w:val="en-US" w:eastAsia="zh-CN"/>
              </w:rPr>
              <w:t>冷库，灰渣库锅炉房内，</w:t>
            </w:r>
            <w:r>
              <w:rPr>
                <w:rFonts w:hint="default" w:ascii="Times New Roman" w:hAnsi="Times New Roman" w:eastAsia="宋体" w:cs="Times New Roman"/>
                <w:sz w:val="24"/>
                <w:highlight w:val="none"/>
                <w:lang w:val="en-US" w:eastAsia="zh-CN"/>
              </w:rPr>
              <w:t>厂区平面布置见附图。</w:t>
            </w:r>
          </w:p>
          <w:p>
            <w:pPr>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fldChar w:fldCharType="begin"/>
            </w:r>
            <w:r>
              <w:rPr>
                <w:rFonts w:ascii="Times New Roman" w:hAnsi="Times New Roman" w:eastAsia="宋体" w:cs="Times New Roman"/>
                <w:sz w:val="24"/>
                <w:highlight w:val="none"/>
              </w:rPr>
              <w:instrText xml:space="preserve"> = 1 \* GB3 </w:instrText>
            </w:r>
            <w:r>
              <w:rPr>
                <w:rFonts w:ascii="Times New Roman" w:hAnsi="Times New Roman" w:eastAsia="宋体" w:cs="Times New Roman"/>
                <w:sz w:val="24"/>
                <w:highlight w:val="none"/>
              </w:rPr>
              <w:fldChar w:fldCharType="separate"/>
            </w:r>
            <w:r>
              <w:rPr>
                <w:rFonts w:hint="eastAsia" w:ascii="Times New Roman" w:hAnsi="Times New Roman" w:eastAsia="宋体" w:cs="Times New Roman"/>
                <w:sz w:val="24"/>
                <w:highlight w:val="none"/>
              </w:rPr>
              <w:t>①</w:t>
            </w:r>
            <w:r>
              <w:rPr>
                <w:rFonts w:ascii="Times New Roman" w:hAnsi="Times New Roman" w:eastAsia="宋体" w:cs="Times New Roman"/>
                <w:sz w:val="24"/>
                <w:highlight w:val="none"/>
              </w:rPr>
              <w:fldChar w:fldCharType="end"/>
            </w:r>
            <w:r>
              <w:rPr>
                <w:rFonts w:ascii="Times New Roman" w:hAnsi="Times New Roman" w:eastAsia="宋体" w:cs="Times New Roman"/>
                <w:sz w:val="24"/>
                <w:highlight w:val="none"/>
              </w:rPr>
              <w:t>项目所在地具有方便的交通运输和水电条件，便于项目的建设。</w:t>
            </w:r>
          </w:p>
          <w:p>
            <w:pPr>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fldChar w:fldCharType="begin"/>
            </w:r>
            <w:r>
              <w:rPr>
                <w:rFonts w:ascii="Times New Roman" w:hAnsi="Times New Roman" w:eastAsia="宋体" w:cs="Times New Roman"/>
                <w:sz w:val="24"/>
                <w:highlight w:val="none"/>
              </w:rPr>
              <w:instrText xml:space="preserve"> = 2 \* GB3 \* MERGEFORMAT </w:instrText>
            </w:r>
            <w:r>
              <w:rPr>
                <w:rFonts w:ascii="Times New Roman" w:hAnsi="Times New Roman" w:eastAsia="宋体" w:cs="Times New Roman"/>
                <w:sz w:val="24"/>
                <w:highlight w:val="none"/>
              </w:rPr>
              <w:fldChar w:fldCharType="separate"/>
            </w:r>
            <w:r>
              <w:rPr>
                <w:rFonts w:hint="eastAsia" w:ascii="Times New Roman" w:hAnsi="Times New Roman" w:eastAsia="宋体" w:cs="Times New Roman"/>
                <w:sz w:val="24"/>
                <w:highlight w:val="none"/>
              </w:rPr>
              <w:t>②</w:t>
            </w:r>
            <w:r>
              <w:rPr>
                <w:rFonts w:ascii="Times New Roman" w:hAnsi="Times New Roman" w:eastAsia="宋体" w:cs="Times New Roman"/>
                <w:sz w:val="24"/>
                <w:highlight w:val="none"/>
              </w:rPr>
              <w:fldChar w:fldCharType="end"/>
            </w:r>
            <w:r>
              <w:rPr>
                <w:rFonts w:ascii="Times New Roman" w:hAnsi="Times New Roman" w:eastAsia="宋体" w:cs="Times New Roman"/>
                <w:sz w:val="24"/>
                <w:highlight w:val="none"/>
              </w:rPr>
              <w:t>建成后对周边环境的影响主要是废气、废水、生活污水，生产废物以及设备产生的噪声，通过采取相应的环保措施后该项目对周边环境影响较小。</w:t>
            </w:r>
          </w:p>
          <w:p>
            <w:pPr>
              <w:spacing w:line="360" w:lineRule="auto"/>
              <w:ind w:firstLine="480" w:firstLineChars="200"/>
              <w:rPr>
                <w:rFonts w:ascii="Times New Roman" w:hAnsi="Times New Roman" w:eastAsia="宋体" w:cs="Times New Roman"/>
                <w:sz w:val="24"/>
                <w:highlight w:val="none"/>
              </w:rPr>
            </w:pPr>
            <w:r>
              <w:rPr>
                <w:rFonts w:ascii="Times New Roman" w:hAnsi="Times New Roman" w:eastAsia="宋体" w:cs="Times New Roman"/>
                <w:sz w:val="24"/>
                <w:highlight w:val="none"/>
              </w:rPr>
              <w:fldChar w:fldCharType="begin"/>
            </w:r>
            <w:r>
              <w:rPr>
                <w:rFonts w:ascii="Times New Roman" w:hAnsi="Times New Roman" w:eastAsia="宋体" w:cs="Times New Roman"/>
                <w:sz w:val="24"/>
                <w:highlight w:val="none"/>
              </w:rPr>
              <w:instrText xml:space="preserve"> = 3 \* GB3 \* MERGEFORMAT </w:instrText>
            </w:r>
            <w:r>
              <w:rPr>
                <w:rFonts w:ascii="Times New Roman" w:hAnsi="Times New Roman" w:eastAsia="宋体" w:cs="Times New Roman"/>
                <w:sz w:val="24"/>
                <w:highlight w:val="none"/>
              </w:rPr>
              <w:fldChar w:fldCharType="separate"/>
            </w:r>
            <w:r>
              <w:rPr>
                <w:rFonts w:hint="eastAsia" w:ascii="Times New Roman" w:hAnsi="Times New Roman" w:eastAsia="宋体" w:cs="Times New Roman"/>
                <w:sz w:val="24"/>
                <w:highlight w:val="none"/>
              </w:rPr>
              <w:t>③</w:t>
            </w:r>
            <w:r>
              <w:rPr>
                <w:rFonts w:ascii="Times New Roman" w:hAnsi="Times New Roman" w:eastAsia="宋体" w:cs="Times New Roman"/>
                <w:sz w:val="24"/>
                <w:highlight w:val="none"/>
              </w:rPr>
              <w:fldChar w:fldCharType="end"/>
            </w:r>
            <w:r>
              <w:rPr>
                <w:rFonts w:ascii="Times New Roman" w:hAnsi="Times New Roman" w:eastAsia="宋体" w:cs="Times New Roman"/>
                <w:sz w:val="24"/>
                <w:highlight w:val="none"/>
              </w:rPr>
              <w:t>本项目评价范围内无自然保护区、风景名胜区、饮用水水源保护区等环境敏感目标。</w:t>
            </w:r>
          </w:p>
          <w:p>
            <w:pPr>
              <w:spacing w:line="360" w:lineRule="auto"/>
              <w:ind w:firstLine="480"/>
              <w:rPr>
                <w:sz w:val="24"/>
                <w:highlight w:val="none"/>
              </w:rPr>
            </w:pPr>
            <w:r>
              <w:rPr>
                <w:sz w:val="24"/>
                <w:highlight w:val="none"/>
              </w:rPr>
              <w:t>（3）环境功能一致性分析</w:t>
            </w:r>
          </w:p>
          <w:p>
            <w:pPr>
              <w:spacing w:line="360" w:lineRule="auto"/>
              <w:ind w:firstLine="480"/>
              <w:rPr>
                <w:sz w:val="24"/>
                <w:highlight w:val="none"/>
              </w:rPr>
            </w:pPr>
            <w:r>
              <w:rPr>
                <w:sz w:val="24"/>
                <w:highlight w:val="none"/>
              </w:rPr>
              <w:t>根据工程分析确定的污染物源强，通过大气环境、水环境、声环境影响分析，说明项目建成后污染物达标排放对区域环境空气、水环境、声环境影响较小。项目建设不会使得环境功能发生改变。</w:t>
            </w:r>
          </w:p>
          <w:p>
            <w:pPr>
              <w:spacing w:line="360" w:lineRule="auto"/>
              <w:ind w:firstLine="480"/>
              <w:rPr>
                <w:sz w:val="24"/>
                <w:highlight w:val="none"/>
              </w:rPr>
            </w:pPr>
            <w:r>
              <w:rPr>
                <w:sz w:val="24"/>
                <w:highlight w:val="none"/>
              </w:rPr>
              <w:t>在严格落实本报告表提出的污染防治措施，保证各项污染物稳定达标排放前提下，项目选址可行。</w:t>
            </w:r>
          </w:p>
          <w:p>
            <w:pPr>
              <w:autoSpaceDE w:val="0"/>
              <w:autoSpaceDN w:val="0"/>
              <w:adjustRightInd w:val="0"/>
              <w:snapToGrid w:val="0"/>
              <w:rPr>
                <w:kern w:val="0"/>
                <w:szCs w:val="21"/>
                <w:highlight w:val="none"/>
              </w:rPr>
            </w:pPr>
          </w:p>
        </w:tc>
      </w:tr>
    </w:tbl>
    <w:p>
      <w:pPr>
        <w:spacing w:line="360" w:lineRule="auto"/>
        <w:outlineLvl w:val="9"/>
        <w:rPr>
          <w:rFonts w:eastAsia="黑体"/>
          <w:sz w:val="30"/>
          <w:highlight w:val="none"/>
        </w:rPr>
        <w:sectPr>
          <w:footerReference r:id="rId6" w:type="default"/>
          <w:pgSz w:w="11906" w:h="16838"/>
          <w:pgMar w:top="1247" w:right="1361" w:bottom="1247" w:left="1361" w:header="851" w:footer="1077" w:gutter="0"/>
          <w:pgNumType w:fmt="decimal" w:start="1"/>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jc w:val="center"/>
        <w:textAlignment w:val="auto"/>
        <w:outlineLvl w:val="0"/>
        <w:rPr>
          <w:rFonts w:ascii="Times New Roman" w:hAnsi="Times New Roman" w:eastAsia="黑体"/>
          <w:snapToGrid w:val="0"/>
          <w:sz w:val="30"/>
          <w:szCs w:val="30"/>
          <w:highlight w:val="none"/>
        </w:rPr>
      </w:pPr>
      <w:bookmarkStart w:id="35" w:name="_Toc13682"/>
      <w:bookmarkStart w:id="36" w:name="_Toc5520"/>
      <w:r>
        <w:rPr>
          <w:rFonts w:ascii="Times New Roman" w:hAnsi="Times New Roman" w:eastAsia="黑体"/>
          <w:snapToGrid w:val="0"/>
          <w:sz w:val="30"/>
          <w:szCs w:val="30"/>
          <w:highlight w:val="none"/>
        </w:rPr>
        <w:t>二、建设项目工程分析</w:t>
      </w:r>
      <w:bookmarkEnd w:id="35"/>
      <w:bookmarkEnd w:id="36"/>
    </w:p>
    <w:tbl>
      <w:tblPr>
        <w:tblStyle w:val="29"/>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85" w:type="dxa"/>
          <w:bottom w:w="0" w:type="dxa"/>
          <w:right w:w="85" w:type="dxa"/>
        </w:tblCellMar>
      </w:tblPr>
      <w:tblGrid>
        <w:gridCol w:w="410"/>
        <w:gridCol w:w="95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2904" w:hRule="atLeast"/>
          <w:jc w:val="center"/>
        </w:trPr>
        <w:tc>
          <w:tcPr>
            <w:tcW w:w="731" w:type="dxa"/>
            <w:vAlign w:val="center"/>
          </w:tcPr>
          <w:p>
            <w:pPr>
              <w:pStyle w:val="24"/>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建设内容</w:t>
            </w:r>
          </w:p>
        </w:tc>
        <w:tc>
          <w:tcPr>
            <w:tcW w:w="8907" w:type="dxa"/>
          </w:tcPr>
          <w:p>
            <w:pPr>
              <w:pStyle w:val="59"/>
              <w:numPr>
                <w:ilvl w:val="0"/>
                <w:numId w:val="3"/>
              </w:numPr>
              <w:spacing w:before="0" w:beforeLines="0" w:after="0" w:afterLines="0" w:line="360" w:lineRule="auto"/>
              <w:ind w:firstLine="0" w:firstLineChars="0"/>
              <w:textAlignment w:val="baseline"/>
              <w:rPr>
                <w:b/>
                <w:bCs/>
                <w:color w:val="auto"/>
                <w:highlight w:val="none"/>
              </w:rPr>
            </w:pPr>
            <w:r>
              <w:rPr>
                <w:rFonts w:hint="eastAsia"/>
                <w:b/>
                <w:bCs/>
                <w:color w:val="auto"/>
                <w:highlight w:val="none"/>
              </w:rPr>
              <w:t>项目由来</w:t>
            </w:r>
          </w:p>
          <w:p>
            <w:pPr>
              <w:pStyle w:val="59"/>
              <w:spacing w:before="0" w:beforeLines="0" w:after="0" w:afterLines="0" w:line="360" w:lineRule="auto"/>
              <w:ind w:firstLine="480"/>
              <w:textAlignment w:val="baseline"/>
              <w:rPr>
                <w:b/>
                <w:bCs/>
                <w:color w:val="auto"/>
                <w:highlight w:val="none"/>
              </w:rPr>
            </w:pPr>
            <w:r>
              <w:rPr>
                <w:rFonts w:hint="eastAsia"/>
                <w:bCs/>
                <w:color w:val="auto"/>
                <w:highlight w:val="none"/>
              </w:rPr>
              <w:t>太保镇开源村宝宇种植合作社黏玉米生产加工项目</w:t>
            </w:r>
            <w:r>
              <w:rPr>
                <w:rFonts w:hint="eastAsia"/>
                <w:highlight w:val="none"/>
              </w:rPr>
              <w:t>环评</w:t>
            </w:r>
            <w:r>
              <w:rPr>
                <w:rFonts w:hint="eastAsia"/>
                <w:bCs/>
                <w:color w:val="auto"/>
                <w:highlight w:val="none"/>
              </w:rPr>
              <w:t>于2023年2月9日取得双鸭山市生态环境局《关于太保镇开源村宝宇种植合作社黏玉米生产加工项目环境影响报告表的批复》（双环审[2023]4号）</w:t>
            </w:r>
            <w:r>
              <w:rPr>
                <w:rFonts w:hint="eastAsia"/>
                <w:highlight w:val="none"/>
              </w:rPr>
              <w:t>，取得批复后项目未生产，2023年6月因订单需求量增大，</w:t>
            </w:r>
            <w:r>
              <w:rPr>
                <w:rFonts w:hint="eastAsia"/>
                <w:bCs/>
                <w:color w:val="auto"/>
                <w:highlight w:val="none"/>
              </w:rPr>
              <w:t>项目建设过程中因生产规模发生变动，对照</w:t>
            </w:r>
            <w:r>
              <w:rPr>
                <w:highlight w:val="none"/>
              </w:rPr>
              <w:t>《污染影响类建设项目重大变动清单(试行)》(环办环评函[2020]688号</w:t>
            </w:r>
            <w:r>
              <w:rPr>
                <w:rFonts w:hint="eastAsia"/>
                <w:highlight w:val="none"/>
              </w:rPr>
              <w:t>）文件“规模：2.生产、处置或储存能力增大30%及以上的。”，本项目生产规模从</w:t>
            </w:r>
            <w:r>
              <w:rPr>
                <w:rFonts w:hint="eastAsia"/>
                <w:color w:val="auto"/>
                <w:highlight w:val="none"/>
              </w:rPr>
              <w:t>年产鲜食玉米700t增加到年产鲜食玉米1000t，同时配套生物质锅炉从3t/h扩建到4t/h，综上，本项目属于</w:t>
            </w:r>
            <w:r>
              <w:rPr>
                <w:highlight w:val="none"/>
              </w:rPr>
              <w:t>污染影响类建设项目重大变动</w:t>
            </w:r>
            <w:r>
              <w:rPr>
                <w:rFonts w:hint="eastAsia"/>
                <w:highlight w:val="none"/>
              </w:rPr>
              <w:t>，需重新报批环境影响评价文件。</w:t>
            </w:r>
          </w:p>
          <w:p>
            <w:pPr>
              <w:pStyle w:val="59"/>
              <w:spacing w:before="0" w:beforeLines="0" w:after="0" w:afterLines="0" w:line="360" w:lineRule="auto"/>
              <w:ind w:firstLine="0" w:firstLineChars="0"/>
              <w:textAlignment w:val="baseline"/>
              <w:rPr>
                <w:b/>
                <w:bCs/>
                <w:color w:val="auto"/>
                <w:highlight w:val="none"/>
              </w:rPr>
            </w:pPr>
            <w:r>
              <w:rPr>
                <w:rFonts w:hint="eastAsia"/>
                <w:b/>
                <w:bCs/>
                <w:color w:val="auto"/>
                <w:highlight w:val="none"/>
              </w:rPr>
              <w:t>2、</w:t>
            </w:r>
            <w:r>
              <w:rPr>
                <w:b/>
                <w:bCs/>
                <w:color w:val="auto"/>
                <w:highlight w:val="none"/>
              </w:rPr>
              <w:t>工程组成</w:t>
            </w:r>
          </w:p>
          <w:p>
            <w:pPr>
              <w:pStyle w:val="59"/>
              <w:spacing w:before="0" w:beforeLines="0" w:after="0" w:afterLines="0" w:line="360" w:lineRule="auto"/>
              <w:ind w:firstLine="480"/>
              <w:textAlignment w:val="baseline"/>
              <w:rPr>
                <w:bCs/>
                <w:color w:val="auto"/>
                <w:highlight w:val="none"/>
              </w:rPr>
            </w:pPr>
            <w:r>
              <w:rPr>
                <w:rFonts w:hint="eastAsia"/>
                <w:bCs/>
                <w:color w:val="auto"/>
                <w:highlight w:val="none"/>
              </w:rPr>
              <w:t>项目名称：太保镇开源村宝宇种植合作社黏玉米生产加工项目</w:t>
            </w:r>
          </w:p>
          <w:p>
            <w:pPr>
              <w:pStyle w:val="59"/>
              <w:spacing w:before="0" w:beforeLines="0" w:after="0" w:afterLines="0" w:line="360" w:lineRule="auto"/>
              <w:ind w:firstLine="480"/>
              <w:textAlignment w:val="baseline"/>
              <w:rPr>
                <w:bCs/>
                <w:color w:val="auto"/>
                <w:highlight w:val="none"/>
              </w:rPr>
            </w:pPr>
            <w:r>
              <w:rPr>
                <w:rFonts w:hint="eastAsia"/>
                <w:bCs/>
                <w:color w:val="auto"/>
                <w:highlight w:val="none"/>
              </w:rPr>
              <w:t>建设地点：</w:t>
            </w:r>
            <w:r>
              <w:rPr>
                <w:rFonts w:hint="eastAsia"/>
                <w:color w:val="auto"/>
                <w:highlight w:val="none"/>
              </w:rPr>
              <w:t>双鸭山市四方台区太保镇开源村</w:t>
            </w:r>
          </w:p>
          <w:p>
            <w:pPr>
              <w:spacing w:line="360" w:lineRule="auto"/>
              <w:ind w:firstLine="480" w:firstLineChars="200"/>
              <w:rPr>
                <w:sz w:val="24"/>
                <w:highlight w:val="none"/>
              </w:rPr>
            </w:pPr>
            <w:r>
              <w:rPr>
                <w:sz w:val="24"/>
                <w:highlight w:val="none"/>
              </w:rPr>
              <w:t>投资规模：</w:t>
            </w:r>
            <w:r>
              <w:rPr>
                <w:rFonts w:hint="eastAsia"/>
                <w:sz w:val="24"/>
                <w:highlight w:val="none"/>
              </w:rPr>
              <w:t>800</w:t>
            </w:r>
            <w:r>
              <w:rPr>
                <w:sz w:val="24"/>
                <w:highlight w:val="none"/>
              </w:rPr>
              <w:t>万元</w:t>
            </w:r>
          </w:p>
          <w:p>
            <w:pPr>
              <w:pStyle w:val="59"/>
              <w:spacing w:before="0" w:beforeLines="0" w:after="0" w:afterLines="0" w:line="360" w:lineRule="auto"/>
              <w:ind w:firstLine="480"/>
              <w:textAlignment w:val="baseline"/>
              <w:rPr>
                <w:b/>
                <w:bCs/>
                <w:color w:val="auto"/>
                <w:highlight w:val="none"/>
              </w:rPr>
            </w:pPr>
            <w:r>
              <w:rPr>
                <w:bCs/>
                <w:color w:val="auto"/>
                <w:highlight w:val="none"/>
              </w:rPr>
              <w:t>本项目占地面积</w:t>
            </w:r>
            <w:r>
              <w:rPr>
                <w:rFonts w:hint="eastAsia"/>
                <w:color w:val="auto"/>
                <w:highlight w:val="none"/>
              </w:rPr>
              <w:t>4670</w:t>
            </w:r>
            <w:r>
              <w:rPr>
                <w:bCs/>
                <w:color w:val="auto"/>
                <w:highlight w:val="none"/>
              </w:rPr>
              <w:t>m</w:t>
            </w:r>
            <w:r>
              <w:rPr>
                <w:bCs/>
                <w:color w:val="auto"/>
                <w:highlight w:val="none"/>
                <w:vertAlign w:val="superscript"/>
              </w:rPr>
              <w:t>2</w:t>
            </w:r>
            <w:r>
              <w:rPr>
                <w:bCs/>
                <w:color w:val="auto"/>
                <w:highlight w:val="none"/>
              </w:rPr>
              <w:t>，总建筑面积</w:t>
            </w:r>
            <w:r>
              <w:rPr>
                <w:rFonts w:hint="eastAsia"/>
                <w:bCs/>
                <w:color w:val="auto"/>
                <w:highlight w:val="none"/>
                <w:lang w:val="en-US" w:eastAsia="zh-CN"/>
              </w:rPr>
              <w:t>3440</w:t>
            </w:r>
            <w:r>
              <w:rPr>
                <w:bCs/>
                <w:color w:val="auto"/>
                <w:highlight w:val="none"/>
              </w:rPr>
              <w:t>m</w:t>
            </w:r>
            <w:r>
              <w:rPr>
                <w:bCs/>
                <w:color w:val="auto"/>
                <w:highlight w:val="none"/>
                <w:vertAlign w:val="superscript"/>
              </w:rPr>
              <w:t>2</w:t>
            </w:r>
            <w:r>
              <w:rPr>
                <w:bCs/>
                <w:color w:val="auto"/>
                <w:highlight w:val="none"/>
              </w:rPr>
              <w:t>，</w:t>
            </w:r>
            <w:r>
              <w:rPr>
                <w:rFonts w:hint="eastAsia"/>
                <w:color w:val="auto"/>
                <w:highlight w:val="none"/>
              </w:rPr>
              <w:t>包括生产车间、</w:t>
            </w:r>
            <w:r>
              <w:rPr>
                <w:rFonts w:hint="eastAsia"/>
                <w:color w:val="auto"/>
                <w:highlight w:val="none"/>
                <w:lang w:val="en-US" w:eastAsia="zh-CN"/>
              </w:rPr>
              <w:t>原料库、</w:t>
            </w:r>
            <w:r>
              <w:rPr>
                <w:rFonts w:hint="eastAsia"/>
                <w:color w:val="auto"/>
                <w:highlight w:val="none"/>
              </w:rPr>
              <w:t>冷库、办公室及锅炉房</w:t>
            </w:r>
            <w:r>
              <w:rPr>
                <w:color w:val="auto"/>
                <w:highlight w:val="none"/>
              </w:rPr>
              <w:t>等</w:t>
            </w:r>
            <w:r>
              <w:rPr>
                <w:color w:val="auto"/>
                <w:szCs w:val="21"/>
                <w:highlight w:val="none"/>
              </w:rPr>
              <w:t>设施</w:t>
            </w:r>
            <w:r>
              <w:rPr>
                <w:color w:val="auto"/>
                <w:highlight w:val="none"/>
              </w:rPr>
              <w:t>。</w:t>
            </w:r>
            <w:r>
              <w:rPr>
                <w:rFonts w:hint="eastAsia"/>
                <w:color w:val="auto"/>
                <w:highlight w:val="none"/>
              </w:rPr>
              <w:t>年产鲜食玉米1000t</w:t>
            </w:r>
            <w:r>
              <w:rPr>
                <w:bCs/>
                <w:color w:val="auto"/>
                <w:highlight w:val="none"/>
              </w:rPr>
              <w:t>。</w:t>
            </w:r>
          </w:p>
          <w:p>
            <w:pPr>
              <w:pStyle w:val="59"/>
              <w:spacing w:before="0" w:beforeLines="0" w:after="0" w:afterLines="0" w:line="360" w:lineRule="auto"/>
              <w:ind w:firstLine="480"/>
              <w:textAlignment w:val="baseline"/>
              <w:rPr>
                <w:color w:val="auto"/>
                <w:highlight w:val="none"/>
              </w:rPr>
            </w:pPr>
            <w:r>
              <w:rPr>
                <w:color w:val="auto"/>
                <w:highlight w:val="none"/>
              </w:rPr>
              <w:t>工程组成一览表见表2-1。</w:t>
            </w:r>
          </w:p>
          <w:p>
            <w:pPr>
              <w:jc w:val="center"/>
              <w:rPr>
                <w:b/>
                <w:bCs/>
                <w:szCs w:val="21"/>
                <w:highlight w:val="none"/>
              </w:rPr>
            </w:pPr>
            <w:r>
              <w:rPr>
                <w:b/>
                <w:bCs/>
                <w:szCs w:val="21"/>
                <w:highlight w:val="none"/>
              </w:rPr>
              <w:t>表2-1  主要建设内容一览表</w:t>
            </w:r>
          </w:p>
          <w:tbl>
            <w:tblPr>
              <w:tblStyle w:val="29"/>
              <w:tblW w:w="8883"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072"/>
              <w:gridCol w:w="873"/>
              <w:gridCol w:w="5548"/>
              <w:gridCol w:w="7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tcBorders>
                    <w:tl2br w:val="nil"/>
                    <w:tr2bl w:val="nil"/>
                  </w:tcBorders>
                  <w:vAlign w:val="center"/>
                </w:tcPr>
                <w:p>
                  <w:pPr>
                    <w:pStyle w:val="60"/>
                    <w:rPr>
                      <w:highlight w:val="none"/>
                    </w:rPr>
                  </w:pPr>
                  <w:r>
                    <w:rPr>
                      <w:highlight w:val="none"/>
                    </w:rPr>
                    <w:t>工程</w:t>
                  </w:r>
                </w:p>
                <w:p>
                  <w:pPr>
                    <w:pStyle w:val="60"/>
                    <w:rPr>
                      <w:highlight w:val="none"/>
                    </w:rPr>
                  </w:pPr>
                  <w:r>
                    <w:rPr>
                      <w:highlight w:val="none"/>
                    </w:rPr>
                    <w:t>类型</w:t>
                  </w:r>
                </w:p>
              </w:tc>
              <w:tc>
                <w:tcPr>
                  <w:tcW w:w="603" w:type="pct"/>
                  <w:tcBorders>
                    <w:tl2br w:val="nil"/>
                    <w:tr2bl w:val="nil"/>
                  </w:tcBorders>
                  <w:vAlign w:val="center"/>
                </w:tcPr>
                <w:p>
                  <w:pPr>
                    <w:pStyle w:val="60"/>
                    <w:rPr>
                      <w:highlight w:val="none"/>
                    </w:rPr>
                  </w:pPr>
                  <w:r>
                    <w:rPr>
                      <w:highlight w:val="none"/>
                    </w:rPr>
                    <w:t>工程名称</w:t>
                  </w:r>
                </w:p>
              </w:tc>
              <w:tc>
                <w:tcPr>
                  <w:tcW w:w="3613" w:type="pct"/>
                  <w:gridSpan w:val="2"/>
                  <w:tcBorders>
                    <w:tl2br w:val="nil"/>
                    <w:tr2bl w:val="nil"/>
                  </w:tcBorders>
                  <w:vAlign w:val="center"/>
                </w:tcPr>
                <w:p>
                  <w:pPr>
                    <w:pStyle w:val="60"/>
                    <w:rPr>
                      <w:highlight w:val="none"/>
                    </w:rPr>
                  </w:pPr>
                  <w:r>
                    <w:rPr>
                      <w:highlight w:val="none"/>
                    </w:rPr>
                    <w:t>工程建设内容</w:t>
                  </w:r>
                </w:p>
              </w:tc>
              <w:tc>
                <w:tcPr>
                  <w:tcW w:w="403" w:type="pct"/>
                  <w:tcBorders>
                    <w:tl2br w:val="nil"/>
                    <w:tr2bl w:val="nil"/>
                  </w:tcBorders>
                  <w:vAlign w:val="center"/>
                </w:tcPr>
                <w:p>
                  <w:pPr>
                    <w:pStyle w:val="60"/>
                    <w:rPr>
                      <w:highlight w:val="none"/>
                    </w:rPr>
                  </w:pPr>
                  <w:r>
                    <w:rPr>
                      <w:highlight w:val="non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Merge w:val="restart"/>
                  <w:tcBorders>
                    <w:tl2br w:val="nil"/>
                    <w:tr2bl w:val="nil"/>
                  </w:tcBorders>
                  <w:vAlign w:val="center"/>
                </w:tcPr>
                <w:p>
                  <w:pPr>
                    <w:pStyle w:val="60"/>
                    <w:rPr>
                      <w:highlight w:val="none"/>
                    </w:rPr>
                  </w:pPr>
                  <w:r>
                    <w:rPr>
                      <w:highlight w:val="none"/>
                    </w:rPr>
                    <w:t>主体</w:t>
                  </w:r>
                </w:p>
                <w:p>
                  <w:pPr>
                    <w:pStyle w:val="60"/>
                    <w:rPr>
                      <w:highlight w:val="none"/>
                    </w:rPr>
                  </w:pPr>
                  <w:r>
                    <w:rPr>
                      <w:highlight w:val="none"/>
                    </w:rPr>
                    <w:t>工程</w:t>
                  </w:r>
                </w:p>
              </w:tc>
              <w:tc>
                <w:tcPr>
                  <w:tcW w:w="603" w:type="pct"/>
                  <w:tcBorders>
                    <w:tl2br w:val="nil"/>
                    <w:tr2bl w:val="nil"/>
                  </w:tcBorders>
                  <w:vAlign w:val="center"/>
                </w:tcPr>
                <w:p>
                  <w:pPr>
                    <w:pStyle w:val="60"/>
                    <w:rPr>
                      <w:highlight w:val="none"/>
                    </w:rPr>
                  </w:pPr>
                  <w:r>
                    <w:rPr>
                      <w:rFonts w:hint="eastAsia"/>
                      <w:highlight w:val="none"/>
                    </w:rPr>
                    <w:t>生产车间</w:t>
                  </w:r>
                </w:p>
              </w:tc>
              <w:tc>
                <w:tcPr>
                  <w:tcW w:w="491" w:type="pct"/>
                  <w:vMerge w:val="restart"/>
                  <w:tcBorders>
                    <w:tl2br w:val="nil"/>
                    <w:tr2bl w:val="nil"/>
                  </w:tcBorders>
                  <w:vAlign w:val="center"/>
                </w:tcPr>
                <w:p>
                  <w:pPr>
                    <w:pStyle w:val="60"/>
                    <w:jc w:val="left"/>
                    <w:rPr>
                      <w:highlight w:val="none"/>
                    </w:rPr>
                  </w:pPr>
                  <w:r>
                    <w:rPr>
                      <w:rFonts w:hint="eastAsia"/>
                      <w:highlight w:val="none"/>
                      <w:lang w:val="en-US"/>
                    </w:rPr>
                    <w:t>2</w:t>
                  </w:r>
                  <w:r>
                    <w:rPr>
                      <w:rFonts w:hint="eastAsia"/>
                      <w:highlight w:val="none"/>
                    </w:rPr>
                    <w:t>层建筑，建筑面积</w:t>
                  </w:r>
                  <w:r>
                    <w:rPr>
                      <w:rFonts w:hint="eastAsia"/>
                      <w:highlight w:val="none"/>
                      <w:lang w:val="en-US"/>
                    </w:rPr>
                    <w:t>1800</w:t>
                  </w:r>
                  <w:r>
                    <w:rPr>
                      <w:rFonts w:hint="eastAsia"/>
                      <w:highlight w:val="none"/>
                    </w:rPr>
                    <w:t>m</w:t>
                  </w:r>
                  <w:r>
                    <w:rPr>
                      <w:rFonts w:hint="eastAsia"/>
                      <w:highlight w:val="none"/>
                      <w:vertAlign w:val="superscript"/>
                    </w:rPr>
                    <w:t>2</w:t>
                  </w:r>
                </w:p>
              </w:tc>
              <w:tc>
                <w:tcPr>
                  <w:tcW w:w="3121" w:type="pct"/>
                  <w:tcBorders>
                    <w:tl2br w:val="nil"/>
                    <w:tr2bl w:val="nil"/>
                  </w:tcBorders>
                  <w:vAlign w:val="center"/>
                </w:tcPr>
                <w:p>
                  <w:pPr>
                    <w:pStyle w:val="60"/>
                    <w:jc w:val="left"/>
                    <w:rPr>
                      <w:highlight w:val="none"/>
                    </w:rPr>
                  </w:pPr>
                  <w:r>
                    <w:rPr>
                      <w:rFonts w:hint="eastAsia"/>
                      <w:highlight w:val="none"/>
                      <w:lang w:val="en-US"/>
                    </w:rPr>
                    <w:t>位于一层南侧，建筑面积800平方米，设置</w:t>
                  </w:r>
                  <w:r>
                    <w:rPr>
                      <w:rFonts w:hint="eastAsia"/>
                      <w:highlight w:val="none"/>
                    </w:rPr>
                    <w:t>一条</w:t>
                  </w:r>
                  <w:r>
                    <w:rPr>
                      <w:rFonts w:hint="eastAsia"/>
                      <w:highlight w:val="none"/>
                      <w:lang w:val="en-US"/>
                    </w:rPr>
                    <w:t>鲜食玉米</w:t>
                  </w:r>
                  <w:r>
                    <w:rPr>
                      <w:rFonts w:hint="eastAsia"/>
                      <w:highlight w:val="none"/>
                    </w:rPr>
                    <w:t>生产线，主要设备有</w:t>
                  </w:r>
                  <w:r>
                    <w:rPr>
                      <w:rFonts w:hint="eastAsia"/>
                      <w:highlight w:val="none"/>
                      <w:lang w:val="en-US"/>
                    </w:rPr>
                    <w:t>清洗机、滚烫机、高温杀菌设备</w:t>
                  </w:r>
                  <w:r>
                    <w:rPr>
                      <w:rFonts w:hint="eastAsia"/>
                      <w:highlight w:val="none"/>
                    </w:rPr>
                    <w:t>等，年产</w:t>
                  </w:r>
                  <w:r>
                    <w:rPr>
                      <w:rFonts w:hint="eastAsia"/>
                      <w:highlight w:val="none"/>
                      <w:lang w:val="en-US"/>
                    </w:rPr>
                    <w:t>玉米1000</w:t>
                  </w:r>
                  <w:r>
                    <w:rPr>
                      <w:rFonts w:hint="eastAsia"/>
                      <w:highlight w:val="none"/>
                    </w:rPr>
                    <w:t>t；</w:t>
                  </w:r>
                </w:p>
              </w:tc>
              <w:tc>
                <w:tcPr>
                  <w:tcW w:w="403" w:type="pct"/>
                  <w:vMerge w:val="restart"/>
                  <w:tcBorders>
                    <w:tl2br w:val="nil"/>
                    <w:tr2bl w:val="nil"/>
                  </w:tcBorders>
                  <w:vAlign w:val="center"/>
                </w:tcPr>
                <w:p>
                  <w:pPr>
                    <w:pStyle w:val="60"/>
                    <w:rPr>
                      <w:color w:val="000000" w:themeColor="text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pStyle w:val="60"/>
                    <w:rPr>
                      <w:highlight w:val="none"/>
                      <w:lang w:val="en-US"/>
                    </w:rPr>
                  </w:pPr>
                  <w:r>
                    <w:rPr>
                      <w:rFonts w:hint="eastAsia"/>
                      <w:highlight w:val="none"/>
                      <w:lang w:val="en-US"/>
                    </w:rPr>
                    <w:t>包装车间</w:t>
                  </w:r>
                </w:p>
              </w:tc>
              <w:tc>
                <w:tcPr>
                  <w:tcW w:w="491" w:type="pct"/>
                  <w:vMerge w:val="continue"/>
                  <w:tcBorders>
                    <w:tl2br w:val="nil"/>
                    <w:tr2bl w:val="nil"/>
                  </w:tcBorders>
                  <w:vAlign w:val="center"/>
                </w:tcPr>
                <w:p>
                  <w:pPr>
                    <w:pStyle w:val="60"/>
                    <w:rPr>
                      <w:highlight w:val="none"/>
                    </w:rPr>
                  </w:pPr>
                </w:p>
              </w:tc>
              <w:tc>
                <w:tcPr>
                  <w:tcW w:w="3121" w:type="pct"/>
                  <w:tcBorders>
                    <w:tl2br w:val="nil"/>
                    <w:tr2bl w:val="nil"/>
                  </w:tcBorders>
                  <w:vAlign w:val="center"/>
                </w:tcPr>
                <w:p>
                  <w:pPr>
                    <w:pStyle w:val="60"/>
                    <w:rPr>
                      <w:highlight w:val="none"/>
                      <w:lang w:val="en-US"/>
                    </w:rPr>
                  </w:pPr>
                  <w:r>
                    <w:rPr>
                      <w:rFonts w:hint="eastAsia"/>
                      <w:highlight w:val="none"/>
                      <w:lang w:val="en-US"/>
                    </w:rPr>
                    <w:t>位于二层，主要用于成品包装</w:t>
                  </w:r>
                </w:p>
              </w:tc>
              <w:tc>
                <w:tcPr>
                  <w:tcW w:w="403" w:type="pct"/>
                  <w:vMerge w:val="continue"/>
                  <w:tcBorders>
                    <w:tl2br w:val="nil"/>
                    <w:tr2bl w:val="nil"/>
                  </w:tcBorders>
                  <w:vAlign w:val="center"/>
                </w:tcPr>
                <w:p>
                  <w:pPr>
                    <w:pStyle w:val="60"/>
                    <w:rPr>
                      <w:color w:val="000000" w:themeColor="text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80" w:type="pct"/>
                  <w:vMerge w:val="restart"/>
                  <w:tcBorders>
                    <w:tl2br w:val="nil"/>
                    <w:tr2bl w:val="nil"/>
                  </w:tcBorders>
                  <w:vAlign w:val="center"/>
                </w:tcPr>
                <w:p>
                  <w:pPr>
                    <w:pStyle w:val="60"/>
                    <w:rPr>
                      <w:highlight w:val="none"/>
                    </w:rPr>
                  </w:pPr>
                  <w:r>
                    <w:rPr>
                      <w:highlight w:val="none"/>
                    </w:rPr>
                    <w:t>辅助</w:t>
                  </w:r>
                </w:p>
                <w:p>
                  <w:pPr>
                    <w:pStyle w:val="60"/>
                    <w:rPr>
                      <w:highlight w:val="none"/>
                    </w:rPr>
                  </w:pPr>
                  <w:r>
                    <w:rPr>
                      <w:highlight w:val="none"/>
                    </w:rPr>
                    <w:t>工程</w:t>
                  </w:r>
                </w:p>
              </w:tc>
              <w:tc>
                <w:tcPr>
                  <w:tcW w:w="603" w:type="pct"/>
                  <w:tcBorders>
                    <w:tl2br w:val="nil"/>
                    <w:tr2bl w:val="nil"/>
                  </w:tcBorders>
                  <w:vAlign w:val="center"/>
                </w:tcPr>
                <w:p>
                  <w:pPr>
                    <w:pStyle w:val="60"/>
                    <w:rPr>
                      <w:highlight w:val="none"/>
                    </w:rPr>
                  </w:pPr>
                  <w:r>
                    <w:rPr>
                      <w:rFonts w:hint="eastAsia"/>
                      <w:highlight w:val="none"/>
                      <w:lang w:val="en-US"/>
                    </w:rPr>
                    <w:t>办公室</w:t>
                  </w:r>
                </w:p>
              </w:tc>
              <w:tc>
                <w:tcPr>
                  <w:tcW w:w="3613" w:type="pct"/>
                  <w:gridSpan w:val="2"/>
                  <w:tcBorders>
                    <w:tl2br w:val="nil"/>
                    <w:tr2bl w:val="nil"/>
                  </w:tcBorders>
                  <w:vAlign w:val="center"/>
                </w:tcPr>
                <w:p>
                  <w:pPr>
                    <w:pStyle w:val="60"/>
                    <w:jc w:val="left"/>
                    <w:rPr>
                      <w:highlight w:val="none"/>
                      <w:lang w:val="en-US"/>
                    </w:rPr>
                  </w:pPr>
                  <w:r>
                    <w:rPr>
                      <w:rFonts w:hint="eastAsia"/>
                      <w:highlight w:val="none"/>
                      <w:lang w:val="en-US"/>
                    </w:rPr>
                    <w:t>位于生产车间一层北侧，建筑面积100平方米，主要用于日常办公</w:t>
                  </w:r>
                </w:p>
              </w:tc>
              <w:tc>
                <w:tcPr>
                  <w:tcW w:w="403" w:type="pct"/>
                  <w:tcBorders>
                    <w:tl2br w:val="nil"/>
                    <w:tr2bl w:val="nil"/>
                  </w:tcBorders>
                  <w:vAlign w:val="center"/>
                </w:tcPr>
                <w:p>
                  <w:pPr>
                    <w:pStyle w:val="60"/>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pStyle w:val="60"/>
                    <w:rPr>
                      <w:highlight w:val="none"/>
                    </w:rPr>
                  </w:pPr>
                  <w:r>
                    <w:rPr>
                      <w:rFonts w:hint="eastAsia"/>
                      <w:highlight w:val="none"/>
                    </w:rPr>
                    <w:t>锅炉房</w:t>
                  </w:r>
                </w:p>
              </w:tc>
              <w:tc>
                <w:tcPr>
                  <w:tcW w:w="3613" w:type="pct"/>
                  <w:gridSpan w:val="2"/>
                  <w:tcBorders>
                    <w:tl2br w:val="nil"/>
                    <w:tr2bl w:val="nil"/>
                  </w:tcBorders>
                  <w:vAlign w:val="center"/>
                </w:tcPr>
                <w:p>
                  <w:pPr>
                    <w:pStyle w:val="60"/>
                    <w:jc w:val="left"/>
                    <w:rPr>
                      <w:highlight w:val="none"/>
                      <w:lang w:val="en-US"/>
                    </w:rPr>
                  </w:pPr>
                  <w:r>
                    <w:rPr>
                      <w:rFonts w:hint="eastAsia"/>
                      <w:highlight w:val="none"/>
                      <w:lang w:val="en-US"/>
                    </w:rPr>
                    <w:t>1</w:t>
                  </w:r>
                  <w:r>
                    <w:rPr>
                      <w:highlight w:val="none"/>
                    </w:rPr>
                    <w:t>层建筑，</w:t>
                  </w:r>
                  <w:r>
                    <w:rPr>
                      <w:szCs w:val="21"/>
                      <w:highlight w:val="none"/>
                    </w:rPr>
                    <w:t>建筑面积为</w:t>
                  </w:r>
                  <w:r>
                    <w:rPr>
                      <w:rFonts w:hint="eastAsia"/>
                      <w:szCs w:val="21"/>
                      <w:highlight w:val="none"/>
                      <w:lang w:val="en-US"/>
                    </w:rPr>
                    <w:t>40</w:t>
                  </w:r>
                  <w:r>
                    <w:rPr>
                      <w:szCs w:val="21"/>
                      <w:highlight w:val="none"/>
                    </w:rPr>
                    <w:t>m</w:t>
                  </w:r>
                  <w:r>
                    <w:rPr>
                      <w:szCs w:val="21"/>
                      <w:highlight w:val="none"/>
                      <w:vertAlign w:val="superscript"/>
                    </w:rPr>
                    <w:t>2</w:t>
                  </w:r>
                  <w:r>
                    <w:rPr>
                      <w:szCs w:val="21"/>
                      <w:highlight w:val="none"/>
                    </w:rPr>
                    <w:t>，</w:t>
                  </w:r>
                  <w:r>
                    <w:rPr>
                      <w:rFonts w:hint="eastAsia"/>
                      <w:highlight w:val="none"/>
                    </w:rPr>
                    <w:t>内设一台</w:t>
                  </w:r>
                  <w:r>
                    <w:rPr>
                      <w:rFonts w:hint="eastAsia"/>
                      <w:highlight w:val="none"/>
                      <w:lang w:val="en-US"/>
                    </w:rPr>
                    <w:t>4t/h的燃生物质蒸汽锅炉用于生产用热，燃料为生物质成型颗粒，年用量672t</w:t>
                  </w:r>
                </w:p>
              </w:tc>
              <w:tc>
                <w:tcPr>
                  <w:tcW w:w="403" w:type="pct"/>
                  <w:tcBorders>
                    <w:tl2br w:val="nil"/>
                    <w:tr2bl w:val="nil"/>
                  </w:tcBorders>
                  <w:vAlign w:val="center"/>
                </w:tcPr>
                <w:p>
                  <w:pPr>
                    <w:pStyle w:val="60"/>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restart"/>
                  <w:tcBorders>
                    <w:tl2br w:val="nil"/>
                    <w:tr2bl w:val="nil"/>
                  </w:tcBorders>
                  <w:vAlign w:val="center"/>
                </w:tcPr>
                <w:p>
                  <w:pPr>
                    <w:pStyle w:val="60"/>
                    <w:rPr>
                      <w:highlight w:val="none"/>
                    </w:rPr>
                  </w:pPr>
                  <w:r>
                    <w:rPr>
                      <w:highlight w:val="none"/>
                    </w:rPr>
                    <w:t>储运</w:t>
                  </w:r>
                </w:p>
                <w:p>
                  <w:pPr>
                    <w:pStyle w:val="60"/>
                    <w:rPr>
                      <w:highlight w:val="none"/>
                    </w:rPr>
                  </w:pPr>
                  <w:r>
                    <w:rPr>
                      <w:highlight w:val="none"/>
                    </w:rPr>
                    <w:t>工程</w:t>
                  </w:r>
                </w:p>
              </w:tc>
              <w:tc>
                <w:tcPr>
                  <w:tcW w:w="603" w:type="pct"/>
                  <w:tcBorders>
                    <w:tl2br w:val="nil"/>
                    <w:tr2bl w:val="nil"/>
                  </w:tcBorders>
                  <w:vAlign w:val="center"/>
                </w:tcPr>
                <w:p>
                  <w:pPr>
                    <w:adjustRightInd w:val="0"/>
                    <w:snapToGrid w:val="0"/>
                    <w:jc w:val="center"/>
                    <w:rPr>
                      <w:szCs w:val="21"/>
                      <w:highlight w:val="none"/>
                    </w:rPr>
                  </w:pPr>
                  <w:r>
                    <w:rPr>
                      <w:rFonts w:hint="eastAsia"/>
                      <w:szCs w:val="21"/>
                      <w:highlight w:val="none"/>
                    </w:rPr>
                    <w:t>原料库</w:t>
                  </w:r>
                </w:p>
              </w:tc>
              <w:tc>
                <w:tcPr>
                  <w:tcW w:w="3613" w:type="pct"/>
                  <w:gridSpan w:val="2"/>
                  <w:tcBorders>
                    <w:tl2br w:val="nil"/>
                    <w:tr2bl w:val="nil"/>
                  </w:tcBorders>
                  <w:vAlign w:val="center"/>
                </w:tcPr>
                <w:p>
                  <w:pPr>
                    <w:pStyle w:val="60"/>
                    <w:jc w:val="left"/>
                    <w:rPr>
                      <w:szCs w:val="21"/>
                      <w:highlight w:val="none"/>
                      <w:lang w:val="en-US"/>
                    </w:rPr>
                  </w:pPr>
                  <w:r>
                    <w:rPr>
                      <w:rFonts w:hint="eastAsia"/>
                      <w:szCs w:val="21"/>
                      <w:highlight w:val="none"/>
                      <w:lang w:val="en-US"/>
                    </w:rPr>
                    <w:t>建筑面积700</w:t>
                  </w:r>
                  <w:r>
                    <w:rPr>
                      <w:szCs w:val="21"/>
                      <w:highlight w:val="none"/>
                    </w:rPr>
                    <w:t>m</w:t>
                  </w:r>
                  <w:r>
                    <w:rPr>
                      <w:szCs w:val="21"/>
                      <w:highlight w:val="none"/>
                      <w:vertAlign w:val="superscript"/>
                    </w:rPr>
                    <w:t>2</w:t>
                  </w:r>
                  <w:r>
                    <w:rPr>
                      <w:szCs w:val="21"/>
                      <w:highlight w:val="none"/>
                    </w:rPr>
                    <w:t>，</w:t>
                  </w:r>
                  <w:r>
                    <w:rPr>
                      <w:rFonts w:hint="eastAsia"/>
                      <w:szCs w:val="21"/>
                      <w:highlight w:val="none"/>
                      <w:lang w:val="en-US"/>
                    </w:rPr>
                    <w:t>用于存储原料，用于存放原料玉米，最大储量400t</w:t>
                  </w:r>
                </w:p>
              </w:tc>
              <w:tc>
                <w:tcPr>
                  <w:tcW w:w="403" w:type="pct"/>
                  <w:tcBorders>
                    <w:tl2br w:val="nil"/>
                    <w:tr2bl w:val="nil"/>
                  </w:tcBorders>
                  <w:vAlign w:val="center"/>
                </w:tcPr>
                <w:p>
                  <w:pPr>
                    <w:pStyle w:val="60"/>
                    <w:rPr>
                      <w:color w:val="000000" w:themeColor="text1"/>
                      <w:szCs w:val="21"/>
                      <w:highlight w:val="none"/>
                      <w:lang w:val="en-US"/>
                      <w14:textFill>
                        <w14:solidFill>
                          <w14:schemeClr w14:val="tx1"/>
                        </w14:solidFill>
                      </w14:textFill>
                    </w:rPr>
                  </w:pPr>
                  <w:r>
                    <w:rPr>
                      <w:rFonts w:hint="eastAsia"/>
                      <w:color w:val="000000" w:themeColor="text1"/>
                      <w:szCs w:val="21"/>
                      <w:highlight w:val="none"/>
                      <w:lang w:val="en-US"/>
                      <w14:textFill>
                        <w14:solidFill>
                          <w14:schemeClr w14:val="tx1"/>
                        </w14:solidFill>
                      </w14:textFill>
                    </w:rPr>
                    <w:t>已建成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adjustRightInd w:val="0"/>
                    <w:snapToGrid w:val="0"/>
                    <w:jc w:val="center"/>
                    <w:rPr>
                      <w:szCs w:val="21"/>
                      <w:highlight w:val="none"/>
                    </w:rPr>
                  </w:pPr>
                  <w:r>
                    <w:rPr>
                      <w:szCs w:val="21"/>
                      <w:highlight w:val="none"/>
                    </w:rPr>
                    <w:t>冷库</w:t>
                  </w:r>
                </w:p>
              </w:tc>
              <w:tc>
                <w:tcPr>
                  <w:tcW w:w="3613" w:type="pct"/>
                  <w:gridSpan w:val="2"/>
                  <w:tcBorders>
                    <w:tl2br w:val="nil"/>
                    <w:tr2bl w:val="nil"/>
                  </w:tcBorders>
                  <w:vAlign w:val="center"/>
                </w:tcPr>
                <w:p>
                  <w:pPr>
                    <w:pStyle w:val="60"/>
                    <w:jc w:val="left"/>
                    <w:rPr>
                      <w:highlight w:val="none"/>
                    </w:rPr>
                  </w:pPr>
                  <w:r>
                    <w:rPr>
                      <w:szCs w:val="21"/>
                      <w:highlight w:val="none"/>
                    </w:rPr>
                    <w:t>建筑面积为</w:t>
                  </w:r>
                  <w:r>
                    <w:rPr>
                      <w:rFonts w:hint="eastAsia"/>
                      <w:szCs w:val="21"/>
                      <w:highlight w:val="none"/>
                      <w:lang w:val="en-US"/>
                    </w:rPr>
                    <w:t>800</w:t>
                  </w:r>
                  <w:r>
                    <w:rPr>
                      <w:szCs w:val="21"/>
                      <w:highlight w:val="none"/>
                    </w:rPr>
                    <w:t>m</w:t>
                  </w:r>
                  <w:r>
                    <w:rPr>
                      <w:szCs w:val="21"/>
                      <w:highlight w:val="none"/>
                      <w:vertAlign w:val="superscript"/>
                    </w:rPr>
                    <w:t>2</w:t>
                  </w:r>
                  <w:r>
                    <w:rPr>
                      <w:rFonts w:hint="eastAsia"/>
                      <w:szCs w:val="21"/>
                      <w:highlight w:val="none"/>
                      <w:lang w:val="en-US"/>
                    </w:rPr>
                    <w:t>冷库两间</w:t>
                  </w:r>
                  <w:r>
                    <w:rPr>
                      <w:szCs w:val="21"/>
                      <w:highlight w:val="none"/>
                    </w:rPr>
                    <w:t>，</w:t>
                  </w:r>
                  <w:r>
                    <w:rPr>
                      <w:rFonts w:hint="eastAsia" w:ascii="宋体" w:hAnsi="宋体" w:cs="宋体"/>
                      <w:highlight w:val="none"/>
                    </w:rPr>
                    <w:t>本项</w:t>
                  </w:r>
                  <w:r>
                    <w:rPr>
                      <w:rFonts w:hint="eastAsia"/>
                      <w:highlight w:val="none"/>
                    </w:rPr>
                    <w:t>目冷库采用</w:t>
                  </w:r>
                  <w:r>
                    <w:rPr>
                      <w:highlight w:val="none"/>
                    </w:rPr>
                    <w:t>R410A环保制冷剂</w:t>
                  </w:r>
                  <w:r>
                    <w:rPr>
                      <w:rFonts w:hint="eastAsia"/>
                      <w:highlight w:val="none"/>
                      <w:lang w:val="en-US" w:eastAsia="zh-CN"/>
                    </w:rPr>
                    <w:t>制冷</w:t>
                  </w:r>
                  <w:r>
                    <w:rPr>
                      <w:rFonts w:hint="eastAsia"/>
                      <w:szCs w:val="21"/>
                      <w:highlight w:val="none"/>
                    </w:rPr>
                    <w:t>，</w:t>
                  </w:r>
                  <w:r>
                    <w:rPr>
                      <w:rFonts w:hint="eastAsia"/>
                      <w:highlight w:val="none"/>
                    </w:rPr>
                    <w:t>用于存储新鲜</w:t>
                  </w:r>
                  <w:r>
                    <w:rPr>
                      <w:rFonts w:hint="eastAsia"/>
                      <w:highlight w:val="none"/>
                      <w:lang w:val="en-US"/>
                    </w:rPr>
                    <w:t>玉米成品</w:t>
                  </w:r>
                  <w:r>
                    <w:rPr>
                      <w:rFonts w:hint="eastAsia"/>
                      <w:highlight w:val="none"/>
                    </w:rPr>
                    <w:t>。</w:t>
                  </w:r>
                </w:p>
              </w:tc>
              <w:tc>
                <w:tcPr>
                  <w:tcW w:w="403" w:type="pct"/>
                  <w:tcBorders>
                    <w:tl2br w:val="nil"/>
                    <w:tr2bl w:val="nil"/>
                  </w:tcBorders>
                  <w:vAlign w:val="center"/>
                </w:tcPr>
                <w:p>
                  <w:pPr>
                    <w:pStyle w:val="60"/>
                    <w:rPr>
                      <w:color w:val="000000" w:themeColor="text1"/>
                      <w:szCs w:val="21"/>
                      <w:highlight w:val="none"/>
                      <w:lang w:val="en-US"/>
                      <w14:textFill>
                        <w14:solidFill>
                          <w14:schemeClr w14:val="tx1"/>
                        </w14:solidFill>
                      </w14:textFill>
                    </w:rPr>
                  </w:pPr>
                  <w:r>
                    <w:rPr>
                      <w:rFonts w:hint="eastAsia"/>
                      <w:color w:val="000000" w:themeColor="text1"/>
                      <w:szCs w:val="21"/>
                      <w:highlight w:val="none"/>
                      <w14:textFill>
                        <w14:solidFill>
                          <w14:schemeClr w14:val="tx1"/>
                        </w14:solidFill>
                      </w14:textFill>
                    </w:rPr>
                    <w:t>已建</w:t>
                  </w:r>
                  <w:r>
                    <w:rPr>
                      <w:rFonts w:hint="eastAsia"/>
                      <w:color w:val="000000" w:themeColor="text1"/>
                      <w:szCs w:val="21"/>
                      <w:highlight w:val="none"/>
                      <w:lang w:val="en-US"/>
                      <w14:textFill>
                        <w14:solidFill>
                          <w14:schemeClr w14:val="tx1"/>
                        </w14:solidFill>
                      </w14:textFill>
                    </w:rPr>
                    <w:t>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adjustRightInd w:val="0"/>
                    <w:snapToGrid w:val="0"/>
                    <w:jc w:val="center"/>
                    <w:rPr>
                      <w:rFonts w:hint="default" w:eastAsia="宋体"/>
                      <w:szCs w:val="21"/>
                      <w:highlight w:val="none"/>
                      <w:lang w:val="en-US" w:eastAsia="zh-CN"/>
                    </w:rPr>
                  </w:pPr>
                  <w:r>
                    <w:rPr>
                      <w:rFonts w:hint="eastAsia"/>
                      <w:szCs w:val="21"/>
                      <w:highlight w:val="none"/>
                      <w:lang w:val="en-US" w:eastAsia="zh-CN"/>
                    </w:rPr>
                    <w:t>污水防渗储池</w:t>
                  </w:r>
                </w:p>
              </w:tc>
              <w:tc>
                <w:tcPr>
                  <w:tcW w:w="3613" w:type="pct"/>
                  <w:gridSpan w:val="2"/>
                  <w:tcBorders>
                    <w:tl2br w:val="nil"/>
                    <w:tr2bl w:val="nil"/>
                  </w:tcBorders>
                  <w:vAlign w:val="center"/>
                </w:tcPr>
                <w:p>
                  <w:pPr>
                    <w:pStyle w:val="60"/>
                    <w:jc w:val="left"/>
                    <w:rPr>
                      <w:szCs w:val="21"/>
                      <w:highlight w:val="none"/>
                    </w:rPr>
                  </w:pPr>
                  <w:r>
                    <w:rPr>
                      <w:rFonts w:hint="eastAsia"/>
                      <w:szCs w:val="21"/>
                      <w:highlight w:val="none"/>
                      <w:lang w:val="en-US"/>
                    </w:rPr>
                    <w:t>20m</w:t>
                  </w:r>
                  <w:r>
                    <w:rPr>
                      <w:rFonts w:hint="eastAsia"/>
                      <w:szCs w:val="21"/>
                      <w:highlight w:val="none"/>
                      <w:vertAlign w:val="superscript"/>
                    </w:rPr>
                    <w:t>3</w:t>
                  </w:r>
                  <w:r>
                    <w:rPr>
                      <w:rFonts w:hint="eastAsia"/>
                      <w:highlight w:val="none"/>
                    </w:rPr>
                    <w:t>防渗污水储池</w:t>
                  </w:r>
                  <w:r>
                    <w:rPr>
                      <w:rFonts w:hint="eastAsia"/>
                      <w:szCs w:val="21"/>
                      <w:highlight w:val="none"/>
                    </w:rPr>
                    <w:t>采用2mm厚的HDPE土工膜及无纺布（两布一膜）作为主防渗层。在主防渗层以上采用混凝土浇筑，地面等效黏土防渗层Mb≥</w:t>
                  </w:r>
                  <w:r>
                    <w:rPr>
                      <w:szCs w:val="21"/>
                      <w:highlight w:val="none"/>
                    </w:rPr>
                    <w:t>1.5</w:t>
                  </w:r>
                  <w:r>
                    <w:rPr>
                      <w:rFonts w:hint="eastAsia"/>
                      <w:szCs w:val="21"/>
                      <w:highlight w:val="none"/>
                    </w:rPr>
                    <w:t>m，渗透系数小于1×10</w:t>
                  </w:r>
                  <w:r>
                    <w:rPr>
                      <w:rFonts w:hint="eastAsia"/>
                      <w:szCs w:val="21"/>
                      <w:highlight w:val="none"/>
                      <w:vertAlign w:val="superscript"/>
                    </w:rPr>
                    <w:t>-</w:t>
                  </w:r>
                  <w:r>
                    <w:rPr>
                      <w:szCs w:val="21"/>
                      <w:highlight w:val="none"/>
                      <w:vertAlign w:val="superscript"/>
                    </w:rPr>
                    <w:t>7</w:t>
                  </w:r>
                  <w:r>
                    <w:rPr>
                      <w:rFonts w:hint="eastAsia"/>
                      <w:szCs w:val="21"/>
                      <w:highlight w:val="none"/>
                    </w:rPr>
                    <w:t>cm/s</w:t>
                  </w:r>
                </w:p>
              </w:tc>
              <w:tc>
                <w:tcPr>
                  <w:tcW w:w="403" w:type="pct"/>
                  <w:tcBorders>
                    <w:tl2br w:val="nil"/>
                    <w:tr2bl w:val="nil"/>
                  </w:tcBorders>
                  <w:vAlign w:val="center"/>
                </w:tcPr>
                <w:p>
                  <w:pPr>
                    <w:pStyle w:val="60"/>
                    <w:rPr>
                      <w:rFonts w:hint="eastAsia"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restart"/>
                  <w:tcBorders>
                    <w:tl2br w:val="nil"/>
                    <w:tr2bl w:val="nil"/>
                  </w:tcBorders>
                  <w:vAlign w:val="center"/>
                </w:tcPr>
                <w:p>
                  <w:pPr>
                    <w:pStyle w:val="60"/>
                    <w:rPr>
                      <w:highlight w:val="none"/>
                    </w:rPr>
                  </w:pPr>
                  <w:r>
                    <w:rPr>
                      <w:highlight w:val="none"/>
                    </w:rPr>
                    <w:t>公用</w:t>
                  </w:r>
                </w:p>
                <w:p>
                  <w:pPr>
                    <w:pStyle w:val="60"/>
                    <w:rPr>
                      <w:highlight w:val="none"/>
                    </w:rPr>
                  </w:pPr>
                  <w:r>
                    <w:rPr>
                      <w:highlight w:val="none"/>
                    </w:rPr>
                    <w:t>工程</w:t>
                  </w:r>
                </w:p>
              </w:tc>
              <w:tc>
                <w:tcPr>
                  <w:tcW w:w="603" w:type="pct"/>
                  <w:tcBorders>
                    <w:tl2br w:val="nil"/>
                    <w:tr2bl w:val="nil"/>
                  </w:tcBorders>
                  <w:vAlign w:val="center"/>
                </w:tcPr>
                <w:p>
                  <w:pPr>
                    <w:pStyle w:val="60"/>
                    <w:rPr>
                      <w:highlight w:val="none"/>
                    </w:rPr>
                  </w:pPr>
                  <w:r>
                    <w:rPr>
                      <w:highlight w:val="none"/>
                    </w:rPr>
                    <w:t>给水工程</w:t>
                  </w:r>
                </w:p>
              </w:tc>
              <w:tc>
                <w:tcPr>
                  <w:tcW w:w="3613" w:type="pct"/>
                  <w:gridSpan w:val="2"/>
                  <w:tcBorders>
                    <w:tl2br w:val="nil"/>
                    <w:tr2bl w:val="nil"/>
                  </w:tcBorders>
                  <w:vAlign w:val="center"/>
                </w:tcPr>
                <w:p>
                  <w:pPr>
                    <w:pStyle w:val="60"/>
                    <w:jc w:val="left"/>
                    <w:rPr>
                      <w:highlight w:val="none"/>
                    </w:rPr>
                  </w:pPr>
                  <w:r>
                    <w:rPr>
                      <w:highlight w:val="none"/>
                    </w:rPr>
                    <w:t>项目生产用水</w:t>
                  </w:r>
                  <w:r>
                    <w:rPr>
                      <w:rFonts w:hint="eastAsia"/>
                      <w:highlight w:val="none"/>
                    </w:rPr>
                    <w:t>、</w:t>
                  </w:r>
                  <w:r>
                    <w:rPr>
                      <w:highlight w:val="none"/>
                    </w:rPr>
                    <w:t>生活用水</w:t>
                  </w:r>
                  <w:r>
                    <w:rPr>
                      <w:rFonts w:hint="eastAsia"/>
                      <w:highlight w:val="none"/>
                    </w:rPr>
                    <w:t>由厂区内现有水井供给。</w:t>
                  </w:r>
                </w:p>
              </w:tc>
              <w:tc>
                <w:tcPr>
                  <w:tcW w:w="403" w:type="pct"/>
                  <w:tcBorders>
                    <w:tl2br w:val="nil"/>
                    <w:tr2bl w:val="nil"/>
                  </w:tcBorders>
                  <w:vAlign w:val="center"/>
                </w:tcPr>
                <w:p>
                  <w:pPr>
                    <w:pStyle w:val="60"/>
                    <w:rPr>
                      <w:color w:val="000000" w:themeColor="text1"/>
                      <w:szCs w:val="21"/>
                      <w:highlight w:val="none"/>
                      <w:lang w:val="en-US"/>
                      <w14:textFill>
                        <w14:solidFill>
                          <w14:schemeClr w14:val="tx1"/>
                        </w14:solidFill>
                      </w14:textFill>
                    </w:rPr>
                  </w:pPr>
                  <w:r>
                    <w:rPr>
                      <w:rFonts w:hint="eastAsia"/>
                      <w:color w:val="000000" w:themeColor="text1"/>
                      <w:szCs w:val="21"/>
                      <w:highlight w:val="none"/>
                      <w14:textFill>
                        <w14:solidFill>
                          <w14:schemeClr w14:val="tx1"/>
                        </w14:solidFill>
                      </w14:textFill>
                    </w:rPr>
                    <w:t>已建</w:t>
                  </w:r>
                  <w:r>
                    <w:rPr>
                      <w:rFonts w:hint="eastAsia"/>
                      <w:color w:val="000000" w:themeColor="text1"/>
                      <w:szCs w:val="21"/>
                      <w:highlight w:val="none"/>
                      <w:lang w:val="en-US"/>
                      <w14:textFill>
                        <w14:solidFill>
                          <w14:schemeClr w14:val="tx1"/>
                        </w14:solidFill>
                      </w14:textFill>
                    </w:rPr>
                    <w:t>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pStyle w:val="60"/>
                    <w:rPr>
                      <w:highlight w:val="none"/>
                    </w:rPr>
                  </w:pPr>
                  <w:r>
                    <w:rPr>
                      <w:highlight w:val="none"/>
                    </w:rPr>
                    <w:t>排水工程</w:t>
                  </w:r>
                </w:p>
              </w:tc>
              <w:tc>
                <w:tcPr>
                  <w:tcW w:w="3613" w:type="pct"/>
                  <w:gridSpan w:val="2"/>
                  <w:tcBorders>
                    <w:tl2br w:val="nil"/>
                    <w:tr2bl w:val="nil"/>
                  </w:tcBorders>
                  <w:vAlign w:val="center"/>
                </w:tcPr>
                <w:p>
                  <w:pPr>
                    <w:pStyle w:val="60"/>
                    <w:jc w:val="left"/>
                    <w:rPr>
                      <w:rFonts w:hint="eastAsia" w:eastAsia="宋体"/>
                      <w:highlight w:val="none"/>
                      <w:lang w:eastAsia="zh-CN"/>
                    </w:rPr>
                  </w:pPr>
                  <w:r>
                    <w:rPr>
                      <w:rFonts w:hint="eastAsia"/>
                      <w:highlight w:val="none"/>
                    </w:rPr>
                    <w:t>本项目生活污水及生产废水排入防渗污水储池，由罐车自行拉运排入</w:t>
                  </w:r>
                  <w:r>
                    <w:rPr>
                      <w:rFonts w:hint="eastAsia"/>
                      <w:highlight w:val="none"/>
                      <w:lang w:eastAsia="zh-CN"/>
                    </w:rPr>
                    <w:t>双鸭山市四洁水处理有限责任公司（四洁污水处理厂）</w:t>
                  </w:r>
                </w:p>
              </w:tc>
              <w:tc>
                <w:tcPr>
                  <w:tcW w:w="403" w:type="pct"/>
                  <w:tcBorders>
                    <w:tl2br w:val="nil"/>
                    <w:tr2bl w:val="nil"/>
                  </w:tcBorders>
                  <w:vAlign w:val="center"/>
                </w:tcPr>
                <w:p>
                  <w:pPr>
                    <w:pStyle w:val="6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pStyle w:val="60"/>
                    <w:rPr>
                      <w:highlight w:val="none"/>
                    </w:rPr>
                  </w:pPr>
                  <w:r>
                    <w:rPr>
                      <w:highlight w:val="none"/>
                    </w:rPr>
                    <w:t>供电工程</w:t>
                  </w:r>
                </w:p>
              </w:tc>
              <w:tc>
                <w:tcPr>
                  <w:tcW w:w="3613" w:type="pct"/>
                  <w:gridSpan w:val="2"/>
                  <w:tcBorders>
                    <w:tl2br w:val="nil"/>
                    <w:tr2bl w:val="nil"/>
                  </w:tcBorders>
                  <w:vAlign w:val="center"/>
                </w:tcPr>
                <w:p>
                  <w:pPr>
                    <w:pStyle w:val="60"/>
                    <w:jc w:val="left"/>
                    <w:rPr>
                      <w:highlight w:val="none"/>
                    </w:rPr>
                  </w:pPr>
                  <w:r>
                    <w:rPr>
                      <w:highlight w:val="none"/>
                    </w:rPr>
                    <w:t>由市政电网提供</w:t>
                  </w:r>
                </w:p>
              </w:tc>
              <w:tc>
                <w:tcPr>
                  <w:tcW w:w="403" w:type="pct"/>
                  <w:tcBorders>
                    <w:tl2br w:val="nil"/>
                    <w:tr2bl w:val="nil"/>
                  </w:tcBorders>
                  <w:vAlign w:val="center"/>
                </w:tcPr>
                <w:p>
                  <w:pPr>
                    <w:pStyle w:val="6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pStyle w:val="60"/>
                    <w:rPr>
                      <w:highlight w:val="none"/>
                    </w:rPr>
                  </w:pPr>
                  <w:r>
                    <w:rPr>
                      <w:highlight w:val="none"/>
                    </w:rPr>
                    <w:t>供热工程</w:t>
                  </w:r>
                </w:p>
              </w:tc>
              <w:tc>
                <w:tcPr>
                  <w:tcW w:w="3613" w:type="pct"/>
                  <w:gridSpan w:val="2"/>
                  <w:tcBorders>
                    <w:tl2br w:val="nil"/>
                    <w:tr2bl w:val="nil"/>
                  </w:tcBorders>
                  <w:vAlign w:val="center"/>
                </w:tcPr>
                <w:p>
                  <w:pPr>
                    <w:pStyle w:val="60"/>
                    <w:jc w:val="left"/>
                    <w:rPr>
                      <w:highlight w:val="none"/>
                      <w:lang w:val="en-US"/>
                    </w:rPr>
                  </w:pPr>
                  <w:r>
                    <w:rPr>
                      <w:rFonts w:hint="eastAsia"/>
                      <w:szCs w:val="21"/>
                      <w:highlight w:val="none"/>
                    </w:rPr>
                    <w:t>本项目冬季不生产，本项目</w:t>
                  </w:r>
                  <w:r>
                    <w:rPr>
                      <w:rFonts w:hint="eastAsia"/>
                      <w:highlight w:val="none"/>
                    </w:rPr>
                    <w:t>生产用热由</w:t>
                  </w:r>
                  <w:r>
                    <w:rPr>
                      <w:rFonts w:hint="eastAsia"/>
                      <w:highlight w:val="none"/>
                      <w:lang w:val="en-US"/>
                    </w:rPr>
                    <w:t>4t/h</w:t>
                  </w:r>
                  <w:r>
                    <w:rPr>
                      <w:rFonts w:hint="eastAsia"/>
                      <w:highlight w:val="none"/>
                    </w:rPr>
                    <w:t>生物质蒸汽锅炉供给，</w:t>
                  </w:r>
                  <w:r>
                    <w:rPr>
                      <w:rFonts w:hint="eastAsia"/>
                      <w:highlight w:val="none"/>
                      <w:lang w:val="en-US"/>
                    </w:rPr>
                    <w:t>办公室不供热</w:t>
                  </w:r>
                </w:p>
              </w:tc>
              <w:tc>
                <w:tcPr>
                  <w:tcW w:w="403" w:type="pct"/>
                  <w:tcBorders>
                    <w:tl2br w:val="nil"/>
                    <w:tr2bl w:val="nil"/>
                  </w:tcBorders>
                  <w:vAlign w:val="center"/>
                </w:tcPr>
                <w:p>
                  <w:pPr>
                    <w:pStyle w:val="60"/>
                    <w:rPr>
                      <w:color w:val="000000" w:themeColor="text1"/>
                      <w:szCs w:val="21"/>
                      <w:highlight w:val="none"/>
                      <w14:textFill>
                        <w14:solidFill>
                          <w14:schemeClr w14:val="tx1"/>
                        </w14:solidFill>
                      </w14:textFill>
                    </w:rPr>
                  </w:pPr>
                  <w:r>
                    <w:rPr>
                      <w:rFonts w:hint="eastAsia"/>
                      <w:color w:val="000000" w:themeColor="text1"/>
                      <w:szCs w:val="21"/>
                      <w:highlight w:val="none"/>
                      <w:lang w:val="en-US"/>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restart"/>
                  <w:tcBorders>
                    <w:tl2br w:val="nil"/>
                    <w:tr2bl w:val="nil"/>
                  </w:tcBorders>
                  <w:vAlign w:val="center"/>
                </w:tcPr>
                <w:p>
                  <w:pPr>
                    <w:pStyle w:val="60"/>
                    <w:rPr>
                      <w:highlight w:val="none"/>
                    </w:rPr>
                  </w:pPr>
                  <w:r>
                    <w:rPr>
                      <w:highlight w:val="none"/>
                    </w:rPr>
                    <w:t>环保</w:t>
                  </w:r>
                </w:p>
                <w:p>
                  <w:pPr>
                    <w:pStyle w:val="60"/>
                    <w:rPr>
                      <w:highlight w:val="none"/>
                    </w:rPr>
                  </w:pPr>
                  <w:r>
                    <w:rPr>
                      <w:highlight w:val="none"/>
                    </w:rPr>
                    <w:t>工程</w:t>
                  </w:r>
                </w:p>
              </w:tc>
              <w:tc>
                <w:tcPr>
                  <w:tcW w:w="603" w:type="pct"/>
                  <w:tcBorders>
                    <w:tl2br w:val="nil"/>
                    <w:tr2bl w:val="nil"/>
                  </w:tcBorders>
                  <w:vAlign w:val="center"/>
                </w:tcPr>
                <w:p>
                  <w:pPr>
                    <w:pStyle w:val="60"/>
                    <w:rPr>
                      <w:highlight w:val="none"/>
                    </w:rPr>
                  </w:pPr>
                  <w:r>
                    <w:rPr>
                      <w:highlight w:val="none"/>
                    </w:rPr>
                    <w:t>污水防治措施</w:t>
                  </w:r>
                </w:p>
              </w:tc>
              <w:tc>
                <w:tcPr>
                  <w:tcW w:w="3613" w:type="pct"/>
                  <w:gridSpan w:val="2"/>
                  <w:tcBorders>
                    <w:tl2br w:val="nil"/>
                    <w:tr2bl w:val="nil"/>
                  </w:tcBorders>
                  <w:vAlign w:val="center"/>
                </w:tcPr>
                <w:p>
                  <w:pPr>
                    <w:pStyle w:val="60"/>
                    <w:jc w:val="left"/>
                    <w:rPr>
                      <w:rFonts w:hint="eastAsia" w:eastAsia="宋体"/>
                      <w:highlight w:val="none"/>
                      <w:lang w:eastAsia="zh-CN"/>
                    </w:rPr>
                  </w:pPr>
                  <w:r>
                    <w:rPr>
                      <w:rFonts w:hint="eastAsia"/>
                      <w:highlight w:val="none"/>
                      <w:lang w:val="en-US"/>
                    </w:rPr>
                    <w:t>本项目冬季不生产，</w:t>
                  </w:r>
                  <w:r>
                    <w:rPr>
                      <w:rFonts w:hint="eastAsia"/>
                      <w:highlight w:val="none"/>
                    </w:rPr>
                    <w:t>生活污水及生产废水一同排入</w:t>
                  </w:r>
                  <w:r>
                    <w:rPr>
                      <w:rFonts w:hint="eastAsia"/>
                      <w:highlight w:val="none"/>
                      <w:lang w:val="en-US"/>
                    </w:rPr>
                    <w:t>20m</w:t>
                  </w:r>
                  <w:r>
                    <w:rPr>
                      <w:rFonts w:hint="eastAsia"/>
                      <w:highlight w:val="none"/>
                      <w:vertAlign w:val="superscript"/>
                    </w:rPr>
                    <w:t>3</w:t>
                  </w:r>
                  <w:r>
                    <w:rPr>
                      <w:rFonts w:hint="eastAsia"/>
                      <w:highlight w:val="none"/>
                    </w:rPr>
                    <w:t>防渗污水储池，由罐车自行拉运排入</w:t>
                  </w:r>
                  <w:r>
                    <w:rPr>
                      <w:rFonts w:hint="eastAsia"/>
                      <w:highlight w:val="none"/>
                      <w:lang w:eastAsia="zh-CN"/>
                    </w:rPr>
                    <w:t>双鸭山市四洁水处理有限责任公司（四洁污水处理厂）</w:t>
                  </w:r>
                </w:p>
              </w:tc>
              <w:tc>
                <w:tcPr>
                  <w:tcW w:w="403" w:type="pct"/>
                  <w:tcBorders>
                    <w:tl2br w:val="nil"/>
                    <w:tr2bl w:val="nil"/>
                  </w:tcBorders>
                  <w:vAlign w:val="center"/>
                </w:tcPr>
                <w:p>
                  <w:pPr>
                    <w:pStyle w:val="60"/>
                    <w:rPr>
                      <w:szCs w:val="21"/>
                      <w:highlight w:val="none"/>
                    </w:rPr>
                  </w:pPr>
                  <w:r>
                    <w:rPr>
                      <w:rFonts w:hint="eastAsia"/>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pStyle w:val="60"/>
                    <w:rPr>
                      <w:highlight w:val="none"/>
                    </w:rPr>
                  </w:pPr>
                  <w:r>
                    <w:rPr>
                      <w:highlight w:val="none"/>
                    </w:rPr>
                    <w:t>固体废物</w:t>
                  </w:r>
                  <w:r>
                    <w:rPr>
                      <w:rFonts w:hint="eastAsia"/>
                      <w:highlight w:val="none"/>
                    </w:rPr>
                    <w:t>防治措施</w:t>
                  </w:r>
                </w:p>
              </w:tc>
              <w:tc>
                <w:tcPr>
                  <w:tcW w:w="3613" w:type="pct"/>
                  <w:gridSpan w:val="2"/>
                  <w:tcBorders>
                    <w:tl2br w:val="nil"/>
                    <w:tr2bl w:val="nil"/>
                  </w:tcBorders>
                  <w:vAlign w:val="center"/>
                </w:tcPr>
                <w:p>
                  <w:pPr>
                    <w:widowControl/>
                    <w:jc w:val="left"/>
                    <w:rPr>
                      <w:szCs w:val="21"/>
                      <w:highlight w:val="none"/>
                    </w:rPr>
                  </w:pPr>
                  <w:r>
                    <w:rPr>
                      <w:kern w:val="0"/>
                      <w:szCs w:val="21"/>
                      <w:highlight w:val="none"/>
                      <w:lang w:bidi="ar"/>
                    </w:rPr>
                    <w:t>生活垃圾集中收集，</w:t>
                  </w:r>
                  <w:r>
                    <w:rPr>
                      <w:rFonts w:hint="eastAsia"/>
                      <w:kern w:val="0"/>
                      <w:szCs w:val="21"/>
                      <w:highlight w:val="none"/>
                      <w:lang w:bidi="ar"/>
                    </w:rPr>
                    <w:t>送生活垃圾填埋场处置</w:t>
                  </w:r>
                  <w:r>
                    <w:rPr>
                      <w:kern w:val="0"/>
                      <w:szCs w:val="21"/>
                      <w:highlight w:val="none"/>
                      <w:lang w:bidi="ar"/>
                    </w:rPr>
                    <w:t>；</w:t>
                  </w:r>
                  <w:r>
                    <w:rPr>
                      <w:rFonts w:hint="eastAsia"/>
                      <w:kern w:val="0"/>
                      <w:szCs w:val="21"/>
                      <w:highlight w:val="none"/>
                      <w:lang w:bidi="ar"/>
                    </w:rPr>
                    <w:t>废弃包装，统一收集，外售综合利用；锅炉灰渣及</w:t>
                  </w:r>
                  <w:r>
                    <w:rPr>
                      <w:rFonts w:hint="eastAsia"/>
                      <w:kern w:val="0"/>
                      <w:szCs w:val="21"/>
                      <w:highlight w:val="none"/>
                    </w:rPr>
                    <w:t>布袋除尘器收尘</w:t>
                  </w:r>
                  <w:r>
                    <w:rPr>
                      <w:rFonts w:hint="eastAsia"/>
                      <w:kern w:val="0"/>
                      <w:szCs w:val="21"/>
                      <w:highlight w:val="none"/>
                      <w:lang w:bidi="ar"/>
                    </w:rPr>
                    <w:t>统一收集，锅炉灰渣及</w:t>
                  </w:r>
                  <w:r>
                    <w:rPr>
                      <w:rFonts w:hint="eastAsia"/>
                      <w:kern w:val="0"/>
                      <w:szCs w:val="21"/>
                      <w:highlight w:val="none"/>
                    </w:rPr>
                    <w:t>布袋除尘器收尘</w:t>
                  </w:r>
                  <w:r>
                    <w:rPr>
                      <w:rFonts w:hint="eastAsia"/>
                      <w:kern w:val="0"/>
                      <w:szCs w:val="21"/>
                      <w:highlight w:val="none"/>
                      <w:lang w:bidi="ar"/>
                    </w:rPr>
                    <w:t>在锅炉房内暂存，</w:t>
                  </w:r>
                  <w:r>
                    <w:rPr>
                      <w:kern w:val="0"/>
                      <w:szCs w:val="21"/>
                      <w:highlight w:val="none"/>
                      <w:lang w:bidi="ar"/>
                    </w:rPr>
                    <w:t>外售</w:t>
                  </w:r>
                  <w:r>
                    <w:rPr>
                      <w:rFonts w:hint="eastAsia"/>
                      <w:kern w:val="0"/>
                      <w:szCs w:val="21"/>
                      <w:highlight w:val="none"/>
                      <w:lang w:bidi="ar"/>
                    </w:rPr>
                    <w:t>综合利用；玉米皮、玉米须和缺粒、杂色、成熟度过高或过低的不合格玉米、边角料：集中收集，采用袋装或桶装方式密闭存储，定期外售。废布袋：废布袋集中收集，由</w:t>
                  </w:r>
                  <w:r>
                    <w:rPr>
                      <w:rFonts w:hint="eastAsia"/>
                      <w:kern w:val="0"/>
                      <w:szCs w:val="21"/>
                      <w:highlight w:val="none"/>
                      <w:lang w:val="en-US" w:eastAsia="zh-CN" w:bidi="ar"/>
                    </w:rPr>
                    <w:t>厂家统一回收</w:t>
                  </w:r>
                  <w:r>
                    <w:rPr>
                      <w:rFonts w:hint="eastAsia"/>
                      <w:kern w:val="0"/>
                      <w:szCs w:val="21"/>
                      <w:highlight w:val="none"/>
                      <w:lang w:bidi="ar"/>
                    </w:rPr>
                    <w:t>。废离子交换树脂：厂家回收再利用</w:t>
                  </w:r>
                </w:p>
              </w:tc>
              <w:tc>
                <w:tcPr>
                  <w:tcW w:w="403" w:type="pct"/>
                  <w:tcBorders>
                    <w:tl2br w:val="nil"/>
                    <w:tr2bl w:val="nil"/>
                  </w:tcBorders>
                  <w:vAlign w:val="center"/>
                </w:tcPr>
                <w:p>
                  <w:pPr>
                    <w:pStyle w:val="60"/>
                    <w:rPr>
                      <w:szCs w:val="21"/>
                      <w:highlight w:val="none"/>
                    </w:rPr>
                  </w:pPr>
                  <w:r>
                    <w:rPr>
                      <w:rFonts w:hint="eastAsia"/>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pStyle w:val="60"/>
                    <w:rPr>
                      <w:highlight w:val="none"/>
                    </w:rPr>
                  </w:pPr>
                  <w:r>
                    <w:rPr>
                      <w:rFonts w:hint="eastAsia"/>
                      <w:highlight w:val="none"/>
                    </w:rPr>
                    <w:t>废气防治措施</w:t>
                  </w:r>
                </w:p>
              </w:tc>
              <w:tc>
                <w:tcPr>
                  <w:tcW w:w="3613" w:type="pct"/>
                  <w:gridSpan w:val="2"/>
                  <w:tcBorders>
                    <w:tl2br w:val="nil"/>
                    <w:tr2bl w:val="nil"/>
                  </w:tcBorders>
                  <w:vAlign w:val="center"/>
                </w:tcPr>
                <w:p>
                  <w:pPr>
                    <w:widowControl/>
                    <w:jc w:val="left"/>
                    <w:rPr>
                      <w:szCs w:val="21"/>
                      <w:highlight w:val="none"/>
                    </w:rPr>
                  </w:pPr>
                  <w:r>
                    <w:rPr>
                      <w:rFonts w:hint="eastAsia"/>
                      <w:szCs w:val="21"/>
                      <w:highlight w:val="none"/>
                    </w:rPr>
                    <w:t>储池进行全封闭并地埋，产臭区域定期喷洒除臭剂；生物质锅炉产生的锅炉废气经布袋除尘器处理后，锅炉烟气经35m高烟囱（DA001）排放。</w:t>
                  </w:r>
                </w:p>
              </w:tc>
              <w:tc>
                <w:tcPr>
                  <w:tcW w:w="403" w:type="pct"/>
                  <w:tcBorders>
                    <w:tl2br w:val="nil"/>
                    <w:tr2bl w:val="nil"/>
                  </w:tcBorders>
                  <w:vAlign w:val="center"/>
                </w:tcPr>
                <w:p>
                  <w:pPr>
                    <w:pStyle w:val="60"/>
                    <w:rPr>
                      <w:szCs w:val="21"/>
                      <w:highlight w:val="none"/>
                    </w:rPr>
                  </w:pPr>
                  <w:r>
                    <w:rPr>
                      <w:rFonts w:hint="eastAsia"/>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pStyle w:val="60"/>
                    <w:rPr>
                      <w:highlight w:val="none"/>
                    </w:rPr>
                  </w:pPr>
                  <w:r>
                    <w:rPr>
                      <w:highlight w:val="none"/>
                    </w:rPr>
                    <w:t>噪声防治措施</w:t>
                  </w:r>
                </w:p>
              </w:tc>
              <w:tc>
                <w:tcPr>
                  <w:tcW w:w="3613" w:type="pct"/>
                  <w:gridSpan w:val="2"/>
                  <w:tcBorders>
                    <w:tl2br w:val="nil"/>
                    <w:tr2bl w:val="nil"/>
                  </w:tcBorders>
                  <w:vAlign w:val="center"/>
                </w:tcPr>
                <w:p>
                  <w:pPr>
                    <w:widowControl/>
                    <w:jc w:val="left"/>
                    <w:rPr>
                      <w:rFonts w:hint="eastAsia" w:eastAsia="宋体"/>
                      <w:szCs w:val="21"/>
                      <w:highlight w:val="none"/>
                      <w:lang w:val="en-US" w:eastAsia="zh-CN"/>
                    </w:rPr>
                  </w:pPr>
                  <w:r>
                    <w:rPr>
                      <w:szCs w:val="21"/>
                      <w:highlight w:val="none"/>
                    </w:rPr>
                    <w:t>采用减振、吸声及隔声设施</w:t>
                  </w:r>
                  <w:r>
                    <w:rPr>
                      <w:rFonts w:hint="eastAsia"/>
                      <w:szCs w:val="21"/>
                      <w:highlight w:val="none"/>
                      <w:lang w:eastAsia="zh-CN"/>
                    </w:rPr>
                    <w:t>，</w:t>
                  </w:r>
                  <w:r>
                    <w:rPr>
                      <w:rFonts w:hint="eastAsia"/>
                      <w:szCs w:val="21"/>
                      <w:highlight w:val="none"/>
                      <w:lang w:val="en-US" w:eastAsia="zh-CN"/>
                    </w:rPr>
                    <w:t>满足</w:t>
                  </w:r>
                  <w:r>
                    <w:rPr>
                      <w:highlight w:val="none"/>
                    </w:rPr>
                    <w:t>《工业企业厂界环境噪声排放标准》（GB12348</w:t>
                  </w:r>
                  <w:r>
                    <w:rPr>
                      <w:highlight w:val="none"/>
                    </w:rPr>
                    <w:sym w:font="Symbol" w:char="F02D"/>
                  </w:r>
                  <w:r>
                    <w:rPr>
                      <w:highlight w:val="none"/>
                    </w:rPr>
                    <w:t>2008）中的</w:t>
                  </w:r>
                  <w:r>
                    <w:rPr>
                      <w:rFonts w:hint="eastAsia"/>
                      <w:highlight w:val="none"/>
                      <w:lang w:val="en-US" w:eastAsia="zh-CN"/>
                    </w:rPr>
                    <w:t>1</w:t>
                  </w:r>
                  <w:r>
                    <w:rPr>
                      <w:highlight w:val="none"/>
                    </w:rPr>
                    <w:t>类标准</w:t>
                  </w:r>
                  <w:r>
                    <w:rPr>
                      <w:rFonts w:hint="eastAsia"/>
                      <w:highlight w:val="none"/>
                      <w:lang w:eastAsia="zh-CN"/>
                    </w:rPr>
                    <w:t>。</w:t>
                  </w:r>
                </w:p>
              </w:tc>
              <w:tc>
                <w:tcPr>
                  <w:tcW w:w="403" w:type="pct"/>
                  <w:tcBorders>
                    <w:tl2br w:val="nil"/>
                    <w:tr2bl w:val="nil"/>
                  </w:tcBorders>
                  <w:vAlign w:val="center"/>
                </w:tcPr>
                <w:p>
                  <w:pPr>
                    <w:pStyle w:val="60"/>
                    <w:rPr>
                      <w:szCs w:val="21"/>
                      <w:highlight w:val="none"/>
                    </w:rPr>
                  </w:pPr>
                  <w:r>
                    <w:rPr>
                      <w:rFonts w:hint="eastAsia"/>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tcBorders>
                    <w:tl2br w:val="nil"/>
                    <w:tr2bl w:val="nil"/>
                  </w:tcBorders>
                  <w:vAlign w:val="center"/>
                </w:tcPr>
                <w:p>
                  <w:pPr>
                    <w:pStyle w:val="60"/>
                    <w:rPr>
                      <w:highlight w:val="none"/>
                    </w:rPr>
                  </w:pPr>
                </w:p>
              </w:tc>
              <w:tc>
                <w:tcPr>
                  <w:tcW w:w="603" w:type="pct"/>
                  <w:tcBorders>
                    <w:tl2br w:val="nil"/>
                    <w:tr2bl w:val="nil"/>
                  </w:tcBorders>
                  <w:vAlign w:val="center"/>
                </w:tcPr>
                <w:p>
                  <w:pPr>
                    <w:pStyle w:val="60"/>
                    <w:rPr>
                      <w:highlight w:val="none"/>
                    </w:rPr>
                  </w:pPr>
                  <w:r>
                    <w:rPr>
                      <w:rFonts w:hint="eastAsia"/>
                      <w:highlight w:val="none"/>
                    </w:rPr>
                    <w:t>地下水防治措施</w:t>
                  </w:r>
                </w:p>
              </w:tc>
              <w:tc>
                <w:tcPr>
                  <w:tcW w:w="3613" w:type="pct"/>
                  <w:gridSpan w:val="2"/>
                  <w:tcBorders>
                    <w:tl2br w:val="nil"/>
                    <w:tr2bl w:val="nil"/>
                  </w:tcBorders>
                  <w:vAlign w:val="center"/>
                </w:tcPr>
                <w:p>
                  <w:pPr>
                    <w:pStyle w:val="60"/>
                    <w:jc w:val="left"/>
                    <w:rPr>
                      <w:szCs w:val="21"/>
                      <w:highlight w:val="none"/>
                    </w:rPr>
                  </w:pPr>
                  <w:bookmarkStart w:id="37" w:name="OLE_LINK5"/>
                  <w:bookmarkStart w:id="38" w:name="OLE_LINK6"/>
                  <w:r>
                    <w:rPr>
                      <w:rFonts w:hint="eastAsia"/>
                      <w:szCs w:val="21"/>
                      <w:highlight w:val="none"/>
                      <w:lang w:val="en-US"/>
                    </w:rPr>
                    <w:t>20m</w:t>
                  </w:r>
                  <w:r>
                    <w:rPr>
                      <w:rFonts w:hint="eastAsia"/>
                      <w:szCs w:val="21"/>
                      <w:highlight w:val="none"/>
                      <w:vertAlign w:val="superscript"/>
                    </w:rPr>
                    <w:t>3</w:t>
                  </w:r>
                  <w:r>
                    <w:rPr>
                      <w:rFonts w:hint="eastAsia"/>
                      <w:highlight w:val="none"/>
                    </w:rPr>
                    <w:t>防渗污水储池</w:t>
                  </w:r>
                  <w:r>
                    <w:rPr>
                      <w:rFonts w:hint="eastAsia"/>
                      <w:szCs w:val="21"/>
                      <w:highlight w:val="none"/>
                    </w:rPr>
                    <w:t>采用2mm厚的HDPE土工膜及无纺布（两布一膜）作为主防渗层。在主防渗层以上采用混凝土浇筑，地面等效黏土防渗层Mb≥</w:t>
                  </w:r>
                  <w:r>
                    <w:rPr>
                      <w:szCs w:val="21"/>
                      <w:highlight w:val="none"/>
                    </w:rPr>
                    <w:t>1.5</w:t>
                  </w:r>
                  <w:r>
                    <w:rPr>
                      <w:rFonts w:hint="eastAsia"/>
                      <w:szCs w:val="21"/>
                      <w:highlight w:val="none"/>
                    </w:rPr>
                    <w:t>m，渗透系数小于1×10</w:t>
                  </w:r>
                  <w:r>
                    <w:rPr>
                      <w:rFonts w:hint="eastAsia"/>
                      <w:szCs w:val="21"/>
                      <w:highlight w:val="none"/>
                      <w:vertAlign w:val="superscript"/>
                    </w:rPr>
                    <w:t>-</w:t>
                  </w:r>
                  <w:r>
                    <w:rPr>
                      <w:szCs w:val="21"/>
                      <w:highlight w:val="none"/>
                      <w:vertAlign w:val="superscript"/>
                    </w:rPr>
                    <w:t>7</w:t>
                  </w:r>
                  <w:r>
                    <w:rPr>
                      <w:rFonts w:hint="eastAsia"/>
                      <w:szCs w:val="21"/>
                      <w:highlight w:val="none"/>
                    </w:rPr>
                    <w:t>cm/s</w:t>
                  </w:r>
                  <w:bookmarkEnd w:id="37"/>
                  <w:bookmarkEnd w:id="38"/>
                </w:p>
              </w:tc>
              <w:tc>
                <w:tcPr>
                  <w:tcW w:w="403" w:type="pct"/>
                  <w:tcBorders>
                    <w:tl2br w:val="nil"/>
                    <w:tr2bl w:val="nil"/>
                  </w:tcBorders>
                  <w:vAlign w:val="center"/>
                </w:tcPr>
                <w:p>
                  <w:pPr>
                    <w:pStyle w:val="60"/>
                    <w:rPr>
                      <w:highlight w:val="none"/>
                    </w:rPr>
                  </w:pPr>
                  <w:r>
                    <w:rPr>
                      <w:rFonts w:hint="eastAsia"/>
                      <w:szCs w:val="21"/>
                      <w:highlight w:val="none"/>
                      <w:lang w:val="en-U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restart"/>
                  <w:tcBorders>
                    <w:tl2br w:val="nil"/>
                    <w:tr2bl w:val="nil"/>
                  </w:tcBorders>
                  <w:vAlign w:val="center"/>
                </w:tcPr>
                <w:p>
                  <w:pPr>
                    <w:pStyle w:val="132"/>
                    <w:jc w:val="both"/>
                    <w:rPr>
                      <w:highlight w:val="none"/>
                    </w:rPr>
                  </w:pPr>
                  <w:r>
                    <w:rPr>
                      <w:sz w:val="21"/>
                      <w:szCs w:val="21"/>
                      <w:highlight w:val="none"/>
                    </w:rPr>
                    <w:t>依托工程</w:t>
                  </w:r>
                </w:p>
              </w:tc>
              <w:tc>
                <w:tcPr>
                  <w:tcW w:w="603" w:type="pct"/>
                  <w:tcBorders>
                    <w:tl2br w:val="nil"/>
                    <w:tr2bl w:val="nil"/>
                  </w:tcBorders>
                  <w:vAlign w:val="center"/>
                </w:tcPr>
                <w:p>
                  <w:pPr>
                    <w:pStyle w:val="132"/>
                    <w:rPr>
                      <w:highlight w:val="none"/>
                    </w:rPr>
                  </w:pPr>
                  <w:r>
                    <w:rPr>
                      <w:sz w:val="21"/>
                      <w:szCs w:val="21"/>
                      <w:highlight w:val="none"/>
                    </w:rPr>
                    <w:t>供电</w:t>
                  </w:r>
                </w:p>
              </w:tc>
              <w:tc>
                <w:tcPr>
                  <w:tcW w:w="3613" w:type="pct"/>
                  <w:gridSpan w:val="2"/>
                  <w:tcBorders>
                    <w:tl2br w:val="nil"/>
                    <w:tr2bl w:val="nil"/>
                  </w:tcBorders>
                  <w:vAlign w:val="center"/>
                </w:tcPr>
                <w:p>
                  <w:pPr>
                    <w:pStyle w:val="132"/>
                    <w:jc w:val="both"/>
                    <w:rPr>
                      <w:szCs w:val="21"/>
                      <w:highlight w:val="none"/>
                    </w:rPr>
                  </w:pPr>
                  <w:r>
                    <w:rPr>
                      <w:sz w:val="21"/>
                      <w:szCs w:val="21"/>
                      <w:highlight w:val="none"/>
                    </w:rPr>
                    <w:t>本项目用电由当地供电电网统一提供。</w:t>
                  </w:r>
                </w:p>
              </w:tc>
              <w:tc>
                <w:tcPr>
                  <w:tcW w:w="403" w:type="pct"/>
                  <w:tcBorders>
                    <w:tl2br w:val="nil"/>
                    <w:tr2bl w:val="nil"/>
                  </w:tcBorders>
                  <w:vAlign w:val="center"/>
                </w:tcPr>
                <w:p>
                  <w:pPr>
                    <w:pStyle w:val="132"/>
                    <w:rPr>
                      <w:szCs w:val="21"/>
                      <w:highlight w:val="none"/>
                    </w:rPr>
                  </w:pPr>
                  <w:r>
                    <w:rPr>
                      <w:sz w:val="21"/>
                      <w:szCs w:val="21"/>
                      <w:highlight w:val="none"/>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80" w:type="pct"/>
                  <w:vMerge w:val="continue"/>
                  <w:tcBorders>
                    <w:tl2br w:val="nil"/>
                    <w:tr2bl w:val="nil"/>
                  </w:tcBorders>
                  <w:vAlign w:val="center"/>
                </w:tcPr>
                <w:p>
                  <w:pPr>
                    <w:pStyle w:val="132"/>
                    <w:jc w:val="both"/>
                    <w:rPr>
                      <w:sz w:val="21"/>
                      <w:szCs w:val="21"/>
                      <w:highlight w:val="none"/>
                    </w:rPr>
                  </w:pPr>
                </w:p>
              </w:tc>
              <w:tc>
                <w:tcPr>
                  <w:tcW w:w="603" w:type="pct"/>
                  <w:tcBorders>
                    <w:tl2br w:val="nil"/>
                    <w:tr2bl w:val="nil"/>
                  </w:tcBorders>
                  <w:vAlign w:val="center"/>
                </w:tcPr>
                <w:p>
                  <w:pPr>
                    <w:pStyle w:val="132"/>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w:t>
                  </w:r>
                </w:p>
              </w:tc>
              <w:tc>
                <w:tcPr>
                  <w:tcW w:w="3613" w:type="pct"/>
                  <w:gridSpan w:val="2"/>
                  <w:tcBorders>
                    <w:tl2br w:val="nil"/>
                    <w:tr2bl w:val="nil"/>
                  </w:tcBorders>
                  <w:vAlign w:val="center"/>
                </w:tcPr>
                <w:p>
                  <w:pPr>
                    <w:pStyle w:val="132"/>
                    <w:jc w:val="both"/>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废水由专用车辆外运至</w:t>
                  </w:r>
                  <w:r>
                    <w:rPr>
                      <w:rFonts w:hint="eastAsia"/>
                      <w:color w:val="000000" w:themeColor="text1"/>
                      <w:sz w:val="21"/>
                      <w:szCs w:val="21"/>
                      <w:highlight w:val="none"/>
                      <w:lang w:eastAsia="zh-CN"/>
                      <w14:textFill>
                        <w14:solidFill>
                          <w14:schemeClr w14:val="tx1"/>
                        </w14:solidFill>
                      </w14:textFill>
                    </w:rPr>
                    <w:t>双鸭山市四洁水处理有限责任公司（四洁污水处理厂）</w:t>
                  </w:r>
                  <w:r>
                    <w:rPr>
                      <w:color w:val="000000" w:themeColor="text1"/>
                      <w:sz w:val="21"/>
                      <w:szCs w:val="21"/>
                      <w:highlight w:val="none"/>
                      <w14:textFill>
                        <w14:solidFill>
                          <w14:schemeClr w14:val="tx1"/>
                        </w14:solidFill>
                      </w14:textFill>
                    </w:rPr>
                    <w:t>处理。</w:t>
                  </w:r>
                  <w:r>
                    <w:rPr>
                      <w:rFonts w:hint="eastAsia"/>
                      <w:color w:val="000000" w:themeColor="text1"/>
                      <w:sz w:val="21"/>
                      <w:szCs w:val="21"/>
                      <w:highlight w:val="none"/>
                      <w:lang w:eastAsia="zh-CN"/>
                      <w14:textFill>
                        <w14:solidFill>
                          <w14:schemeClr w14:val="tx1"/>
                        </w14:solidFill>
                      </w14:textFill>
                    </w:rPr>
                    <w:t>双鸭山市四洁水处理有限责任公司（四洁污水处理厂）</w:t>
                  </w:r>
                  <w:r>
                    <w:rPr>
                      <w:color w:val="000000" w:themeColor="text1"/>
                      <w:sz w:val="21"/>
                      <w:szCs w:val="21"/>
                      <w:highlight w:val="none"/>
                      <w14:textFill>
                        <w14:solidFill>
                          <w14:schemeClr w14:val="tx1"/>
                        </w14:solidFill>
                      </w14:textFill>
                    </w:rPr>
                    <w:t>位于</w:t>
                  </w:r>
                  <w:r>
                    <w:rPr>
                      <w:rFonts w:hint="eastAsia"/>
                      <w:color w:val="000000" w:themeColor="text1"/>
                      <w:sz w:val="21"/>
                      <w:szCs w:val="21"/>
                      <w:highlight w:val="none"/>
                      <w14:textFill>
                        <w14:solidFill>
                          <w14:schemeClr w14:val="tx1"/>
                        </w14:solidFill>
                      </w14:textFill>
                    </w:rPr>
                    <w:t>双鸭山市四方台区</w:t>
                  </w:r>
                  <w:r>
                    <w:rPr>
                      <w:color w:val="000000" w:themeColor="text1"/>
                      <w:sz w:val="21"/>
                      <w:szCs w:val="21"/>
                      <w:highlight w:val="none"/>
                      <w14:textFill>
                        <w14:solidFill>
                          <w14:schemeClr w14:val="tx1"/>
                        </w14:solidFill>
                      </w14:textFill>
                    </w:rPr>
                    <w:t>，处理规模</w:t>
                  </w:r>
                  <w:r>
                    <w:rPr>
                      <w:rFonts w:hint="eastAsia"/>
                      <w:color w:val="000000" w:themeColor="text1"/>
                      <w:sz w:val="21"/>
                      <w:szCs w:val="21"/>
                      <w:highlight w:val="none"/>
                      <w14:textFill>
                        <w14:solidFill>
                          <w14:schemeClr w14:val="tx1"/>
                        </w14:solidFill>
                      </w14:textFill>
                    </w:rPr>
                    <w:t>10</w:t>
                  </w:r>
                  <w:r>
                    <w:rPr>
                      <w:color w:val="000000" w:themeColor="text1"/>
                      <w:sz w:val="21"/>
                      <w:szCs w:val="21"/>
                      <w:highlight w:val="none"/>
                      <w14:textFill>
                        <w14:solidFill>
                          <w14:schemeClr w14:val="tx1"/>
                        </w14:solidFill>
                      </w14:textFill>
                    </w:rPr>
                    <w:t>000m</w:t>
                  </w:r>
                  <w:r>
                    <w:rPr>
                      <w:color w:val="000000" w:themeColor="text1"/>
                      <w:sz w:val="21"/>
                      <w:szCs w:val="21"/>
                      <w:highlight w:val="none"/>
                      <w:vertAlign w:val="superscript"/>
                      <w14:textFill>
                        <w14:solidFill>
                          <w14:schemeClr w14:val="tx1"/>
                        </w14:solidFill>
                      </w14:textFill>
                    </w:rPr>
                    <w:t>3</w:t>
                  </w:r>
                  <w:r>
                    <w:rPr>
                      <w:color w:val="000000" w:themeColor="text1"/>
                      <w:sz w:val="21"/>
                      <w:szCs w:val="21"/>
                      <w:highlight w:val="none"/>
                      <w14:textFill>
                        <w14:solidFill>
                          <w14:schemeClr w14:val="tx1"/>
                        </w14:solidFill>
                      </w14:textFill>
                    </w:rPr>
                    <w:t>/d；采用“进水→粗格栅及提升泵站→细格栅及旋流沉砂池→</w:t>
                  </w:r>
                  <w:r>
                    <w:rPr>
                      <w:rFonts w:hint="eastAsia"/>
                      <w:color w:val="000000" w:themeColor="text1"/>
                      <w:sz w:val="21"/>
                      <w:szCs w:val="21"/>
                      <w:highlight w:val="none"/>
                      <w14:textFill>
                        <w14:solidFill>
                          <w14:schemeClr w14:val="tx1"/>
                        </w14:solidFill>
                      </w14:textFill>
                    </w:rPr>
                    <w:t>调节池</w:t>
                  </w:r>
                  <w:r>
                    <w:rPr>
                      <w:color w:val="000000" w:themeColor="text1"/>
                      <w:sz w:val="21"/>
                      <w:szCs w:val="21"/>
                      <w:highlight w:val="none"/>
                      <w14:textFill>
                        <w14:solidFill>
                          <w14:schemeClr w14:val="tx1"/>
                        </w14:solidFill>
                      </w14:textFill>
                    </w:rPr>
                    <w:t>→A</w:t>
                  </w:r>
                  <w:r>
                    <w:rPr>
                      <w:rFonts w:hint="eastAsia"/>
                      <w:color w:val="000000" w:themeColor="text1"/>
                      <w:sz w:val="21"/>
                      <w:szCs w:val="21"/>
                      <w:highlight w:val="none"/>
                      <w14:textFill>
                        <w14:solidFill>
                          <w14:schemeClr w14:val="tx1"/>
                        </w14:solidFill>
                      </w14:textFill>
                    </w:rPr>
                    <w:t>2</w:t>
                  </w:r>
                  <w:r>
                    <w:rPr>
                      <w:color w:val="000000" w:themeColor="text1"/>
                      <w:sz w:val="21"/>
                      <w:szCs w:val="21"/>
                      <w:highlight w:val="none"/>
                      <w14:textFill>
                        <w14:solidFill>
                          <w14:schemeClr w14:val="tx1"/>
                        </w14:solidFill>
                      </w14:textFill>
                    </w:rPr>
                    <w:t>/O</w:t>
                  </w:r>
                  <w:r>
                    <w:rPr>
                      <w:rFonts w:hint="eastAsia"/>
                      <w:color w:val="000000" w:themeColor="text1"/>
                      <w:sz w:val="21"/>
                      <w:szCs w:val="21"/>
                      <w:highlight w:val="none"/>
                      <w14:textFill>
                        <w14:solidFill>
                          <w14:schemeClr w14:val="tx1"/>
                        </w14:solidFill>
                      </w14:textFill>
                    </w:rPr>
                    <w:t>反应池</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14:textFill>
                        <w14:solidFill>
                          <w14:schemeClr w14:val="tx1"/>
                        </w14:solidFill>
                      </w14:textFill>
                    </w:rPr>
                    <w:t>二沉池</w:t>
                  </w:r>
                  <w:r>
                    <w:rPr>
                      <w:color w:val="000000" w:themeColor="text1"/>
                      <w:sz w:val="21"/>
                      <w:szCs w:val="21"/>
                      <w:highlight w:val="none"/>
                      <w14:textFill>
                        <w14:solidFill>
                          <w14:schemeClr w14:val="tx1"/>
                        </w14:solidFill>
                      </w14:textFill>
                    </w:rPr>
                    <w:t>→二次提升泵站及污泥泵站→</w:t>
                  </w:r>
                  <w:r>
                    <w:rPr>
                      <w:rFonts w:hint="eastAsia"/>
                      <w:color w:val="000000" w:themeColor="text1"/>
                      <w:sz w:val="21"/>
                      <w:szCs w:val="21"/>
                      <w:highlight w:val="none"/>
                      <w14:textFill>
                        <w14:solidFill>
                          <w14:schemeClr w14:val="tx1"/>
                        </w14:solidFill>
                      </w14:textFill>
                    </w:rPr>
                    <w:t>絮凝沉淀池</w:t>
                  </w:r>
                  <w:r>
                    <w:rPr>
                      <w:color w:val="000000" w:themeColor="text1"/>
                      <w:sz w:val="21"/>
                      <w:szCs w:val="21"/>
                      <w:highlight w:val="none"/>
                      <w14:textFill>
                        <w14:solidFill>
                          <w14:schemeClr w14:val="tx1"/>
                        </w14:solidFill>
                      </w14:textFill>
                    </w:rPr>
                    <w:t>→紫外消毒”处理工艺，污水处理厂设计进水水质为COD≤315mg/L、BOD≤190mg/L、SS≤225mg/L、NH</w:t>
                  </w:r>
                  <w:r>
                    <w:rPr>
                      <w:color w:val="000000" w:themeColor="text1"/>
                      <w:sz w:val="21"/>
                      <w:szCs w:val="21"/>
                      <w:highlight w:val="none"/>
                      <w:vertAlign w:val="subscript"/>
                      <w14:textFill>
                        <w14:solidFill>
                          <w14:schemeClr w14:val="tx1"/>
                        </w14:solidFill>
                      </w14:textFill>
                    </w:rPr>
                    <w:t>3</w:t>
                  </w:r>
                  <w:r>
                    <w:rPr>
                      <w:color w:val="000000" w:themeColor="text1"/>
                      <w:sz w:val="21"/>
                      <w:szCs w:val="21"/>
                      <w:highlight w:val="none"/>
                      <w14:textFill>
                        <w14:solidFill>
                          <w14:schemeClr w14:val="tx1"/>
                        </w14:solidFill>
                      </w14:textFill>
                    </w:rPr>
                    <w:t>-N≤25mg/L、TN≤4.0mg/L、TP≤40mg/L；出水执行《城镇污水处理厂污染物排放标准》（GB18918-2002）一级A标准。本项目污水产生量为</w:t>
                  </w:r>
                  <w:r>
                    <w:rPr>
                      <w:rFonts w:hint="eastAsia"/>
                      <w:color w:val="000000" w:themeColor="text1"/>
                      <w:sz w:val="21"/>
                      <w:szCs w:val="21"/>
                      <w:highlight w:val="none"/>
                      <w14:textFill>
                        <w14:solidFill>
                          <w14:schemeClr w14:val="tx1"/>
                        </w14:solidFill>
                      </w14:textFill>
                    </w:rPr>
                    <w:t>2.81</w:t>
                  </w:r>
                  <w:r>
                    <w:rPr>
                      <w:color w:val="000000" w:themeColor="text1"/>
                      <w:sz w:val="21"/>
                      <w:szCs w:val="21"/>
                      <w:highlight w:val="none"/>
                      <w14:textFill>
                        <w14:solidFill>
                          <w14:schemeClr w14:val="tx1"/>
                        </w14:solidFill>
                      </w14:textFill>
                    </w:rPr>
                    <w:t>t/d，</w:t>
                  </w:r>
                  <w:r>
                    <w:rPr>
                      <w:rFonts w:hint="eastAsia"/>
                      <w:color w:val="000000" w:themeColor="text1"/>
                      <w:sz w:val="21"/>
                      <w:szCs w:val="21"/>
                      <w:highlight w:val="none"/>
                      <w14:textFill>
                        <w14:solidFill>
                          <w14:schemeClr w14:val="tx1"/>
                        </w14:solidFill>
                      </w14:textFill>
                    </w:rPr>
                    <w:t>337.6</w:t>
                  </w:r>
                  <w:r>
                    <w:rPr>
                      <w:color w:val="000000" w:themeColor="text1"/>
                      <w:sz w:val="21"/>
                      <w:szCs w:val="21"/>
                      <w:highlight w:val="none"/>
                      <w14:textFill>
                        <w14:solidFill>
                          <w14:schemeClr w14:val="tx1"/>
                        </w14:solidFill>
                      </w14:textFill>
                    </w:rPr>
                    <w:t>t/a，仅占</w:t>
                  </w:r>
                  <w:r>
                    <w:rPr>
                      <w:rFonts w:hint="eastAsia"/>
                      <w:color w:val="000000" w:themeColor="text1"/>
                      <w:sz w:val="21"/>
                      <w:szCs w:val="21"/>
                      <w:highlight w:val="none"/>
                      <w:lang w:eastAsia="zh-CN"/>
                      <w14:textFill>
                        <w14:solidFill>
                          <w14:schemeClr w14:val="tx1"/>
                        </w14:solidFill>
                      </w14:textFill>
                    </w:rPr>
                    <w:t>双鸭山市四洁水处理有限责任公司（四洁污水处理厂）</w:t>
                  </w:r>
                  <w:r>
                    <w:rPr>
                      <w:color w:val="000000" w:themeColor="text1"/>
                      <w:sz w:val="21"/>
                      <w:szCs w:val="21"/>
                      <w:highlight w:val="none"/>
                      <w14:textFill>
                        <w14:solidFill>
                          <w14:schemeClr w14:val="tx1"/>
                        </w14:solidFill>
                      </w14:textFill>
                    </w:rPr>
                    <w:t>日处理能力（</w:t>
                  </w:r>
                  <w:r>
                    <w:rPr>
                      <w:rFonts w:hint="eastAsia"/>
                      <w:color w:val="000000" w:themeColor="text1"/>
                      <w:sz w:val="21"/>
                      <w:szCs w:val="21"/>
                      <w:highlight w:val="none"/>
                      <w14:textFill>
                        <w14:solidFill>
                          <w14:schemeClr w14:val="tx1"/>
                        </w14:solidFill>
                      </w14:textFill>
                    </w:rPr>
                    <w:t>1</w:t>
                  </w:r>
                  <w:r>
                    <w:rPr>
                      <w:color w:val="000000" w:themeColor="text1"/>
                      <w:sz w:val="21"/>
                      <w:szCs w:val="21"/>
                      <w:highlight w:val="none"/>
                      <w14:textFill>
                        <w14:solidFill>
                          <w14:schemeClr w14:val="tx1"/>
                        </w14:solidFill>
                      </w14:textFill>
                    </w:rPr>
                    <w:t>万立方米/日）的</w:t>
                  </w:r>
                  <w:r>
                    <w:rPr>
                      <w:rFonts w:hint="eastAsia"/>
                      <w:color w:val="000000" w:themeColor="text1"/>
                      <w:sz w:val="21"/>
                      <w:szCs w:val="21"/>
                      <w:highlight w:val="none"/>
                      <w14:textFill>
                        <w14:solidFill>
                          <w14:schemeClr w14:val="tx1"/>
                        </w14:solidFill>
                      </w14:textFill>
                    </w:rPr>
                    <w:t>0.00281</w:t>
                  </w:r>
                  <w:r>
                    <w:rPr>
                      <w:color w:val="000000" w:themeColor="text1"/>
                      <w:sz w:val="21"/>
                      <w:szCs w:val="21"/>
                      <w:highlight w:val="none"/>
                      <w14:textFill>
                        <w14:solidFill>
                          <w14:schemeClr w14:val="tx1"/>
                        </w14:solidFill>
                      </w14:textFill>
                    </w:rPr>
                    <w:t>%。本项目达标排放的废水不会对</w:t>
                  </w:r>
                  <w:r>
                    <w:rPr>
                      <w:rFonts w:hint="eastAsia"/>
                      <w:color w:val="000000" w:themeColor="text1"/>
                      <w:sz w:val="21"/>
                      <w:szCs w:val="21"/>
                      <w:highlight w:val="none"/>
                      <w:lang w:eastAsia="zh-CN"/>
                      <w14:textFill>
                        <w14:solidFill>
                          <w14:schemeClr w14:val="tx1"/>
                        </w14:solidFill>
                      </w14:textFill>
                    </w:rPr>
                    <w:t>双鸭山市四洁水处理有限责任公司（四洁污水处理厂）</w:t>
                  </w:r>
                  <w:r>
                    <w:rPr>
                      <w:color w:val="000000" w:themeColor="text1"/>
                      <w:sz w:val="21"/>
                      <w:szCs w:val="21"/>
                      <w:highlight w:val="none"/>
                      <w14:textFill>
                        <w14:solidFill>
                          <w14:schemeClr w14:val="tx1"/>
                        </w14:solidFill>
                      </w14:textFill>
                    </w:rPr>
                    <w:t>产生较大影响，废水满足</w:t>
                  </w:r>
                  <w:r>
                    <w:rPr>
                      <w:rFonts w:hint="eastAsia"/>
                      <w:color w:val="000000" w:themeColor="text1"/>
                      <w:sz w:val="21"/>
                      <w:szCs w:val="21"/>
                      <w:highlight w:val="none"/>
                      <w:lang w:eastAsia="zh-CN"/>
                      <w14:textFill>
                        <w14:solidFill>
                          <w14:schemeClr w14:val="tx1"/>
                        </w14:solidFill>
                      </w14:textFill>
                    </w:rPr>
                    <w:t>双鸭山市四洁水处理有限责任公司（四洁污水处理厂）</w:t>
                  </w:r>
                  <w:r>
                    <w:rPr>
                      <w:color w:val="000000" w:themeColor="text1"/>
                      <w:sz w:val="21"/>
                      <w:szCs w:val="21"/>
                      <w:highlight w:val="none"/>
                      <w14:textFill>
                        <w14:solidFill>
                          <w14:schemeClr w14:val="tx1"/>
                        </w14:solidFill>
                      </w14:textFill>
                    </w:rPr>
                    <w:t>进水水质要求，本项目采用专用车辆将废水运至</w:t>
                  </w:r>
                  <w:r>
                    <w:rPr>
                      <w:rFonts w:hint="eastAsia"/>
                      <w:color w:val="000000" w:themeColor="text1"/>
                      <w:sz w:val="21"/>
                      <w:szCs w:val="21"/>
                      <w:highlight w:val="none"/>
                      <w:lang w:eastAsia="zh-CN"/>
                      <w14:textFill>
                        <w14:solidFill>
                          <w14:schemeClr w14:val="tx1"/>
                        </w14:solidFill>
                      </w14:textFill>
                    </w:rPr>
                    <w:t>双鸭山市四洁水处理有限责任公司（四洁污水处理厂）</w:t>
                  </w:r>
                  <w:r>
                    <w:rPr>
                      <w:color w:val="000000" w:themeColor="text1"/>
                      <w:sz w:val="21"/>
                      <w:szCs w:val="21"/>
                      <w:highlight w:val="none"/>
                      <w14:textFill>
                        <w14:solidFill>
                          <w14:schemeClr w14:val="tx1"/>
                        </w14:solidFill>
                      </w14:textFill>
                    </w:rPr>
                    <w:t>，</w:t>
                  </w:r>
                  <w:r>
                    <w:rPr>
                      <w:rFonts w:hint="eastAsia"/>
                      <w:color w:val="000000" w:themeColor="text1"/>
                      <w:sz w:val="21"/>
                      <w:szCs w:val="21"/>
                      <w:highlight w:val="none"/>
                      <w:lang w:eastAsia="zh-CN"/>
                      <w14:textFill>
                        <w14:solidFill>
                          <w14:schemeClr w14:val="tx1"/>
                        </w14:solidFill>
                      </w14:textFill>
                    </w:rPr>
                    <w:t>双鸭山市四洁水处理有限责任公司（四洁污水处理厂）</w:t>
                  </w:r>
                  <w:r>
                    <w:rPr>
                      <w:color w:val="000000" w:themeColor="text1"/>
                      <w:sz w:val="21"/>
                      <w:szCs w:val="21"/>
                      <w:highlight w:val="none"/>
                      <w14:textFill>
                        <w14:solidFill>
                          <w14:schemeClr w14:val="tx1"/>
                        </w14:solidFill>
                      </w14:textFill>
                    </w:rPr>
                    <w:t>与本项目距离较近，拉运可行。</w:t>
                  </w:r>
                </w:p>
              </w:tc>
              <w:tc>
                <w:tcPr>
                  <w:tcW w:w="403" w:type="pct"/>
                  <w:tcBorders>
                    <w:tl2br w:val="nil"/>
                    <w:tr2bl w:val="nil"/>
                  </w:tcBorders>
                  <w:vAlign w:val="center"/>
                </w:tcPr>
                <w:p>
                  <w:pPr>
                    <w:pStyle w:val="132"/>
                    <w:rPr>
                      <w:sz w:val="21"/>
                      <w:szCs w:val="21"/>
                      <w:highlight w:val="none"/>
                    </w:rPr>
                  </w:pPr>
                  <w:r>
                    <w:rPr>
                      <w:sz w:val="21"/>
                      <w:szCs w:val="21"/>
                      <w:highlight w:val="none"/>
                    </w:rPr>
                    <w:t>依托</w:t>
                  </w:r>
                </w:p>
              </w:tc>
            </w:tr>
          </w:tbl>
          <w:p>
            <w:pPr>
              <w:autoSpaceDE w:val="0"/>
              <w:autoSpaceDN w:val="0"/>
              <w:adjustRightInd w:val="0"/>
              <w:spacing w:line="360" w:lineRule="auto"/>
              <w:rPr>
                <w:sz w:val="24"/>
                <w:highlight w:val="none"/>
              </w:rPr>
            </w:pPr>
            <w:r>
              <w:rPr>
                <w:rFonts w:hint="eastAsia"/>
                <w:b/>
                <w:bCs/>
                <w:sz w:val="24"/>
                <w:highlight w:val="none"/>
              </w:rPr>
              <w:t>2</w:t>
            </w:r>
            <w:r>
              <w:rPr>
                <w:b/>
                <w:bCs/>
                <w:sz w:val="24"/>
                <w:highlight w:val="none"/>
              </w:rPr>
              <w:t>、主要设备</w:t>
            </w:r>
          </w:p>
          <w:p>
            <w:pPr>
              <w:autoSpaceDE w:val="0"/>
              <w:autoSpaceDN w:val="0"/>
              <w:adjustRightInd w:val="0"/>
              <w:spacing w:line="360" w:lineRule="auto"/>
              <w:ind w:firstLine="480" w:firstLineChars="200"/>
              <w:rPr>
                <w:sz w:val="24"/>
                <w:highlight w:val="none"/>
              </w:rPr>
            </w:pPr>
            <w:r>
              <w:rPr>
                <w:sz w:val="24"/>
                <w:highlight w:val="none"/>
              </w:rPr>
              <w:t>本项目主要设备清单见下表2-2。</w:t>
            </w:r>
          </w:p>
          <w:p>
            <w:pPr>
              <w:adjustRightInd w:val="0"/>
              <w:snapToGrid w:val="0"/>
              <w:jc w:val="center"/>
              <w:rPr>
                <w:b/>
                <w:bCs/>
                <w:szCs w:val="21"/>
                <w:highlight w:val="none"/>
              </w:rPr>
            </w:pPr>
            <w:r>
              <w:rPr>
                <w:b/>
                <w:bCs/>
                <w:szCs w:val="21"/>
                <w:highlight w:val="none"/>
              </w:rPr>
              <w:t>表2-2设备明细一览表</w:t>
            </w:r>
          </w:p>
          <w:tbl>
            <w:tblPr>
              <w:tblStyle w:val="29"/>
              <w:tblW w:w="849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4157"/>
              <w:gridCol w:w="1091"/>
              <w:gridCol w:w="20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1214" w:type="dxa"/>
                  <w:vAlign w:val="center"/>
                </w:tcPr>
                <w:p>
                  <w:pPr>
                    <w:jc w:val="center"/>
                    <w:rPr>
                      <w:rStyle w:val="107"/>
                      <w:szCs w:val="21"/>
                      <w:highlight w:val="none"/>
                    </w:rPr>
                  </w:pPr>
                  <w:r>
                    <w:rPr>
                      <w:rStyle w:val="107"/>
                      <w:szCs w:val="21"/>
                      <w:highlight w:val="none"/>
                    </w:rPr>
                    <w:t>序号</w:t>
                  </w:r>
                </w:p>
              </w:tc>
              <w:tc>
                <w:tcPr>
                  <w:tcW w:w="4157" w:type="dxa"/>
                  <w:vAlign w:val="center"/>
                </w:tcPr>
                <w:p>
                  <w:pPr>
                    <w:jc w:val="center"/>
                    <w:rPr>
                      <w:rStyle w:val="107"/>
                      <w:szCs w:val="21"/>
                      <w:highlight w:val="none"/>
                    </w:rPr>
                  </w:pPr>
                  <w:r>
                    <w:rPr>
                      <w:rStyle w:val="107"/>
                      <w:szCs w:val="21"/>
                      <w:highlight w:val="none"/>
                    </w:rPr>
                    <w:t>名称</w:t>
                  </w:r>
                </w:p>
              </w:tc>
              <w:tc>
                <w:tcPr>
                  <w:tcW w:w="1091" w:type="dxa"/>
                  <w:vAlign w:val="center"/>
                </w:tcPr>
                <w:p>
                  <w:pPr>
                    <w:jc w:val="center"/>
                    <w:rPr>
                      <w:rStyle w:val="107"/>
                      <w:szCs w:val="21"/>
                      <w:highlight w:val="none"/>
                    </w:rPr>
                  </w:pPr>
                  <w:r>
                    <w:rPr>
                      <w:rStyle w:val="107"/>
                      <w:rFonts w:hint="eastAsia"/>
                      <w:szCs w:val="21"/>
                      <w:highlight w:val="none"/>
                    </w:rPr>
                    <w:t>数量</w:t>
                  </w:r>
                </w:p>
              </w:tc>
              <w:tc>
                <w:tcPr>
                  <w:tcW w:w="2035" w:type="dxa"/>
                  <w:vAlign w:val="center"/>
                </w:tcPr>
                <w:p>
                  <w:pPr>
                    <w:jc w:val="center"/>
                    <w:rPr>
                      <w:rStyle w:val="107"/>
                      <w:szCs w:val="21"/>
                      <w:highlight w:val="none"/>
                    </w:rPr>
                  </w:pPr>
                  <w:r>
                    <w:rPr>
                      <w:rStyle w:val="107"/>
                      <w:rFonts w:hint="eastAsia"/>
                      <w:szCs w:val="21"/>
                      <w:highlight w:val="none"/>
                    </w:rPr>
                    <w:t>型号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214" w:type="dxa"/>
                  <w:vAlign w:val="center"/>
                </w:tcPr>
                <w:p>
                  <w:pPr>
                    <w:jc w:val="center"/>
                    <w:rPr>
                      <w:rStyle w:val="107"/>
                      <w:szCs w:val="21"/>
                      <w:highlight w:val="none"/>
                    </w:rPr>
                  </w:pPr>
                  <w:r>
                    <w:rPr>
                      <w:rStyle w:val="107"/>
                      <w:szCs w:val="21"/>
                      <w:highlight w:val="none"/>
                    </w:rPr>
                    <w:t>1</w:t>
                  </w:r>
                </w:p>
              </w:tc>
              <w:tc>
                <w:tcPr>
                  <w:tcW w:w="4157" w:type="dxa"/>
                  <w:vAlign w:val="center"/>
                </w:tcPr>
                <w:p>
                  <w:pPr>
                    <w:jc w:val="center"/>
                    <w:rPr>
                      <w:rStyle w:val="107"/>
                      <w:szCs w:val="21"/>
                      <w:highlight w:val="none"/>
                    </w:rPr>
                  </w:pPr>
                  <w:r>
                    <w:rPr>
                      <w:rStyle w:val="107"/>
                      <w:szCs w:val="21"/>
                      <w:highlight w:val="none"/>
                    </w:rPr>
                    <w:t>三项高压变压器</w:t>
                  </w:r>
                </w:p>
              </w:tc>
              <w:tc>
                <w:tcPr>
                  <w:tcW w:w="1091" w:type="dxa"/>
                  <w:vAlign w:val="center"/>
                </w:tcPr>
                <w:p>
                  <w:pPr>
                    <w:jc w:val="center"/>
                    <w:rPr>
                      <w:rStyle w:val="107"/>
                      <w:szCs w:val="21"/>
                      <w:highlight w:val="none"/>
                    </w:rPr>
                  </w:pPr>
                  <w:r>
                    <w:rPr>
                      <w:rStyle w:val="107"/>
                      <w:rFonts w:hint="eastAsia"/>
                      <w:szCs w:val="21"/>
                      <w:highlight w:val="none"/>
                    </w:rPr>
                    <w:t>1</w:t>
                  </w:r>
                </w:p>
              </w:tc>
              <w:tc>
                <w:tcPr>
                  <w:tcW w:w="2035" w:type="dxa"/>
                  <w:vAlign w:val="center"/>
                </w:tcPr>
                <w:p>
                  <w:pPr>
                    <w:jc w:val="center"/>
                    <w:rPr>
                      <w:rStyle w:val="107"/>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2</w:t>
                  </w:r>
                </w:p>
              </w:tc>
              <w:tc>
                <w:tcPr>
                  <w:tcW w:w="4157" w:type="dxa"/>
                  <w:vAlign w:val="center"/>
                </w:tcPr>
                <w:p>
                  <w:pPr>
                    <w:jc w:val="center"/>
                    <w:rPr>
                      <w:rStyle w:val="107"/>
                      <w:szCs w:val="21"/>
                      <w:highlight w:val="none"/>
                    </w:rPr>
                  </w:pPr>
                  <w:r>
                    <w:rPr>
                      <w:rStyle w:val="107"/>
                      <w:rFonts w:hint="eastAsia"/>
                      <w:szCs w:val="21"/>
                      <w:highlight w:val="none"/>
                    </w:rPr>
                    <w:t>玉米扒皮机</w:t>
                  </w:r>
                </w:p>
              </w:tc>
              <w:tc>
                <w:tcPr>
                  <w:tcW w:w="1091" w:type="dxa"/>
                  <w:vAlign w:val="center"/>
                </w:tcPr>
                <w:p>
                  <w:pPr>
                    <w:jc w:val="center"/>
                    <w:rPr>
                      <w:rStyle w:val="107"/>
                      <w:szCs w:val="21"/>
                      <w:highlight w:val="none"/>
                    </w:rPr>
                  </w:pPr>
                  <w:r>
                    <w:rPr>
                      <w:rStyle w:val="107"/>
                      <w:rFonts w:hint="eastAsia"/>
                      <w:szCs w:val="21"/>
                      <w:highlight w:val="none"/>
                    </w:rPr>
                    <w:t>1台</w:t>
                  </w:r>
                </w:p>
              </w:tc>
              <w:tc>
                <w:tcPr>
                  <w:tcW w:w="2035" w:type="dxa"/>
                  <w:vAlign w:val="center"/>
                </w:tcPr>
                <w:p>
                  <w:pPr>
                    <w:jc w:val="center"/>
                    <w:rPr>
                      <w:rStyle w:val="107"/>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3</w:t>
                  </w:r>
                </w:p>
              </w:tc>
              <w:tc>
                <w:tcPr>
                  <w:tcW w:w="4157" w:type="dxa"/>
                  <w:vAlign w:val="center"/>
                </w:tcPr>
                <w:p>
                  <w:pPr>
                    <w:jc w:val="center"/>
                    <w:rPr>
                      <w:rStyle w:val="107"/>
                      <w:szCs w:val="21"/>
                      <w:highlight w:val="none"/>
                    </w:rPr>
                  </w:pPr>
                  <w:r>
                    <w:rPr>
                      <w:rStyle w:val="107"/>
                      <w:rFonts w:hint="eastAsia"/>
                      <w:szCs w:val="21"/>
                      <w:highlight w:val="none"/>
                    </w:rPr>
                    <w:t>包装机</w:t>
                  </w:r>
                </w:p>
              </w:tc>
              <w:tc>
                <w:tcPr>
                  <w:tcW w:w="1091" w:type="dxa"/>
                  <w:vAlign w:val="center"/>
                </w:tcPr>
                <w:p>
                  <w:pPr>
                    <w:jc w:val="center"/>
                    <w:rPr>
                      <w:rStyle w:val="107"/>
                      <w:szCs w:val="21"/>
                      <w:highlight w:val="none"/>
                    </w:rPr>
                  </w:pPr>
                  <w:r>
                    <w:rPr>
                      <w:rStyle w:val="107"/>
                      <w:rFonts w:hint="eastAsia"/>
                      <w:szCs w:val="21"/>
                      <w:highlight w:val="none"/>
                    </w:rPr>
                    <w:t>1台</w:t>
                  </w:r>
                </w:p>
              </w:tc>
              <w:tc>
                <w:tcPr>
                  <w:tcW w:w="2035" w:type="dxa"/>
                  <w:vAlign w:val="center"/>
                </w:tcPr>
                <w:p>
                  <w:pPr>
                    <w:jc w:val="center"/>
                    <w:rPr>
                      <w:rStyle w:val="107"/>
                      <w:szCs w:val="21"/>
                      <w:highlight w:val="none"/>
                    </w:rPr>
                  </w:pPr>
                  <w:r>
                    <w:rPr>
                      <w:rStyle w:val="107"/>
                      <w:rFonts w:hint="eastAsia"/>
                      <w:szCs w:val="21"/>
                      <w:highlight w:val="none"/>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1214" w:type="dxa"/>
                  <w:vAlign w:val="center"/>
                </w:tcPr>
                <w:p>
                  <w:pPr>
                    <w:jc w:val="center"/>
                    <w:rPr>
                      <w:rStyle w:val="107"/>
                      <w:szCs w:val="21"/>
                      <w:highlight w:val="none"/>
                    </w:rPr>
                  </w:pPr>
                  <w:r>
                    <w:rPr>
                      <w:rStyle w:val="107"/>
                      <w:rFonts w:hint="eastAsia"/>
                      <w:szCs w:val="21"/>
                      <w:highlight w:val="none"/>
                    </w:rPr>
                    <w:t>4</w:t>
                  </w:r>
                </w:p>
              </w:tc>
              <w:tc>
                <w:tcPr>
                  <w:tcW w:w="4157" w:type="dxa"/>
                  <w:vAlign w:val="center"/>
                </w:tcPr>
                <w:p>
                  <w:pPr>
                    <w:jc w:val="center"/>
                    <w:rPr>
                      <w:rStyle w:val="107"/>
                      <w:szCs w:val="21"/>
                      <w:highlight w:val="none"/>
                    </w:rPr>
                  </w:pPr>
                  <w:r>
                    <w:rPr>
                      <w:rStyle w:val="107"/>
                      <w:rFonts w:hint="eastAsia"/>
                      <w:szCs w:val="21"/>
                      <w:highlight w:val="none"/>
                    </w:rPr>
                    <w:t>切头去尾分等一体机</w:t>
                  </w:r>
                </w:p>
              </w:tc>
              <w:tc>
                <w:tcPr>
                  <w:tcW w:w="1091" w:type="dxa"/>
                  <w:vAlign w:val="center"/>
                </w:tcPr>
                <w:p>
                  <w:pPr>
                    <w:jc w:val="center"/>
                    <w:rPr>
                      <w:rStyle w:val="107"/>
                      <w:szCs w:val="21"/>
                      <w:highlight w:val="none"/>
                    </w:rPr>
                  </w:pPr>
                  <w:r>
                    <w:rPr>
                      <w:rStyle w:val="107"/>
                      <w:rFonts w:hint="eastAsia"/>
                      <w:szCs w:val="21"/>
                      <w:highlight w:val="none"/>
                    </w:rPr>
                    <w:t>1套</w:t>
                  </w:r>
                </w:p>
              </w:tc>
              <w:tc>
                <w:tcPr>
                  <w:tcW w:w="2035" w:type="dxa"/>
                  <w:vAlign w:val="center"/>
                </w:tcPr>
                <w:p>
                  <w:pPr>
                    <w:jc w:val="center"/>
                    <w:rPr>
                      <w:rStyle w:val="107"/>
                      <w:szCs w:val="21"/>
                      <w:highlight w:val="none"/>
                    </w:rPr>
                  </w:pPr>
                  <w:r>
                    <w:rPr>
                      <w:rStyle w:val="107"/>
                      <w:rFonts w:hint="eastAsia"/>
                      <w:szCs w:val="21"/>
                      <w:highlight w:val="none"/>
                    </w:rPr>
                    <w:t>9200*1400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5</w:t>
                  </w:r>
                </w:p>
              </w:tc>
              <w:tc>
                <w:tcPr>
                  <w:tcW w:w="4157" w:type="dxa"/>
                  <w:vAlign w:val="center"/>
                </w:tcPr>
                <w:p>
                  <w:pPr>
                    <w:jc w:val="center"/>
                    <w:rPr>
                      <w:rStyle w:val="107"/>
                      <w:szCs w:val="21"/>
                      <w:highlight w:val="none"/>
                    </w:rPr>
                  </w:pPr>
                  <w:r>
                    <w:rPr>
                      <w:rStyle w:val="107"/>
                      <w:rFonts w:hint="eastAsia"/>
                      <w:szCs w:val="21"/>
                      <w:highlight w:val="none"/>
                    </w:rPr>
                    <w:t>玉米棒提升机</w:t>
                  </w:r>
                </w:p>
              </w:tc>
              <w:tc>
                <w:tcPr>
                  <w:tcW w:w="1091" w:type="dxa"/>
                  <w:vAlign w:val="center"/>
                </w:tcPr>
                <w:p>
                  <w:pPr>
                    <w:jc w:val="center"/>
                    <w:rPr>
                      <w:rStyle w:val="107"/>
                      <w:szCs w:val="21"/>
                      <w:highlight w:val="none"/>
                    </w:rPr>
                  </w:pPr>
                  <w:r>
                    <w:rPr>
                      <w:rStyle w:val="107"/>
                      <w:rFonts w:hint="eastAsia"/>
                      <w:szCs w:val="21"/>
                      <w:highlight w:val="none"/>
                    </w:rPr>
                    <w:t>1套</w:t>
                  </w:r>
                </w:p>
              </w:tc>
              <w:tc>
                <w:tcPr>
                  <w:tcW w:w="2035" w:type="dxa"/>
                  <w:vAlign w:val="center"/>
                </w:tcPr>
                <w:p>
                  <w:pPr>
                    <w:jc w:val="center"/>
                    <w:rPr>
                      <w:rStyle w:val="107"/>
                      <w:szCs w:val="21"/>
                      <w:highlight w:val="none"/>
                    </w:rPr>
                  </w:pPr>
                  <w:r>
                    <w:rPr>
                      <w:rStyle w:val="107"/>
                      <w:rFonts w:hint="eastAsia"/>
                      <w:szCs w:val="21"/>
                      <w:highlight w:val="none"/>
                    </w:rPr>
                    <w:t>2800*800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14" w:type="dxa"/>
                  <w:vAlign w:val="center"/>
                </w:tcPr>
                <w:p>
                  <w:pPr>
                    <w:jc w:val="center"/>
                    <w:rPr>
                      <w:rStyle w:val="107"/>
                      <w:szCs w:val="21"/>
                      <w:highlight w:val="none"/>
                    </w:rPr>
                  </w:pPr>
                  <w:r>
                    <w:rPr>
                      <w:rStyle w:val="107"/>
                      <w:rFonts w:hint="eastAsia"/>
                      <w:szCs w:val="21"/>
                      <w:highlight w:val="none"/>
                    </w:rPr>
                    <w:t>6</w:t>
                  </w:r>
                </w:p>
              </w:tc>
              <w:tc>
                <w:tcPr>
                  <w:tcW w:w="4157" w:type="dxa"/>
                  <w:vAlign w:val="center"/>
                </w:tcPr>
                <w:p>
                  <w:pPr>
                    <w:jc w:val="center"/>
                    <w:rPr>
                      <w:rStyle w:val="107"/>
                      <w:szCs w:val="21"/>
                      <w:highlight w:val="none"/>
                    </w:rPr>
                  </w:pPr>
                  <w:r>
                    <w:rPr>
                      <w:rStyle w:val="107"/>
                      <w:rFonts w:hint="eastAsia"/>
                      <w:szCs w:val="21"/>
                      <w:highlight w:val="none"/>
                    </w:rPr>
                    <w:t>高压滚杠清洗机</w:t>
                  </w:r>
                </w:p>
              </w:tc>
              <w:tc>
                <w:tcPr>
                  <w:tcW w:w="1091" w:type="dxa"/>
                  <w:vAlign w:val="center"/>
                </w:tcPr>
                <w:p>
                  <w:pPr>
                    <w:jc w:val="center"/>
                    <w:rPr>
                      <w:rStyle w:val="107"/>
                      <w:szCs w:val="21"/>
                      <w:highlight w:val="none"/>
                    </w:rPr>
                  </w:pPr>
                  <w:r>
                    <w:rPr>
                      <w:rStyle w:val="107"/>
                      <w:rFonts w:hint="eastAsia"/>
                      <w:szCs w:val="21"/>
                      <w:highlight w:val="none"/>
                    </w:rPr>
                    <w:t>1套</w:t>
                  </w:r>
                </w:p>
              </w:tc>
              <w:tc>
                <w:tcPr>
                  <w:tcW w:w="2035" w:type="dxa"/>
                  <w:vAlign w:val="center"/>
                </w:tcPr>
                <w:p>
                  <w:pPr>
                    <w:jc w:val="center"/>
                    <w:rPr>
                      <w:rStyle w:val="107"/>
                      <w:szCs w:val="21"/>
                      <w:highlight w:val="none"/>
                    </w:rPr>
                  </w:pPr>
                  <w:r>
                    <w:rPr>
                      <w:rStyle w:val="107"/>
                      <w:rFonts w:hint="eastAsia"/>
                      <w:szCs w:val="21"/>
                      <w:highlight w:val="none"/>
                    </w:rPr>
                    <w:t>8000*1000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7</w:t>
                  </w:r>
                </w:p>
              </w:tc>
              <w:tc>
                <w:tcPr>
                  <w:tcW w:w="4157" w:type="dxa"/>
                  <w:vAlign w:val="center"/>
                </w:tcPr>
                <w:p>
                  <w:pPr>
                    <w:jc w:val="center"/>
                    <w:rPr>
                      <w:rStyle w:val="107"/>
                      <w:szCs w:val="21"/>
                      <w:highlight w:val="none"/>
                    </w:rPr>
                  </w:pPr>
                  <w:r>
                    <w:rPr>
                      <w:rStyle w:val="107"/>
                      <w:rFonts w:hint="eastAsia"/>
                      <w:szCs w:val="21"/>
                      <w:highlight w:val="none"/>
                    </w:rPr>
                    <w:t>龙门提升板带压覆玉米滚烫机</w:t>
                  </w:r>
                </w:p>
              </w:tc>
              <w:tc>
                <w:tcPr>
                  <w:tcW w:w="1091" w:type="dxa"/>
                  <w:vAlign w:val="center"/>
                </w:tcPr>
                <w:p>
                  <w:pPr>
                    <w:jc w:val="center"/>
                    <w:rPr>
                      <w:rStyle w:val="107"/>
                      <w:szCs w:val="21"/>
                      <w:highlight w:val="none"/>
                    </w:rPr>
                  </w:pPr>
                  <w:r>
                    <w:rPr>
                      <w:rStyle w:val="107"/>
                      <w:rFonts w:hint="eastAsia"/>
                      <w:szCs w:val="21"/>
                      <w:highlight w:val="none"/>
                    </w:rPr>
                    <w:t>1套</w:t>
                  </w:r>
                </w:p>
              </w:tc>
              <w:tc>
                <w:tcPr>
                  <w:tcW w:w="2035" w:type="dxa"/>
                  <w:vAlign w:val="center"/>
                </w:tcPr>
                <w:p>
                  <w:pPr>
                    <w:jc w:val="center"/>
                    <w:rPr>
                      <w:rStyle w:val="107"/>
                      <w:szCs w:val="21"/>
                      <w:highlight w:val="none"/>
                    </w:rPr>
                  </w:pPr>
                  <w:r>
                    <w:rPr>
                      <w:rStyle w:val="107"/>
                      <w:rFonts w:hint="eastAsia"/>
                      <w:szCs w:val="21"/>
                      <w:highlight w:val="none"/>
                    </w:rPr>
                    <w:t>8000*1000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8</w:t>
                  </w:r>
                </w:p>
              </w:tc>
              <w:tc>
                <w:tcPr>
                  <w:tcW w:w="4157" w:type="dxa"/>
                  <w:vAlign w:val="center"/>
                </w:tcPr>
                <w:p>
                  <w:pPr>
                    <w:jc w:val="center"/>
                    <w:rPr>
                      <w:rStyle w:val="107"/>
                      <w:szCs w:val="21"/>
                      <w:highlight w:val="none"/>
                    </w:rPr>
                  </w:pPr>
                  <w:r>
                    <w:rPr>
                      <w:rStyle w:val="107"/>
                      <w:rFonts w:hint="eastAsia"/>
                      <w:szCs w:val="21"/>
                      <w:highlight w:val="none"/>
                    </w:rPr>
                    <w:t>龙门提升板带气泡冷却机</w:t>
                  </w:r>
                </w:p>
              </w:tc>
              <w:tc>
                <w:tcPr>
                  <w:tcW w:w="1091" w:type="dxa"/>
                  <w:vAlign w:val="center"/>
                </w:tcPr>
                <w:p>
                  <w:pPr>
                    <w:jc w:val="center"/>
                    <w:rPr>
                      <w:rStyle w:val="107"/>
                      <w:szCs w:val="21"/>
                      <w:highlight w:val="none"/>
                    </w:rPr>
                  </w:pPr>
                  <w:r>
                    <w:rPr>
                      <w:rStyle w:val="107"/>
                      <w:rFonts w:hint="eastAsia"/>
                      <w:szCs w:val="21"/>
                      <w:highlight w:val="none"/>
                    </w:rPr>
                    <w:t>1套</w:t>
                  </w:r>
                </w:p>
              </w:tc>
              <w:tc>
                <w:tcPr>
                  <w:tcW w:w="2035" w:type="dxa"/>
                  <w:vAlign w:val="center"/>
                </w:tcPr>
                <w:p>
                  <w:pPr>
                    <w:jc w:val="center"/>
                    <w:rPr>
                      <w:rStyle w:val="107"/>
                      <w:szCs w:val="21"/>
                      <w:highlight w:val="none"/>
                    </w:rPr>
                  </w:pPr>
                  <w:r>
                    <w:rPr>
                      <w:rStyle w:val="107"/>
                      <w:rFonts w:hint="eastAsia"/>
                      <w:szCs w:val="21"/>
                      <w:highlight w:val="none"/>
                    </w:rPr>
                    <w:t>6000*1000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9</w:t>
                  </w:r>
                </w:p>
              </w:tc>
              <w:tc>
                <w:tcPr>
                  <w:tcW w:w="4157" w:type="dxa"/>
                  <w:vAlign w:val="center"/>
                </w:tcPr>
                <w:p>
                  <w:pPr>
                    <w:jc w:val="center"/>
                    <w:rPr>
                      <w:rStyle w:val="107"/>
                      <w:szCs w:val="21"/>
                      <w:highlight w:val="none"/>
                    </w:rPr>
                  </w:pPr>
                  <w:r>
                    <w:rPr>
                      <w:rStyle w:val="107"/>
                      <w:rFonts w:hint="eastAsia"/>
                      <w:szCs w:val="21"/>
                      <w:highlight w:val="none"/>
                    </w:rPr>
                    <w:t>单向传送带</w:t>
                  </w:r>
                </w:p>
              </w:tc>
              <w:tc>
                <w:tcPr>
                  <w:tcW w:w="1091" w:type="dxa"/>
                  <w:vAlign w:val="center"/>
                </w:tcPr>
                <w:p>
                  <w:pPr>
                    <w:jc w:val="center"/>
                    <w:rPr>
                      <w:rStyle w:val="107"/>
                      <w:szCs w:val="21"/>
                      <w:highlight w:val="none"/>
                    </w:rPr>
                  </w:pPr>
                  <w:r>
                    <w:rPr>
                      <w:rStyle w:val="107"/>
                      <w:rFonts w:hint="eastAsia"/>
                      <w:szCs w:val="21"/>
                      <w:highlight w:val="none"/>
                    </w:rPr>
                    <w:t>2套</w:t>
                  </w:r>
                </w:p>
              </w:tc>
              <w:tc>
                <w:tcPr>
                  <w:tcW w:w="2035" w:type="dxa"/>
                  <w:vAlign w:val="center"/>
                </w:tcPr>
                <w:p>
                  <w:pPr>
                    <w:jc w:val="center"/>
                    <w:rPr>
                      <w:rStyle w:val="107"/>
                      <w:szCs w:val="21"/>
                      <w:highlight w:val="none"/>
                    </w:rPr>
                  </w:pPr>
                  <w:r>
                    <w:rPr>
                      <w:rStyle w:val="107"/>
                      <w:rFonts w:hint="eastAsia"/>
                      <w:szCs w:val="21"/>
                      <w:highlight w:val="none"/>
                    </w:rPr>
                    <w:t>14000*600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10</w:t>
                  </w:r>
                </w:p>
              </w:tc>
              <w:tc>
                <w:tcPr>
                  <w:tcW w:w="4157" w:type="dxa"/>
                  <w:vAlign w:val="center"/>
                </w:tcPr>
                <w:p>
                  <w:pPr>
                    <w:jc w:val="center"/>
                    <w:rPr>
                      <w:rStyle w:val="107"/>
                      <w:szCs w:val="21"/>
                      <w:highlight w:val="none"/>
                    </w:rPr>
                  </w:pPr>
                  <w:r>
                    <w:rPr>
                      <w:rStyle w:val="107"/>
                      <w:rFonts w:hint="eastAsia"/>
                      <w:szCs w:val="21"/>
                      <w:highlight w:val="none"/>
                    </w:rPr>
                    <w:t>单向传送带</w:t>
                  </w:r>
                </w:p>
              </w:tc>
              <w:tc>
                <w:tcPr>
                  <w:tcW w:w="1091" w:type="dxa"/>
                  <w:vAlign w:val="center"/>
                </w:tcPr>
                <w:p>
                  <w:pPr>
                    <w:jc w:val="center"/>
                    <w:rPr>
                      <w:rStyle w:val="107"/>
                      <w:szCs w:val="21"/>
                      <w:highlight w:val="none"/>
                    </w:rPr>
                  </w:pPr>
                  <w:r>
                    <w:rPr>
                      <w:rStyle w:val="107"/>
                      <w:rFonts w:hint="eastAsia"/>
                      <w:szCs w:val="21"/>
                      <w:highlight w:val="none"/>
                    </w:rPr>
                    <w:t>1套</w:t>
                  </w:r>
                </w:p>
              </w:tc>
              <w:tc>
                <w:tcPr>
                  <w:tcW w:w="2035" w:type="dxa"/>
                  <w:vAlign w:val="center"/>
                </w:tcPr>
                <w:p>
                  <w:pPr>
                    <w:jc w:val="center"/>
                    <w:rPr>
                      <w:rStyle w:val="107"/>
                      <w:szCs w:val="21"/>
                      <w:highlight w:val="none"/>
                    </w:rPr>
                  </w:pPr>
                  <w:r>
                    <w:rPr>
                      <w:rStyle w:val="107"/>
                      <w:rFonts w:hint="eastAsia"/>
                      <w:szCs w:val="21"/>
                      <w:highlight w:val="none"/>
                    </w:rPr>
                    <w:t>12000*600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11</w:t>
                  </w:r>
                </w:p>
              </w:tc>
              <w:tc>
                <w:tcPr>
                  <w:tcW w:w="4157" w:type="dxa"/>
                  <w:vAlign w:val="center"/>
                </w:tcPr>
                <w:p>
                  <w:pPr>
                    <w:jc w:val="center"/>
                    <w:rPr>
                      <w:rStyle w:val="107"/>
                      <w:szCs w:val="21"/>
                      <w:highlight w:val="none"/>
                    </w:rPr>
                  </w:pPr>
                  <w:r>
                    <w:rPr>
                      <w:rStyle w:val="107"/>
                      <w:rFonts w:hint="eastAsia"/>
                      <w:szCs w:val="21"/>
                      <w:highlight w:val="none"/>
                    </w:rPr>
                    <w:t>升降式提升机</w:t>
                  </w:r>
                </w:p>
              </w:tc>
              <w:tc>
                <w:tcPr>
                  <w:tcW w:w="1091" w:type="dxa"/>
                  <w:vAlign w:val="center"/>
                </w:tcPr>
                <w:p>
                  <w:pPr>
                    <w:jc w:val="center"/>
                    <w:rPr>
                      <w:rStyle w:val="107"/>
                      <w:szCs w:val="21"/>
                      <w:highlight w:val="none"/>
                    </w:rPr>
                  </w:pPr>
                  <w:r>
                    <w:rPr>
                      <w:rStyle w:val="107"/>
                      <w:rFonts w:hint="eastAsia"/>
                      <w:szCs w:val="21"/>
                      <w:highlight w:val="none"/>
                    </w:rPr>
                    <w:t>2套</w:t>
                  </w:r>
                </w:p>
              </w:tc>
              <w:tc>
                <w:tcPr>
                  <w:tcW w:w="2035" w:type="dxa"/>
                  <w:vAlign w:val="center"/>
                </w:tcPr>
                <w:p>
                  <w:pPr>
                    <w:jc w:val="center"/>
                    <w:rPr>
                      <w:rStyle w:val="107"/>
                      <w:szCs w:val="21"/>
                      <w:highlight w:val="none"/>
                    </w:rPr>
                  </w:pPr>
                  <w:r>
                    <w:rPr>
                      <w:rStyle w:val="107"/>
                      <w:rFonts w:hint="eastAsia"/>
                      <w:szCs w:val="21"/>
                      <w:highlight w:val="none"/>
                    </w:rPr>
                    <w:t>3000*600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214" w:type="dxa"/>
                  <w:vAlign w:val="center"/>
                </w:tcPr>
                <w:p>
                  <w:pPr>
                    <w:jc w:val="center"/>
                    <w:rPr>
                      <w:rStyle w:val="107"/>
                      <w:szCs w:val="21"/>
                      <w:highlight w:val="none"/>
                    </w:rPr>
                  </w:pPr>
                  <w:r>
                    <w:rPr>
                      <w:rStyle w:val="107"/>
                      <w:rFonts w:hint="eastAsia"/>
                      <w:szCs w:val="21"/>
                      <w:highlight w:val="none"/>
                    </w:rPr>
                    <w:t>12</w:t>
                  </w:r>
                </w:p>
              </w:tc>
              <w:tc>
                <w:tcPr>
                  <w:tcW w:w="4157" w:type="dxa"/>
                  <w:vAlign w:val="center"/>
                </w:tcPr>
                <w:p>
                  <w:pPr>
                    <w:jc w:val="center"/>
                    <w:rPr>
                      <w:rStyle w:val="107"/>
                      <w:szCs w:val="21"/>
                      <w:highlight w:val="none"/>
                    </w:rPr>
                  </w:pPr>
                  <w:r>
                    <w:rPr>
                      <w:rStyle w:val="107"/>
                      <w:rFonts w:hint="eastAsia"/>
                      <w:szCs w:val="21"/>
                      <w:highlight w:val="none"/>
                    </w:rPr>
                    <w:t>包装杀菌</w:t>
                  </w:r>
                </w:p>
                <w:p>
                  <w:pPr>
                    <w:jc w:val="center"/>
                    <w:rPr>
                      <w:rStyle w:val="107"/>
                      <w:szCs w:val="21"/>
                      <w:highlight w:val="none"/>
                    </w:rPr>
                  </w:pPr>
                  <w:r>
                    <w:rPr>
                      <w:rStyle w:val="107"/>
                      <w:rFonts w:hint="eastAsia"/>
                      <w:szCs w:val="21"/>
                      <w:highlight w:val="none"/>
                    </w:rPr>
                    <w:t>一拖二电脑全自动杀菌锅</w:t>
                  </w:r>
                </w:p>
              </w:tc>
              <w:tc>
                <w:tcPr>
                  <w:tcW w:w="1091" w:type="dxa"/>
                  <w:vAlign w:val="center"/>
                </w:tcPr>
                <w:p>
                  <w:pPr>
                    <w:jc w:val="center"/>
                    <w:rPr>
                      <w:rStyle w:val="107"/>
                      <w:szCs w:val="21"/>
                      <w:highlight w:val="none"/>
                    </w:rPr>
                  </w:pPr>
                  <w:r>
                    <w:rPr>
                      <w:rStyle w:val="107"/>
                      <w:rFonts w:hint="eastAsia"/>
                      <w:szCs w:val="21"/>
                      <w:highlight w:val="none"/>
                    </w:rPr>
                    <w:t>2套</w:t>
                  </w:r>
                </w:p>
              </w:tc>
              <w:tc>
                <w:tcPr>
                  <w:tcW w:w="2035" w:type="dxa"/>
                  <w:vAlign w:val="center"/>
                </w:tcPr>
                <w:p>
                  <w:pPr>
                    <w:jc w:val="center"/>
                    <w:rPr>
                      <w:rStyle w:val="107"/>
                      <w:szCs w:val="21"/>
                      <w:highlight w:val="none"/>
                    </w:rPr>
                  </w:pPr>
                  <w:r>
                    <w:rPr>
                      <w:rStyle w:val="107"/>
                      <w:rFonts w:hint="eastAsia"/>
                      <w:szCs w:val="21"/>
                      <w:highlight w:val="none"/>
                    </w:rPr>
                    <w:t>1200*3600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13</w:t>
                  </w:r>
                </w:p>
              </w:tc>
              <w:tc>
                <w:tcPr>
                  <w:tcW w:w="4157" w:type="dxa"/>
                  <w:vAlign w:val="center"/>
                </w:tcPr>
                <w:p>
                  <w:pPr>
                    <w:jc w:val="center"/>
                    <w:rPr>
                      <w:rStyle w:val="107"/>
                      <w:szCs w:val="21"/>
                      <w:highlight w:val="none"/>
                    </w:rPr>
                  </w:pPr>
                  <w:r>
                    <w:rPr>
                      <w:rStyle w:val="107"/>
                      <w:rFonts w:hint="eastAsia"/>
                      <w:szCs w:val="21"/>
                      <w:highlight w:val="none"/>
                    </w:rPr>
                    <w:t>生产车间白钢水箱</w:t>
                  </w:r>
                </w:p>
              </w:tc>
              <w:tc>
                <w:tcPr>
                  <w:tcW w:w="1091" w:type="dxa"/>
                  <w:vAlign w:val="center"/>
                </w:tcPr>
                <w:p>
                  <w:pPr>
                    <w:jc w:val="center"/>
                    <w:rPr>
                      <w:rStyle w:val="107"/>
                      <w:szCs w:val="21"/>
                      <w:highlight w:val="none"/>
                    </w:rPr>
                  </w:pPr>
                  <w:r>
                    <w:rPr>
                      <w:rStyle w:val="107"/>
                      <w:rFonts w:hint="eastAsia"/>
                      <w:szCs w:val="21"/>
                      <w:highlight w:val="none"/>
                    </w:rPr>
                    <w:t>1个</w:t>
                  </w:r>
                </w:p>
              </w:tc>
              <w:tc>
                <w:tcPr>
                  <w:tcW w:w="2035" w:type="dxa"/>
                  <w:vAlign w:val="center"/>
                </w:tcPr>
                <w:p>
                  <w:pPr>
                    <w:jc w:val="center"/>
                    <w:rPr>
                      <w:rStyle w:val="107"/>
                      <w:szCs w:val="21"/>
                      <w:highlight w:val="none"/>
                    </w:rPr>
                  </w:pPr>
                  <w:r>
                    <w:rPr>
                      <w:rStyle w:val="107"/>
                      <w:rFonts w:hint="eastAsia"/>
                      <w:szCs w:val="21"/>
                      <w:highlight w:val="none"/>
                    </w:rPr>
                    <w:t>600*120立方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14</w:t>
                  </w:r>
                </w:p>
              </w:tc>
              <w:tc>
                <w:tcPr>
                  <w:tcW w:w="4157" w:type="dxa"/>
                  <w:vAlign w:val="center"/>
                </w:tcPr>
                <w:p>
                  <w:pPr>
                    <w:pStyle w:val="132"/>
                    <w:rPr>
                      <w:rStyle w:val="107"/>
                      <w:szCs w:val="21"/>
                      <w:highlight w:val="none"/>
                    </w:rPr>
                  </w:pPr>
                  <w:r>
                    <w:rPr>
                      <w:sz w:val="21"/>
                      <w:szCs w:val="21"/>
                      <w:highlight w:val="none"/>
                    </w:rPr>
                    <w:t>生物质蒸汽锅炉</w:t>
                  </w:r>
                </w:p>
              </w:tc>
              <w:tc>
                <w:tcPr>
                  <w:tcW w:w="1091" w:type="dxa"/>
                </w:tcPr>
                <w:p>
                  <w:pPr>
                    <w:pStyle w:val="132"/>
                    <w:rPr>
                      <w:rStyle w:val="107"/>
                      <w:szCs w:val="21"/>
                      <w:highlight w:val="none"/>
                    </w:rPr>
                  </w:pPr>
                  <w:r>
                    <w:rPr>
                      <w:rStyle w:val="107"/>
                      <w:rFonts w:hint="eastAsia"/>
                      <w:szCs w:val="21"/>
                      <w:highlight w:val="none"/>
                    </w:rPr>
                    <w:t>1台</w:t>
                  </w:r>
                </w:p>
              </w:tc>
              <w:tc>
                <w:tcPr>
                  <w:tcW w:w="2035" w:type="dxa"/>
                  <w:vAlign w:val="center"/>
                </w:tcPr>
                <w:p>
                  <w:pPr>
                    <w:jc w:val="center"/>
                    <w:rPr>
                      <w:rStyle w:val="107"/>
                      <w:szCs w:val="21"/>
                      <w:highlight w:val="none"/>
                    </w:rPr>
                  </w:pPr>
                  <w:r>
                    <w:rPr>
                      <w:rFonts w:hint="eastAsia"/>
                      <w:szCs w:val="21"/>
                      <w:highlight w:val="none"/>
                    </w:rPr>
                    <w:t>4</w:t>
                  </w:r>
                  <w:r>
                    <w:rPr>
                      <w:szCs w:val="21"/>
                      <w:highlight w:val="none"/>
                    </w:rPr>
                    <w:t>t/h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214" w:type="dxa"/>
                  <w:vAlign w:val="center"/>
                </w:tcPr>
                <w:p>
                  <w:pPr>
                    <w:jc w:val="center"/>
                    <w:rPr>
                      <w:rStyle w:val="107"/>
                      <w:szCs w:val="21"/>
                      <w:highlight w:val="none"/>
                    </w:rPr>
                  </w:pPr>
                  <w:r>
                    <w:rPr>
                      <w:rStyle w:val="107"/>
                      <w:rFonts w:hint="eastAsia"/>
                      <w:szCs w:val="21"/>
                      <w:highlight w:val="none"/>
                    </w:rPr>
                    <w:t>15</w:t>
                  </w:r>
                </w:p>
              </w:tc>
              <w:tc>
                <w:tcPr>
                  <w:tcW w:w="4157" w:type="dxa"/>
                  <w:vAlign w:val="center"/>
                </w:tcPr>
                <w:p>
                  <w:pPr>
                    <w:pStyle w:val="132"/>
                    <w:rPr>
                      <w:rStyle w:val="107"/>
                      <w:szCs w:val="21"/>
                      <w:highlight w:val="none"/>
                    </w:rPr>
                  </w:pPr>
                  <w:r>
                    <w:rPr>
                      <w:rStyle w:val="107"/>
                      <w:rFonts w:hint="eastAsia"/>
                      <w:szCs w:val="21"/>
                      <w:highlight w:val="none"/>
                    </w:rPr>
                    <w:t>布袋除尘器</w:t>
                  </w:r>
                </w:p>
              </w:tc>
              <w:tc>
                <w:tcPr>
                  <w:tcW w:w="1091" w:type="dxa"/>
                </w:tcPr>
                <w:p>
                  <w:pPr>
                    <w:pStyle w:val="132"/>
                    <w:rPr>
                      <w:rStyle w:val="107"/>
                      <w:szCs w:val="21"/>
                      <w:highlight w:val="none"/>
                    </w:rPr>
                  </w:pPr>
                  <w:r>
                    <w:rPr>
                      <w:rStyle w:val="107"/>
                      <w:rFonts w:hint="eastAsia"/>
                      <w:szCs w:val="21"/>
                      <w:highlight w:val="none"/>
                    </w:rPr>
                    <w:t>1个</w:t>
                  </w:r>
                </w:p>
              </w:tc>
              <w:tc>
                <w:tcPr>
                  <w:tcW w:w="2035" w:type="dxa"/>
                  <w:vAlign w:val="center"/>
                </w:tcPr>
                <w:p>
                  <w:pPr>
                    <w:jc w:val="center"/>
                    <w:rPr>
                      <w:rStyle w:val="107"/>
                      <w:szCs w:val="21"/>
                      <w:highlight w:val="none"/>
                    </w:rPr>
                  </w:pPr>
                  <w:r>
                    <w:rPr>
                      <w:rStyle w:val="107"/>
                      <w:rFonts w:hint="eastAsia"/>
                      <w:szCs w:val="21"/>
                      <w:highlight w:val="none"/>
                    </w:rPr>
                    <w:t>除尘效率99%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214" w:type="dxa"/>
                  <w:vAlign w:val="center"/>
                </w:tcPr>
                <w:p>
                  <w:pPr>
                    <w:jc w:val="center"/>
                    <w:rPr>
                      <w:rStyle w:val="107"/>
                      <w:rFonts w:hint="default"/>
                      <w:szCs w:val="21"/>
                      <w:highlight w:val="none"/>
                      <w:lang w:val="en-US"/>
                    </w:rPr>
                  </w:pPr>
                  <w:r>
                    <w:rPr>
                      <w:rStyle w:val="107"/>
                      <w:rFonts w:hint="eastAsia"/>
                      <w:szCs w:val="21"/>
                      <w:highlight w:val="none"/>
                      <w:lang w:val="en-US"/>
                    </w:rPr>
                    <w:t>16</w:t>
                  </w:r>
                </w:p>
              </w:tc>
              <w:tc>
                <w:tcPr>
                  <w:tcW w:w="4157" w:type="dxa"/>
                  <w:vAlign w:val="center"/>
                </w:tcPr>
                <w:p>
                  <w:pPr>
                    <w:pStyle w:val="132"/>
                    <w:rPr>
                      <w:rStyle w:val="107"/>
                      <w:rFonts w:hint="default"/>
                      <w:szCs w:val="21"/>
                      <w:highlight w:val="none"/>
                      <w:lang w:val="en-US"/>
                    </w:rPr>
                  </w:pPr>
                  <w:r>
                    <w:rPr>
                      <w:rStyle w:val="107"/>
                      <w:rFonts w:hint="eastAsia"/>
                      <w:szCs w:val="21"/>
                      <w:highlight w:val="none"/>
                      <w:lang w:val="en-US"/>
                    </w:rPr>
                    <w:t>锅炉软化水制备系统</w:t>
                  </w:r>
                </w:p>
              </w:tc>
              <w:tc>
                <w:tcPr>
                  <w:tcW w:w="1091" w:type="dxa"/>
                </w:tcPr>
                <w:p>
                  <w:pPr>
                    <w:pStyle w:val="132"/>
                    <w:rPr>
                      <w:rStyle w:val="107"/>
                      <w:rFonts w:hint="eastAsia"/>
                      <w:szCs w:val="21"/>
                      <w:highlight w:val="none"/>
                    </w:rPr>
                  </w:pPr>
                  <w:r>
                    <w:rPr>
                      <w:rStyle w:val="107"/>
                      <w:rFonts w:hint="eastAsia"/>
                      <w:szCs w:val="21"/>
                      <w:highlight w:val="none"/>
                    </w:rPr>
                    <w:t>1套</w:t>
                  </w:r>
                </w:p>
              </w:tc>
              <w:tc>
                <w:tcPr>
                  <w:tcW w:w="2035" w:type="dxa"/>
                  <w:vAlign w:val="center"/>
                </w:tcPr>
                <w:p>
                  <w:pPr>
                    <w:jc w:val="center"/>
                    <w:rPr>
                      <w:rStyle w:val="107"/>
                      <w:rFonts w:hint="default"/>
                      <w:szCs w:val="21"/>
                      <w:highlight w:val="none"/>
                      <w:lang w:val="en-US"/>
                    </w:rPr>
                  </w:pPr>
                  <w:r>
                    <w:rPr>
                      <w:rStyle w:val="107"/>
                      <w:rFonts w:hint="eastAsia"/>
                      <w:szCs w:val="21"/>
                      <w:highlight w:val="none"/>
                      <w:lang w:val="en-US"/>
                    </w:rPr>
                    <w:t>/</w:t>
                  </w:r>
                </w:p>
              </w:tc>
            </w:tr>
          </w:tbl>
          <w:p>
            <w:pPr>
              <w:pStyle w:val="109"/>
              <w:spacing w:line="360" w:lineRule="auto"/>
              <w:ind w:firstLine="0"/>
              <w:rPr>
                <w:b/>
                <w:bCs/>
                <w:highlight w:val="none"/>
              </w:rPr>
            </w:pPr>
            <w:r>
              <w:rPr>
                <w:rFonts w:hint="eastAsia"/>
                <w:b/>
                <w:bCs/>
                <w:highlight w:val="none"/>
              </w:rPr>
              <w:t>3</w:t>
            </w:r>
            <w:r>
              <w:rPr>
                <w:b/>
                <w:bCs/>
                <w:highlight w:val="none"/>
              </w:rPr>
              <w:t>、产品规模</w:t>
            </w:r>
          </w:p>
          <w:p>
            <w:pPr>
              <w:pStyle w:val="109"/>
              <w:spacing w:line="360" w:lineRule="auto"/>
              <w:ind w:firstLine="480"/>
              <w:rPr>
                <w:highlight w:val="none"/>
              </w:rPr>
            </w:pPr>
            <w:r>
              <w:rPr>
                <w:highlight w:val="none"/>
              </w:rPr>
              <w:t>本项目产品生产情况见表2-3。</w:t>
            </w:r>
          </w:p>
          <w:p>
            <w:pPr>
              <w:keepNext/>
              <w:jc w:val="center"/>
              <w:rPr>
                <w:b/>
                <w:kern w:val="0"/>
                <w:szCs w:val="21"/>
                <w:highlight w:val="none"/>
              </w:rPr>
            </w:pPr>
            <w:r>
              <w:rPr>
                <w:b/>
                <w:kern w:val="0"/>
                <w:szCs w:val="21"/>
                <w:highlight w:val="none"/>
              </w:rPr>
              <w:t>表2-3主要产品一览表</w:t>
            </w:r>
          </w:p>
          <w:tbl>
            <w:tblPr>
              <w:tblStyle w:val="29"/>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613"/>
              <w:gridCol w:w="2109"/>
              <w:gridCol w:w="360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936" w:type="pct"/>
                  <w:vAlign w:val="center"/>
                </w:tcPr>
                <w:p>
                  <w:pPr>
                    <w:pStyle w:val="71"/>
                    <w:rPr>
                      <w:sz w:val="21"/>
                      <w:szCs w:val="21"/>
                      <w:highlight w:val="none"/>
                    </w:rPr>
                  </w:pPr>
                  <w:r>
                    <w:rPr>
                      <w:sz w:val="21"/>
                      <w:szCs w:val="21"/>
                      <w:highlight w:val="none"/>
                    </w:rPr>
                    <w:t>产品</w:t>
                  </w:r>
                </w:p>
              </w:tc>
              <w:tc>
                <w:tcPr>
                  <w:tcW w:w="1130" w:type="pct"/>
                  <w:tcBorders>
                    <w:right w:val="single" w:color="auto" w:sz="4" w:space="0"/>
                  </w:tcBorders>
                  <w:vAlign w:val="center"/>
                </w:tcPr>
                <w:p>
                  <w:pPr>
                    <w:pStyle w:val="71"/>
                    <w:rPr>
                      <w:sz w:val="21"/>
                      <w:szCs w:val="21"/>
                      <w:highlight w:val="none"/>
                    </w:rPr>
                  </w:pPr>
                  <w:r>
                    <w:rPr>
                      <w:sz w:val="21"/>
                      <w:szCs w:val="21"/>
                      <w:highlight w:val="none"/>
                    </w:rPr>
                    <w:t>规格</w:t>
                  </w:r>
                </w:p>
              </w:tc>
              <w:tc>
                <w:tcPr>
                  <w:tcW w:w="1932" w:type="pct"/>
                  <w:tcBorders>
                    <w:left w:val="single" w:color="auto" w:sz="4" w:space="0"/>
                  </w:tcBorders>
                  <w:vAlign w:val="center"/>
                </w:tcPr>
                <w:p>
                  <w:pPr>
                    <w:pStyle w:val="71"/>
                    <w:rPr>
                      <w:sz w:val="21"/>
                      <w:szCs w:val="21"/>
                      <w:highlight w:val="none"/>
                    </w:rPr>
                  </w:pPr>
                  <w:r>
                    <w:rPr>
                      <w:sz w:val="21"/>
                      <w:szCs w:val="21"/>
                      <w:highlight w:val="none"/>
                    </w:rPr>
                    <w:t>年产量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1936" w:type="pct"/>
                  <w:vAlign w:val="center"/>
                </w:tcPr>
                <w:p>
                  <w:pPr>
                    <w:pStyle w:val="71"/>
                    <w:rPr>
                      <w:sz w:val="21"/>
                      <w:szCs w:val="21"/>
                      <w:highlight w:val="none"/>
                    </w:rPr>
                  </w:pPr>
                  <w:r>
                    <w:rPr>
                      <w:rFonts w:hint="eastAsia"/>
                      <w:sz w:val="21"/>
                      <w:szCs w:val="21"/>
                      <w:highlight w:val="none"/>
                    </w:rPr>
                    <w:t>鲜食黏玉米棒</w:t>
                  </w:r>
                </w:p>
              </w:tc>
              <w:tc>
                <w:tcPr>
                  <w:tcW w:w="1130" w:type="pct"/>
                  <w:tcBorders>
                    <w:right w:val="single" w:color="auto" w:sz="4" w:space="0"/>
                  </w:tcBorders>
                  <w:vAlign w:val="center"/>
                </w:tcPr>
                <w:p>
                  <w:pPr>
                    <w:jc w:val="center"/>
                    <w:rPr>
                      <w:rStyle w:val="107"/>
                      <w:szCs w:val="21"/>
                      <w:highlight w:val="none"/>
                    </w:rPr>
                  </w:pPr>
                  <w:r>
                    <w:rPr>
                      <w:rStyle w:val="107"/>
                      <w:rFonts w:hint="eastAsia"/>
                      <w:szCs w:val="21"/>
                      <w:highlight w:val="none"/>
                    </w:rPr>
                    <w:t>200g/袋</w:t>
                  </w:r>
                </w:p>
              </w:tc>
              <w:tc>
                <w:tcPr>
                  <w:tcW w:w="1932" w:type="pct"/>
                  <w:tcBorders>
                    <w:left w:val="single" w:color="auto" w:sz="4" w:space="0"/>
                  </w:tcBorders>
                  <w:vAlign w:val="center"/>
                </w:tcPr>
                <w:p>
                  <w:pPr>
                    <w:pStyle w:val="71"/>
                    <w:rPr>
                      <w:sz w:val="21"/>
                      <w:szCs w:val="21"/>
                      <w:highlight w:val="none"/>
                    </w:rPr>
                  </w:pPr>
                  <w:r>
                    <w:rPr>
                      <w:rFonts w:hint="eastAsia"/>
                      <w:sz w:val="21"/>
                      <w:szCs w:val="21"/>
                      <w:highlight w:val="none"/>
                    </w:rPr>
                    <w:t>500万棒</w:t>
                  </w:r>
                </w:p>
              </w:tc>
            </w:tr>
          </w:tbl>
          <w:p>
            <w:pPr>
              <w:pStyle w:val="59"/>
              <w:spacing w:before="0" w:beforeLines="0" w:after="0" w:afterLines="0" w:line="480" w:lineRule="exact"/>
              <w:ind w:firstLine="0" w:firstLineChars="0"/>
              <w:textAlignment w:val="baseline"/>
              <w:rPr>
                <w:b/>
                <w:bCs/>
                <w:color w:val="auto"/>
                <w:highlight w:val="none"/>
              </w:rPr>
            </w:pPr>
            <w:r>
              <w:rPr>
                <w:rFonts w:hint="eastAsia"/>
                <w:b/>
                <w:bCs/>
                <w:color w:val="auto"/>
                <w:highlight w:val="none"/>
              </w:rPr>
              <w:t>4</w:t>
            </w:r>
            <w:r>
              <w:rPr>
                <w:b/>
                <w:bCs/>
                <w:color w:val="auto"/>
                <w:highlight w:val="none"/>
              </w:rPr>
              <w:t>、主要原辅材料及用量</w:t>
            </w:r>
          </w:p>
          <w:p>
            <w:pPr>
              <w:autoSpaceDE w:val="0"/>
              <w:autoSpaceDN w:val="0"/>
              <w:adjustRightInd w:val="0"/>
              <w:spacing w:line="440" w:lineRule="exact"/>
              <w:ind w:firstLine="480" w:firstLineChars="200"/>
              <w:rPr>
                <w:sz w:val="24"/>
                <w:highlight w:val="none"/>
              </w:rPr>
            </w:pPr>
            <w:r>
              <w:rPr>
                <w:sz w:val="24"/>
                <w:highlight w:val="none"/>
              </w:rPr>
              <w:t>原辅材料一览表见表2-</w:t>
            </w:r>
            <w:r>
              <w:rPr>
                <w:rFonts w:hint="eastAsia"/>
                <w:sz w:val="24"/>
                <w:highlight w:val="none"/>
              </w:rPr>
              <w:t>4</w:t>
            </w:r>
            <w:r>
              <w:rPr>
                <w:sz w:val="24"/>
                <w:highlight w:val="none"/>
              </w:rPr>
              <w:t>。</w:t>
            </w:r>
          </w:p>
          <w:p>
            <w:pPr>
              <w:adjustRightInd w:val="0"/>
              <w:snapToGrid w:val="0"/>
              <w:jc w:val="center"/>
              <w:rPr>
                <w:b/>
                <w:szCs w:val="21"/>
                <w:highlight w:val="none"/>
              </w:rPr>
            </w:pPr>
            <w:r>
              <w:rPr>
                <w:b/>
                <w:szCs w:val="21"/>
                <w:highlight w:val="none"/>
              </w:rPr>
              <w:t>表2-</w:t>
            </w:r>
            <w:r>
              <w:rPr>
                <w:rFonts w:hint="eastAsia"/>
                <w:b/>
                <w:szCs w:val="21"/>
                <w:highlight w:val="none"/>
              </w:rPr>
              <w:t>4</w:t>
            </w:r>
            <w:r>
              <w:rPr>
                <w:b/>
                <w:szCs w:val="21"/>
                <w:highlight w:val="none"/>
              </w:rPr>
              <w:t xml:space="preserve">  原辅材料一览表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34"/>
              <w:gridCol w:w="2583"/>
              <w:gridCol w:w="2971"/>
              <w:gridCol w:w="21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876" w:type="pct"/>
                  <w:vAlign w:val="center"/>
                </w:tcPr>
                <w:p>
                  <w:pPr>
                    <w:pStyle w:val="60"/>
                    <w:rPr>
                      <w:highlight w:val="none"/>
                      <w:lang w:val="en-US"/>
                    </w:rPr>
                  </w:pPr>
                  <w:r>
                    <w:rPr>
                      <w:highlight w:val="none"/>
                    </w:rPr>
                    <w:t>序号</w:t>
                  </w:r>
                </w:p>
              </w:tc>
              <w:tc>
                <w:tcPr>
                  <w:tcW w:w="1384" w:type="pct"/>
                  <w:vAlign w:val="center"/>
                </w:tcPr>
                <w:p>
                  <w:pPr>
                    <w:pStyle w:val="60"/>
                    <w:rPr>
                      <w:highlight w:val="none"/>
                      <w:lang w:val="en-US"/>
                    </w:rPr>
                  </w:pPr>
                  <w:r>
                    <w:rPr>
                      <w:highlight w:val="none"/>
                    </w:rPr>
                    <w:t>名称</w:t>
                  </w:r>
                </w:p>
              </w:tc>
              <w:tc>
                <w:tcPr>
                  <w:tcW w:w="1592" w:type="pct"/>
                  <w:vAlign w:val="center"/>
                </w:tcPr>
                <w:p>
                  <w:pPr>
                    <w:pStyle w:val="60"/>
                    <w:rPr>
                      <w:highlight w:val="none"/>
                      <w:lang w:val="en-US"/>
                    </w:rPr>
                  </w:pPr>
                  <w:r>
                    <w:rPr>
                      <w:highlight w:val="none"/>
                    </w:rPr>
                    <w:t>单位</w:t>
                  </w:r>
                </w:p>
              </w:tc>
              <w:tc>
                <w:tcPr>
                  <w:tcW w:w="1146" w:type="pct"/>
                  <w:vAlign w:val="center"/>
                </w:tcPr>
                <w:p>
                  <w:pPr>
                    <w:pStyle w:val="60"/>
                    <w:rPr>
                      <w:highlight w:val="none"/>
                      <w:lang w:val="en-US"/>
                    </w:rPr>
                  </w:pPr>
                  <w:r>
                    <w:rPr>
                      <w:highlight w:val="none"/>
                    </w:rPr>
                    <w:t>年耗量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76" w:type="pct"/>
                  <w:vAlign w:val="center"/>
                </w:tcPr>
                <w:p>
                  <w:pPr>
                    <w:pStyle w:val="60"/>
                    <w:rPr>
                      <w:highlight w:val="none"/>
                      <w:lang w:val="en-US"/>
                    </w:rPr>
                  </w:pPr>
                  <w:r>
                    <w:rPr>
                      <w:highlight w:val="none"/>
                      <w:lang w:val="en-US"/>
                    </w:rPr>
                    <w:t>1</w:t>
                  </w:r>
                </w:p>
              </w:tc>
              <w:tc>
                <w:tcPr>
                  <w:tcW w:w="1384" w:type="pct"/>
                  <w:vAlign w:val="center"/>
                </w:tcPr>
                <w:p>
                  <w:pPr>
                    <w:pStyle w:val="60"/>
                    <w:rPr>
                      <w:highlight w:val="none"/>
                      <w:lang w:val="en-US"/>
                    </w:rPr>
                  </w:pPr>
                  <w:r>
                    <w:rPr>
                      <w:rFonts w:hint="eastAsia"/>
                      <w:highlight w:val="none"/>
                      <w:lang w:val="en-US"/>
                    </w:rPr>
                    <w:t>玉米</w:t>
                  </w:r>
                </w:p>
              </w:tc>
              <w:tc>
                <w:tcPr>
                  <w:tcW w:w="1592" w:type="pct"/>
                  <w:vAlign w:val="center"/>
                </w:tcPr>
                <w:p>
                  <w:pPr>
                    <w:pStyle w:val="60"/>
                    <w:rPr>
                      <w:highlight w:val="none"/>
                      <w:lang w:val="en-US"/>
                    </w:rPr>
                  </w:pPr>
                  <w:r>
                    <w:rPr>
                      <w:rFonts w:hint="eastAsia"/>
                      <w:highlight w:val="none"/>
                      <w:lang w:val="en-US"/>
                    </w:rPr>
                    <w:t>t/a</w:t>
                  </w:r>
                </w:p>
              </w:tc>
              <w:tc>
                <w:tcPr>
                  <w:tcW w:w="1146" w:type="pct"/>
                  <w:vAlign w:val="center"/>
                </w:tcPr>
                <w:p>
                  <w:pPr>
                    <w:pStyle w:val="60"/>
                    <w:rPr>
                      <w:highlight w:val="none"/>
                      <w:lang w:val="en-US"/>
                    </w:rPr>
                  </w:pPr>
                  <w:r>
                    <w:rPr>
                      <w:rFonts w:hint="eastAsia"/>
                      <w:highlight w:val="none"/>
                      <w:lang w:val="en-US"/>
                    </w:rPr>
                    <w:t>1100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76" w:type="pct"/>
                  <w:vAlign w:val="center"/>
                </w:tcPr>
                <w:p>
                  <w:pPr>
                    <w:pStyle w:val="60"/>
                    <w:rPr>
                      <w:highlight w:val="none"/>
                      <w:lang w:val="en-US"/>
                    </w:rPr>
                  </w:pPr>
                  <w:r>
                    <w:rPr>
                      <w:rFonts w:hint="eastAsia"/>
                      <w:highlight w:val="none"/>
                      <w:lang w:val="en-US"/>
                    </w:rPr>
                    <w:t>2</w:t>
                  </w:r>
                </w:p>
              </w:tc>
              <w:tc>
                <w:tcPr>
                  <w:tcW w:w="1384" w:type="pct"/>
                  <w:vAlign w:val="center"/>
                </w:tcPr>
                <w:p>
                  <w:pPr>
                    <w:pStyle w:val="60"/>
                    <w:rPr>
                      <w:highlight w:val="none"/>
                      <w:lang w:val="en-US"/>
                    </w:rPr>
                  </w:pPr>
                  <w:r>
                    <w:rPr>
                      <w:rFonts w:hint="eastAsia"/>
                      <w:highlight w:val="none"/>
                      <w:lang w:val="en-US"/>
                    </w:rPr>
                    <w:t>水</w:t>
                  </w:r>
                </w:p>
              </w:tc>
              <w:tc>
                <w:tcPr>
                  <w:tcW w:w="1592" w:type="pct"/>
                  <w:vAlign w:val="center"/>
                </w:tcPr>
                <w:p>
                  <w:pPr>
                    <w:pStyle w:val="60"/>
                    <w:rPr>
                      <w:highlight w:val="none"/>
                      <w:lang w:val="en-US"/>
                    </w:rPr>
                  </w:pPr>
                  <w:r>
                    <w:rPr>
                      <w:rFonts w:hint="eastAsia"/>
                      <w:highlight w:val="none"/>
                      <w:lang w:val="en-US"/>
                    </w:rPr>
                    <w:t>t/a</w:t>
                  </w:r>
                </w:p>
              </w:tc>
              <w:tc>
                <w:tcPr>
                  <w:tcW w:w="1146" w:type="pct"/>
                  <w:vAlign w:val="center"/>
                </w:tcPr>
                <w:p>
                  <w:pPr>
                    <w:pStyle w:val="60"/>
                    <w:rPr>
                      <w:highlight w:val="none"/>
                      <w:lang w:val="en-US"/>
                    </w:rPr>
                  </w:pPr>
                  <w:r>
                    <w:rPr>
                      <w:rFonts w:hint="eastAsia"/>
                      <w:highlight w:val="none"/>
                      <w:lang w:val="en-US"/>
                    </w:rPr>
                    <w:t>4420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76" w:type="pct"/>
                  <w:vAlign w:val="center"/>
                </w:tcPr>
                <w:p>
                  <w:pPr>
                    <w:pStyle w:val="60"/>
                    <w:rPr>
                      <w:highlight w:val="none"/>
                      <w:lang w:val="en-US"/>
                    </w:rPr>
                  </w:pPr>
                  <w:r>
                    <w:rPr>
                      <w:rFonts w:hint="eastAsia"/>
                      <w:highlight w:val="none"/>
                      <w:lang w:val="en-US"/>
                    </w:rPr>
                    <w:t>3</w:t>
                  </w:r>
                </w:p>
              </w:tc>
              <w:tc>
                <w:tcPr>
                  <w:tcW w:w="1384" w:type="pct"/>
                  <w:vAlign w:val="center"/>
                </w:tcPr>
                <w:p>
                  <w:pPr>
                    <w:pStyle w:val="60"/>
                    <w:rPr>
                      <w:highlight w:val="none"/>
                      <w:lang w:val="en-US"/>
                    </w:rPr>
                  </w:pPr>
                  <w:r>
                    <w:rPr>
                      <w:rFonts w:hint="eastAsia"/>
                      <w:highlight w:val="none"/>
                      <w:lang w:val="en-US"/>
                    </w:rPr>
                    <w:t>生物质成型燃料（颗粒）</w:t>
                  </w:r>
                </w:p>
              </w:tc>
              <w:tc>
                <w:tcPr>
                  <w:tcW w:w="1592" w:type="pct"/>
                  <w:vAlign w:val="center"/>
                </w:tcPr>
                <w:p>
                  <w:pPr>
                    <w:pStyle w:val="60"/>
                    <w:rPr>
                      <w:highlight w:val="none"/>
                      <w:lang w:val="en-US"/>
                    </w:rPr>
                  </w:pPr>
                  <w:r>
                    <w:rPr>
                      <w:rFonts w:hint="eastAsia"/>
                      <w:highlight w:val="none"/>
                      <w:lang w:val="en-US"/>
                    </w:rPr>
                    <w:t>t/a</w:t>
                  </w:r>
                </w:p>
              </w:tc>
              <w:tc>
                <w:tcPr>
                  <w:tcW w:w="1146" w:type="pct"/>
                  <w:vAlign w:val="center"/>
                </w:tcPr>
                <w:p>
                  <w:pPr>
                    <w:pStyle w:val="60"/>
                    <w:rPr>
                      <w:highlight w:val="none"/>
                      <w:lang w:val="en-US"/>
                    </w:rPr>
                  </w:pPr>
                  <w:r>
                    <w:rPr>
                      <w:rFonts w:hint="eastAsia"/>
                      <w:highlight w:val="none"/>
                      <w:lang w:val="en-US"/>
                    </w:rPr>
                    <w:t>672</w:t>
                  </w:r>
                </w:p>
              </w:tc>
            </w:tr>
          </w:tbl>
          <w:p>
            <w:pPr>
              <w:adjustRightInd w:val="0"/>
              <w:spacing w:line="360" w:lineRule="auto"/>
              <w:rPr>
                <w:rFonts w:eastAsia="仿宋_GB2312"/>
                <w:sz w:val="28"/>
                <w:szCs w:val="28"/>
                <w:highlight w:val="none"/>
              </w:rPr>
            </w:pPr>
            <w:r>
              <w:rPr>
                <w:rFonts w:hint="eastAsia"/>
                <w:b/>
                <w:bCs/>
                <w:sz w:val="24"/>
                <w:highlight w:val="none"/>
              </w:rPr>
              <w:t>5</w:t>
            </w:r>
            <w:r>
              <w:rPr>
                <w:b/>
                <w:bCs/>
                <w:sz w:val="24"/>
                <w:highlight w:val="none"/>
              </w:rPr>
              <w:t>、工作制度及劳动定员</w:t>
            </w:r>
          </w:p>
          <w:p>
            <w:pPr>
              <w:adjustRightInd w:val="0"/>
              <w:spacing w:line="360" w:lineRule="auto"/>
              <w:ind w:firstLine="480" w:firstLineChars="200"/>
              <w:rPr>
                <w:snapToGrid w:val="0"/>
                <w:kern w:val="0"/>
                <w:sz w:val="24"/>
                <w:highlight w:val="none"/>
              </w:rPr>
            </w:pPr>
            <w:r>
              <w:rPr>
                <w:snapToGrid w:val="0"/>
                <w:kern w:val="0"/>
                <w:sz w:val="24"/>
                <w:highlight w:val="none"/>
              </w:rPr>
              <w:t>本项目劳动定员</w:t>
            </w:r>
            <w:r>
              <w:rPr>
                <w:rFonts w:hint="eastAsia"/>
                <w:snapToGrid w:val="0"/>
                <w:kern w:val="0"/>
                <w:sz w:val="24"/>
                <w:highlight w:val="none"/>
              </w:rPr>
              <w:t>15</w:t>
            </w:r>
            <w:r>
              <w:rPr>
                <w:snapToGrid w:val="0"/>
                <w:kern w:val="0"/>
                <w:sz w:val="24"/>
                <w:highlight w:val="none"/>
              </w:rPr>
              <w:t>人，年工作</w:t>
            </w:r>
            <w:r>
              <w:rPr>
                <w:rFonts w:hint="eastAsia"/>
                <w:snapToGrid w:val="0"/>
                <w:kern w:val="0"/>
                <w:sz w:val="24"/>
                <w:highlight w:val="none"/>
              </w:rPr>
              <w:t>120</w:t>
            </w:r>
            <w:r>
              <w:rPr>
                <w:snapToGrid w:val="0"/>
                <w:kern w:val="0"/>
                <w:sz w:val="24"/>
                <w:highlight w:val="none"/>
              </w:rPr>
              <w:t>天</w:t>
            </w:r>
            <w:r>
              <w:rPr>
                <w:rFonts w:hint="eastAsia"/>
                <w:snapToGrid w:val="0"/>
                <w:kern w:val="0"/>
                <w:sz w:val="24"/>
                <w:highlight w:val="none"/>
              </w:rPr>
              <w:t>（</w:t>
            </w:r>
            <w:r>
              <w:rPr>
                <w:rFonts w:hint="eastAsia"/>
                <w:snapToGrid w:val="0"/>
                <w:kern w:val="0"/>
                <w:sz w:val="24"/>
                <w:highlight w:val="none"/>
                <w:lang w:val="en-US" w:eastAsia="zh-CN"/>
              </w:rPr>
              <w:t>6月~9月</w:t>
            </w:r>
            <w:r>
              <w:rPr>
                <w:snapToGrid w:val="0"/>
                <w:kern w:val="0"/>
                <w:sz w:val="24"/>
                <w:highlight w:val="none"/>
              </w:rPr>
              <w:t>），</w:t>
            </w:r>
            <w:r>
              <w:rPr>
                <w:rFonts w:hint="eastAsia"/>
                <w:snapToGrid w:val="0"/>
                <w:kern w:val="0"/>
                <w:sz w:val="24"/>
                <w:highlight w:val="none"/>
              </w:rPr>
              <w:t>每天工作8</w:t>
            </w:r>
            <w:r>
              <w:rPr>
                <w:snapToGrid w:val="0"/>
                <w:kern w:val="0"/>
                <w:sz w:val="24"/>
                <w:highlight w:val="none"/>
              </w:rPr>
              <w:t>h，不设食堂和宿舍。</w:t>
            </w:r>
          </w:p>
          <w:p>
            <w:pPr>
              <w:pStyle w:val="27"/>
              <w:widowControl w:val="0"/>
              <w:snapToGrid/>
              <w:spacing w:before="0" w:after="0" w:line="360" w:lineRule="auto"/>
              <w:ind w:right="0" w:firstLine="0" w:firstLineChars="0"/>
              <w:rPr>
                <w:sz w:val="24"/>
                <w:szCs w:val="24"/>
                <w:highlight w:val="none"/>
              </w:rPr>
            </w:pPr>
            <w:r>
              <w:rPr>
                <w:rFonts w:hint="eastAsia"/>
                <w:b/>
                <w:bCs/>
                <w:sz w:val="24"/>
                <w:szCs w:val="24"/>
                <w:highlight w:val="none"/>
              </w:rPr>
              <w:t>6</w:t>
            </w:r>
            <w:r>
              <w:rPr>
                <w:b/>
                <w:bCs/>
                <w:sz w:val="24"/>
                <w:szCs w:val="24"/>
                <w:highlight w:val="none"/>
              </w:rPr>
              <w:t>、公用工程</w:t>
            </w:r>
            <w:r>
              <w:rPr>
                <w:sz w:val="24"/>
                <w:szCs w:val="24"/>
                <w:highlight w:val="none"/>
              </w:rPr>
              <w:t xml:space="preserve">  </w:t>
            </w:r>
          </w:p>
          <w:p>
            <w:pPr>
              <w:tabs>
                <w:tab w:val="left" w:pos="630"/>
              </w:tabs>
              <w:spacing w:line="360" w:lineRule="auto"/>
              <w:ind w:firstLine="480" w:firstLineChars="200"/>
              <w:rPr>
                <w:sz w:val="24"/>
                <w:highlight w:val="none"/>
              </w:rPr>
            </w:pPr>
            <w:r>
              <w:rPr>
                <w:rFonts w:hint="eastAsia"/>
                <w:sz w:val="24"/>
                <w:highlight w:val="none"/>
              </w:rPr>
              <w:t>（1）</w:t>
            </w:r>
            <w:r>
              <w:rPr>
                <w:sz w:val="24"/>
                <w:highlight w:val="none"/>
              </w:rPr>
              <w:t>给水</w:t>
            </w:r>
          </w:p>
          <w:p>
            <w:pPr>
              <w:tabs>
                <w:tab w:val="left" w:pos="630"/>
              </w:tabs>
              <w:spacing w:line="360" w:lineRule="auto"/>
              <w:ind w:firstLine="480" w:firstLineChars="200"/>
              <w:rPr>
                <w:sz w:val="24"/>
                <w:highlight w:val="none"/>
              </w:rPr>
            </w:pPr>
            <w:r>
              <w:rPr>
                <w:sz w:val="24"/>
                <w:highlight w:val="none"/>
              </w:rPr>
              <w:t>本项目生产用水</w:t>
            </w:r>
            <w:r>
              <w:rPr>
                <w:rFonts w:hint="eastAsia"/>
                <w:sz w:val="24"/>
                <w:highlight w:val="none"/>
              </w:rPr>
              <w:t>及</w:t>
            </w:r>
            <w:r>
              <w:rPr>
                <w:sz w:val="24"/>
                <w:highlight w:val="none"/>
              </w:rPr>
              <w:t>生活用水由</w:t>
            </w:r>
            <w:r>
              <w:rPr>
                <w:rFonts w:hint="eastAsia"/>
                <w:sz w:val="24"/>
                <w:highlight w:val="none"/>
                <w:lang w:val="en-US" w:eastAsia="zh-CN"/>
              </w:rPr>
              <w:t>厂区现有水井提供</w:t>
            </w:r>
            <w:r>
              <w:rPr>
                <w:sz w:val="24"/>
                <w:highlight w:val="none"/>
              </w:rPr>
              <w:t>，可保证本项目的用水需求。</w:t>
            </w:r>
          </w:p>
          <w:p>
            <w:pPr>
              <w:tabs>
                <w:tab w:val="left" w:pos="630"/>
              </w:tabs>
              <w:spacing w:line="360" w:lineRule="auto"/>
              <w:ind w:firstLine="480" w:firstLineChars="200"/>
              <w:rPr>
                <w:sz w:val="24"/>
                <w:highlight w:val="none"/>
              </w:rPr>
            </w:pPr>
            <w:r>
              <w:rPr>
                <w:sz w:val="24"/>
                <w:highlight w:val="none"/>
              </w:rPr>
              <w:fldChar w:fldCharType="begin"/>
            </w:r>
            <w:r>
              <w:rPr>
                <w:sz w:val="24"/>
                <w:highlight w:val="none"/>
              </w:rPr>
              <w:instrText xml:space="preserve"> = 1 \* GB3 \* MERGEFORMAT </w:instrText>
            </w:r>
            <w:r>
              <w:rPr>
                <w:sz w:val="24"/>
                <w:highlight w:val="none"/>
              </w:rPr>
              <w:fldChar w:fldCharType="separate"/>
            </w:r>
            <w:r>
              <w:rPr>
                <w:sz w:val="24"/>
                <w:highlight w:val="none"/>
              </w:rPr>
              <w:t>①</w:t>
            </w:r>
            <w:r>
              <w:rPr>
                <w:sz w:val="24"/>
                <w:highlight w:val="none"/>
              </w:rPr>
              <w:fldChar w:fldCharType="end"/>
            </w:r>
            <w:r>
              <w:rPr>
                <w:rFonts w:hint="eastAsia"/>
                <w:sz w:val="24"/>
                <w:highlight w:val="none"/>
              </w:rPr>
              <w:t>生活用水</w:t>
            </w:r>
          </w:p>
          <w:p>
            <w:pPr>
              <w:pStyle w:val="72"/>
              <w:spacing w:line="360" w:lineRule="auto"/>
              <w:ind w:firstLineChars="200"/>
              <w:rPr>
                <w:highlight w:val="none"/>
              </w:rPr>
            </w:pPr>
            <w:r>
              <w:rPr>
                <w:rFonts w:hint="eastAsia"/>
                <w:highlight w:val="none"/>
              </w:rPr>
              <w:t>厂区劳动定员共计15人，年工作120天计，</w:t>
            </w:r>
            <w:r>
              <w:rPr>
                <w:highlight w:val="none"/>
              </w:rPr>
              <w:t>根据黑龙江省地方标准《用水定额》（DB23/T727-2021），生活用水按每人80L/d计，</w:t>
            </w:r>
            <w:r>
              <w:rPr>
                <w:rFonts w:hint="eastAsia"/>
                <w:highlight w:val="none"/>
              </w:rPr>
              <w:t>厂区生活</w:t>
            </w:r>
            <w:r>
              <w:rPr>
                <w:highlight w:val="none"/>
              </w:rPr>
              <w:t>用水量约</w:t>
            </w:r>
            <w:r>
              <w:rPr>
                <w:rFonts w:hint="eastAsia"/>
                <w:highlight w:val="none"/>
              </w:rPr>
              <w:t>1.2</w:t>
            </w:r>
            <w:r>
              <w:rPr>
                <w:highlight w:val="none"/>
              </w:rPr>
              <w:t>m</w:t>
            </w:r>
            <w:r>
              <w:rPr>
                <w:highlight w:val="none"/>
                <w:vertAlign w:val="superscript"/>
              </w:rPr>
              <w:t>3</w:t>
            </w:r>
            <w:r>
              <w:rPr>
                <w:highlight w:val="none"/>
              </w:rPr>
              <w:t>/d，</w:t>
            </w:r>
            <w:r>
              <w:rPr>
                <w:rFonts w:hint="eastAsia"/>
                <w:highlight w:val="none"/>
              </w:rPr>
              <w:t>144</w:t>
            </w:r>
            <w:r>
              <w:rPr>
                <w:highlight w:val="none"/>
              </w:rPr>
              <w:t>m</w:t>
            </w:r>
            <w:r>
              <w:rPr>
                <w:highlight w:val="none"/>
                <w:vertAlign w:val="superscript"/>
              </w:rPr>
              <w:t>3</w:t>
            </w:r>
            <w:r>
              <w:rPr>
                <w:highlight w:val="none"/>
              </w:rPr>
              <w:t>/a。</w:t>
            </w:r>
          </w:p>
          <w:p>
            <w:pPr>
              <w:pStyle w:val="72"/>
              <w:spacing w:line="360" w:lineRule="auto"/>
              <w:ind w:firstLineChars="200"/>
              <w:rPr>
                <w:highlight w:val="none"/>
              </w:rPr>
            </w:pPr>
            <w:r>
              <w:rPr>
                <w:rFonts w:hint="eastAsia"/>
                <w:highlight w:val="none"/>
              </w:rPr>
              <w:fldChar w:fldCharType="begin"/>
            </w:r>
            <w:r>
              <w:rPr>
                <w:rFonts w:hint="eastAsia"/>
                <w:highlight w:val="none"/>
              </w:rPr>
              <w:instrText xml:space="preserve"> = 2 \* GB3 \* MERGEFORMAT </w:instrText>
            </w:r>
            <w:r>
              <w:rPr>
                <w:rFonts w:hint="eastAsia"/>
                <w:highlight w:val="none"/>
              </w:rPr>
              <w:fldChar w:fldCharType="separate"/>
            </w:r>
            <w:r>
              <w:rPr>
                <w:highlight w:val="none"/>
              </w:rPr>
              <w:t>②</w:t>
            </w:r>
            <w:r>
              <w:rPr>
                <w:rFonts w:hint="eastAsia"/>
                <w:highlight w:val="none"/>
              </w:rPr>
              <w:fldChar w:fldCharType="end"/>
            </w:r>
            <w:r>
              <w:rPr>
                <w:rFonts w:hint="eastAsia"/>
                <w:highlight w:val="none"/>
              </w:rPr>
              <w:t>锅炉用水</w:t>
            </w:r>
          </w:p>
          <w:p>
            <w:pPr>
              <w:pStyle w:val="72"/>
              <w:spacing w:line="360" w:lineRule="auto"/>
              <w:ind w:firstLineChars="200"/>
              <w:rPr>
                <w:highlight w:val="none"/>
              </w:rPr>
            </w:pPr>
            <w:r>
              <w:rPr>
                <w:rFonts w:hint="eastAsia"/>
                <w:highlight w:val="none"/>
              </w:rPr>
              <w:t>本项目设置软化水系统。本项目锅炉排污水为2t/d，240t/a（锅炉排污水及软化处理废水），项目锅炉产生蒸汽主要进入产品及损耗，项目使用蒸汽为4t/h，锅炉蒸汽量32t/d，3840t/a。项目新鲜水量为34t/d，4080t/a。</w:t>
            </w:r>
          </w:p>
          <w:p>
            <w:pPr>
              <w:pStyle w:val="72"/>
              <w:spacing w:line="360" w:lineRule="auto"/>
              <w:ind w:firstLineChars="200"/>
              <w:rPr>
                <w:highlight w:val="none"/>
              </w:rPr>
            </w:pPr>
            <w:r>
              <w:rPr>
                <w:rFonts w:hint="eastAsia"/>
                <w:highlight w:val="none"/>
              </w:rPr>
              <w:fldChar w:fldCharType="begin"/>
            </w:r>
            <w:r>
              <w:rPr>
                <w:rFonts w:hint="eastAsia"/>
                <w:highlight w:val="none"/>
              </w:rPr>
              <w:instrText xml:space="preserve"> = 3 \* GB3 \* MERGEFORMAT </w:instrText>
            </w:r>
            <w:r>
              <w:rPr>
                <w:rFonts w:hint="eastAsia"/>
                <w:highlight w:val="none"/>
              </w:rPr>
              <w:fldChar w:fldCharType="separate"/>
            </w:r>
            <w:r>
              <w:rPr>
                <w:highlight w:val="none"/>
              </w:rPr>
              <w:t>③</w:t>
            </w:r>
            <w:r>
              <w:rPr>
                <w:rFonts w:hint="eastAsia"/>
                <w:highlight w:val="none"/>
              </w:rPr>
              <w:fldChar w:fldCharType="end"/>
            </w:r>
            <w:r>
              <w:rPr>
                <w:rFonts w:hint="eastAsia"/>
                <w:highlight w:val="none"/>
              </w:rPr>
              <w:t>玉米清洗用水</w:t>
            </w:r>
          </w:p>
          <w:p>
            <w:pPr>
              <w:pStyle w:val="72"/>
              <w:spacing w:line="360" w:lineRule="auto"/>
              <w:ind w:firstLineChars="200"/>
              <w:rPr>
                <w:highlight w:val="none"/>
              </w:rPr>
            </w:pPr>
            <w:r>
              <w:rPr>
                <w:rFonts w:hint="eastAsia"/>
                <w:highlight w:val="none"/>
              </w:rPr>
              <w:t>项目玉米清洗机采用喷淋方式对玉米进行清洗，喷淋清洗设施下设有收集清洗废水水槽，水槽设有过滤网，可将玉米须、玉米渣等固体废物过滤，过滤后的水可循环使用。玉米清洗循环水大部分被玉米带走，根据损耗程度及时补水，水槽中的水每天排放一次，以每吨玉米清洗损耗0.06t/d计，则鲜食玉米清洗水损耗量约为0.5t/d(60t/a），玉米循环水每天更新一次，循环量约1m</w:t>
            </w:r>
            <w:r>
              <w:rPr>
                <w:rFonts w:hint="eastAsia"/>
                <w:highlight w:val="none"/>
                <w:vertAlign w:val="superscript"/>
              </w:rPr>
              <w:t>3</w:t>
            </w:r>
            <w:r>
              <w:rPr>
                <w:rFonts w:hint="eastAsia"/>
                <w:highlight w:val="none"/>
              </w:rPr>
              <w:t>，则循环水用水量为1t/d，120t/a。</w:t>
            </w:r>
          </w:p>
          <w:p>
            <w:pPr>
              <w:pStyle w:val="72"/>
              <w:spacing w:line="360" w:lineRule="auto"/>
              <w:ind w:firstLineChars="200"/>
              <w:rPr>
                <w:highlight w:val="none"/>
              </w:rPr>
            </w:pPr>
            <w:r>
              <w:rPr>
                <w:rFonts w:hint="eastAsia"/>
                <w:highlight w:val="none"/>
              </w:rPr>
              <w:fldChar w:fldCharType="begin"/>
            </w:r>
            <w:r>
              <w:rPr>
                <w:rFonts w:hint="eastAsia"/>
                <w:highlight w:val="none"/>
              </w:rPr>
              <w:instrText xml:space="preserve"> = 4 \* GB3 \* MERGEFORMAT </w:instrText>
            </w:r>
            <w:r>
              <w:rPr>
                <w:rFonts w:hint="eastAsia"/>
                <w:highlight w:val="none"/>
              </w:rPr>
              <w:fldChar w:fldCharType="separate"/>
            </w:r>
            <w:r>
              <w:rPr>
                <w:highlight w:val="none"/>
              </w:rPr>
              <w:t>④</w:t>
            </w:r>
            <w:r>
              <w:rPr>
                <w:rFonts w:hint="eastAsia"/>
                <w:highlight w:val="none"/>
              </w:rPr>
              <w:fldChar w:fldCharType="end"/>
            </w:r>
            <w:r>
              <w:rPr>
                <w:rFonts w:hint="eastAsia"/>
                <w:highlight w:val="none"/>
              </w:rPr>
              <w:t>设备清洗用水</w:t>
            </w:r>
          </w:p>
          <w:p>
            <w:pPr>
              <w:pStyle w:val="72"/>
              <w:spacing w:line="360" w:lineRule="auto"/>
              <w:ind w:firstLineChars="200"/>
              <w:rPr>
                <w:highlight w:val="none"/>
              </w:rPr>
            </w:pPr>
            <w:r>
              <w:rPr>
                <w:rFonts w:hint="eastAsia"/>
                <w:highlight w:val="none"/>
              </w:rPr>
              <w:t>本项目生产线连续生产一个周期后，需要对使用的设备进行一次清洗。根据企业提供材料，一次清洗用水量约2t。按年生产120天，每15天清洗1次，共用水量16</w:t>
            </w:r>
            <w:r>
              <w:rPr>
                <w:highlight w:val="none"/>
              </w:rPr>
              <w:t>t/a</w:t>
            </w:r>
            <w:r>
              <w:rPr>
                <w:rFonts w:hint="eastAsia"/>
                <w:highlight w:val="none"/>
              </w:rPr>
              <w:t>。</w:t>
            </w:r>
          </w:p>
          <w:p>
            <w:pPr>
              <w:pStyle w:val="126"/>
              <w:ind w:firstLine="480"/>
              <w:rPr>
                <w:rFonts w:cs="Times New Roman"/>
                <w:sz w:val="24"/>
                <w:highlight w:val="none"/>
              </w:rPr>
            </w:pPr>
            <w:r>
              <w:rPr>
                <w:rFonts w:cs="Times New Roman"/>
                <w:sz w:val="24"/>
                <w:highlight w:val="none"/>
              </w:rPr>
              <w:t>综上，本项目用水量为</w:t>
            </w:r>
            <w:r>
              <w:rPr>
                <w:rFonts w:hint="eastAsia" w:cs="Times New Roman"/>
                <w:sz w:val="24"/>
                <w:highlight w:val="none"/>
              </w:rPr>
              <w:t>36.83</w:t>
            </w:r>
            <w:r>
              <w:rPr>
                <w:rFonts w:cs="Times New Roman"/>
                <w:sz w:val="24"/>
                <w:highlight w:val="none"/>
              </w:rPr>
              <w:t>t/d，</w:t>
            </w:r>
            <w:r>
              <w:rPr>
                <w:rFonts w:hint="eastAsia" w:cs="Times New Roman"/>
                <w:sz w:val="24"/>
                <w:highlight w:val="none"/>
              </w:rPr>
              <w:t>4420</w:t>
            </w:r>
            <w:r>
              <w:rPr>
                <w:rFonts w:cs="Times New Roman"/>
                <w:sz w:val="24"/>
                <w:highlight w:val="none"/>
              </w:rPr>
              <w:t>t/a。</w:t>
            </w:r>
          </w:p>
          <w:p>
            <w:pPr>
              <w:pStyle w:val="126"/>
              <w:ind w:firstLine="480"/>
              <w:rPr>
                <w:rFonts w:cs="Times New Roman"/>
                <w:color w:val="auto"/>
                <w:sz w:val="24"/>
                <w:highlight w:val="none"/>
              </w:rPr>
            </w:pPr>
            <w:r>
              <w:rPr>
                <w:rFonts w:hint="eastAsia" w:cs="Times New Roman"/>
                <w:color w:val="auto"/>
                <w:sz w:val="24"/>
                <w:highlight w:val="none"/>
              </w:rPr>
              <w:t>鲜食</w:t>
            </w:r>
            <w:r>
              <w:rPr>
                <w:rFonts w:cs="Times New Roman"/>
                <w:color w:val="auto"/>
                <w:sz w:val="24"/>
                <w:highlight w:val="none"/>
              </w:rPr>
              <w:t>玉米：加工前后含水率不变，均为70%。</w:t>
            </w:r>
          </w:p>
          <w:p>
            <w:pPr>
              <w:pStyle w:val="72"/>
              <w:spacing w:line="360" w:lineRule="auto"/>
              <w:ind w:firstLineChars="200"/>
              <w:rPr>
                <w:highlight w:val="none"/>
              </w:rPr>
            </w:pPr>
            <w:r>
              <w:rPr>
                <w:rFonts w:hint="eastAsia"/>
                <w:highlight w:val="none"/>
              </w:rPr>
              <w:t>（2）</w:t>
            </w:r>
            <w:r>
              <w:rPr>
                <w:highlight w:val="none"/>
              </w:rPr>
              <w:t>排水</w:t>
            </w:r>
          </w:p>
          <w:p>
            <w:pPr>
              <w:pStyle w:val="72"/>
              <w:spacing w:line="360" w:lineRule="auto"/>
              <w:ind w:firstLineChars="200"/>
              <w:rPr>
                <w:highlight w:val="none"/>
              </w:rPr>
            </w:pPr>
            <w:r>
              <w:rPr>
                <w:rFonts w:hint="eastAsia"/>
                <w:highlight w:val="none"/>
              </w:rPr>
              <w:fldChar w:fldCharType="begin"/>
            </w:r>
            <w:r>
              <w:rPr>
                <w:rFonts w:hint="eastAsia"/>
                <w:highlight w:val="none"/>
              </w:rPr>
              <w:instrText xml:space="preserve"> = 1 \* GB3 \* MERGEFORMAT </w:instrText>
            </w:r>
            <w:r>
              <w:rPr>
                <w:rFonts w:hint="eastAsia"/>
                <w:highlight w:val="none"/>
              </w:rPr>
              <w:fldChar w:fldCharType="separate"/>
            </w:r>
            <w:r>
              <w:rPr>
                <w:highlight w:val="none"/>
              </w:rPr>
              <w:t>①</w:t>
            </w:r>
            <w:r>
              <w:rPr>
                <w:rFonts w:hint="eastAsia"/>
                <w:highlight w:val="none"/>
              </w:rPr>
              <w:fldChar w:fldCharType="end"/>
            </w:r>
            <w:r>
              <w:rPr>
                <w:rFonts w:hint="eastAsia"/>
                <w:highlight w:val="none"/>
              </w:rPr>
              <w:t>生活污水</w:t>
            </w:r>
          </w:p>
          <w:p>
            <w:pPr>
              <w:pStyle w:val="72"/>
              <w:spacing w:line="360" w:lineRule="auto"/>
              <w:ind w:firstLineChars="200"/>
              <w:rPr>
                <w:highlight w:val="none"/>
              </w:rPr>
            </w:pPr>
            <w:r>
              <w:rPr>
                <w:highlight w:val="none"/>
              </w:rPr>
              <w:t>员工生活污水排放量按产生量的80%计，则排水量为</w:t>
            </w:r>
            <w:r>
              <w:rPr>
                <w:rFonts w:hint="eastAsia"/>
                <w:highlight w:val="none"/>
              </w:rPr>
              <w:t>0.96</w:t>
            </w:r>
            <w:r>
              <w:rPr>
                <w:highlight w:val="none"/>
              </w:rPr>
              <w:t>m</w:t>
            </w:r>
            <w:r>
              <w:rPr>
                <w:highlight w:val="none"/>
                <w:vertAlign w:val="superscript"/>
              </w:rPr>
              <w:t>3</w:t>
            </w:r>
            <w:r>
              <w:rPr>
                <w:highlight w:val="none"/>
              </w:rPr>
              <w:t>/d，</w:t>
            </w:r>
            <w:r>
              <w:rPr>
                <w:rFonts w:hint="eastAsia"/>
                <w:highlight w:val="none"/>
              </w:rPr>
              <w:t>115.2</w:t>
            </w:r>
            <w:r>
              <w:rPr>
                <w:highlight w:val="none"/>
              </w:rPr>
              <w:t>m</w:t>
            </w:r>
            <w:r>
              <w:rPr>
                <w:highlight w:val="none"/>
                <w:vertAlign w:val="superscript"/>
              </w:rPr>
              <w:t>3</w:t>
            </w:r>
            <w:r>
              <w:rPr>
                <w:highlight w:val="none"/>
              </w:rPr>
              <w:t>/a。</w:t>
            </w:r>
          </w:p>
          <w:p>
            <w:pPr>
              <w:pStyle w:val="72"/>
              <w:spacing w:line="360" w:lineRule="auto"/>
              <w:ind w:firstLineChars="200"/>
              <w:rPr>
                <w:highlight w:val="none"/>
              </w:rPr>
            </w:pPr>
            <w:r>
              <w:rPr>
                <w:rFonts w:hint="eastAsia"/>
                <w:highlight w:val="none"/>
              </w:rPr>
              <w:fldChar w:fldCharType="begin"/>
            </w:r>
            <w:r>
              <w:rPr>
                <w:rFonts w:hint="eastAsia"/>
                <w:highlight w:val="none"/>
              </w:rPr>
              <w:instrText xml:space="preserve"> = 2 \* GB3 \* MERGEFORMAT </w:instrText>
            </w:r>
            <w:r>
              <w:rPr>
                <w:rFonts w:hint="eastAsia"/>
                <w:highlight w:val="none"/>
              </w:rPr>
              <w:fldChar w:fldCharType="separate"/>
            </w:r>
            <w:r>
              <w:rPr>
                <w:highlight w:val="none"/>
              </w:rPr>
              <w:t>②</w:t>
            </w:r>
            <w:r>
              <w:rPr>
                <w:rFonts w:hint="eastAsia"/>
                <w:highlight w:val="none"/>
              </w:rPr>
              <w:fldChar w:fldCharType="end"/>
            </w:r>
            <w:r>
              <w:rPr>
                <w:rFonts w:hint="eastAsia"/>
                <w:highlight w:val="none"/>
              </w:rPr>
              <w:t>锅炉排污水</w:t>
            </w:r>
          </w:p>
          <w:p>
            <w:pPr>
              <w:pStyle w:val="72"/>
              <w:spacing w:line="360" w:lineRule="auto"/>
              <w:ind w:firstLineChars="200"/>
              <w:rPr>
                <w:highlight w:val="none"/>
              </w:rPr>
            </w:pPr>
            <w:r>
              <w:rPr>
                <w:highlight w:val="none"/>
              </w:rPr>
              <w:t>根据《排放源统计调查产排污核算方法和系数手册》中“4430工业锅炉（热力供应）行业系数手册”中产污系数，燃生物质锅炉（锅外水处理）废水产生系数为0.356吨/吨-原料，本项目生物质成型燃料使用量为</w:t>
            </w:r>
            <w:r>
              <w:rPr>
                <w:rFonts w:hint="eastAsia"/>
                <w:highlight w:val="none"/>
              </w:rPr>
              <w:t>672t</w:t>
            </w:r>
            <w:r>
              <w:rPr>
                <w:highlight w:val="none"/>
              </w:rPr>
              <w:t>/a，则锅炉排污水和软化处理废水总的产生量为</w:t>
            </w:r>
            <w:r>
              <w:rPr>
                <w:rFonts w:hint="eastAsia"/>
                <w:highlight w:val="none"/>
              </w:rPr>
              <w:t>2</w:t>
            </w:r>
            <w:r>
              <w:rPr>
                <w:highlight w:val="none"/>
              </w:rPr>
              <w:t>t/d，</w:t>
            </w:r>
            <w:r>
              <w:rPr>
                <w:rFonts w:hint="eastAsia"/>
                <w:highlight w:val="none"/>
              </w:rPr>
              <w:t>240</w:t>
            </w:r>
            <w:r>
              <w:rPr>
                <w:highlight w:val="none"/>
              </w:rPr>
              <w:t>t/a。锅炉排污水</w:t>
            </w:r>
            <w:r>
              <w:rPr>
                <w:rFonts w:hint="eastAsia"/>
                <w:highlight w:val="none"/>
              </w:rPr>
              <w:t>及软化处理废水</w:t>
            </w:r>
            <w:r>
              <w:rPr>
                <w:highlight w:val="none"/>
              </w:rPr>
              <w:t>用于锅炉房、灰渣及厂区的洒水降尘。</w:t>
            </w:r>
          </w:p>
          <w:p>
            <w:pPr>
              <w:pStyle w:val="72"/>
              <w:spacing w:line="360" w:lineRule="auto"/>
              <w:ind w:firstLineChars="200"/>
              <w:rPr>
                <w:highlight w:val="none"/>
              </w:rPr>
            </w:pPr>
            <w:r>
              <w:rPr>
                <w:rFonts w:hint="eastAsia"/>
                <w:highlight w:val="none"/>
              </w:rPr>
              <w:fldChar w:fldCharType="begin"/>
            </w:r>
            <w:r>
              <w:rPr>
                <w:rFonts w:hint="eastAsia"/>
                <w:highlight w:val="none"/>
              </w:rPr>
              <w:instrText xml:space="preserve"> = 3 \* GB3 \* MERGEFORMAT </w:instrText>
            </w:r>
            <w:r>
              <w:rPr>
                <w:rFonts w:hint="eastAsia"/>
                <w:highlight w:val="none"/>
              </w:rPr>
              <w:fldChar w:fldCharType="separate"/>
            </w:r>
            <w:r>
              <w:rPr>
                <w:highlight w:val="none"/>
              </w:rPr>
              <w:t>③</w:t>
            </w:r>
            <w:r>
              <w:rPr>
                <w:rFonts w:hint="eastAsia"/>
                <w:highlight w:val="none"/>
              </w:rPr>
              <w:fldChar w:fldCharType="end"/>
            </w:r>
            <w:r>
              <w:rPr>
                <w:rFonts w:hint="eastAsia"/>
                <w:highlight w:val="none"/>
              </w:rPr>
              <w:t>玉米清洗废水</w:t>
            </w:r>
          </w:p>
          <w:p>
            <w:pPr>
              <w:pStyle w:val="126"/>
              <w:ind w:firstLine="480"/>
              <w:rPr>
                <w:rFonts w:cs="Times New Roman"/>
                <w:sz w:val="24"/>
                <w:highlight w:val="none"/>
                <w:lang w:val="zh-CN"/>
              </w:rPr>
            </w:pPr>
            <w:r>
              <w:rPr>
                <w:rFonts w:cs="Times New Roman"/>
                <w:sz w:val="24"/>
                <w:highlight w:val="none"/>
                <w:lang w:val="zh-CN"/>
              </w:rPr>
              <w:t>玉米清洗水循环使用，大部分被玉米带走，根据损耗程度及时补水，水槽中的水每天排放一次，</w:t>
            </w:r>
            <w:r>
              <w:rPr>
                <w:rFonts w:hint="eastAsia" w:cs="Times New Roman"/>
                <w:sz w:val="24"/>
                <w:highlight w:val="none"/>
              </w:rPr>
              <w:t>鲜食</w:t>
            </w:r>
            <w:r>
              <w:rPr>
                <w:rFonts w:cs="Times New Roman"/>
                <w:sz w:val="24"/>
                <w:highlight w:val="none"/>
                <w:lang w:val="zh-CN"/>
              </w:rPr>
              <w:t>玉米生产线清洗废水排放量约</w:t>
            </w:r>
            <w:r>
              <w:rPr>
                <w:rFonts w:hint="eastAsia" w:cs="Times New Roman"/>
                <w:sz w:val="24"/>
                <w:highlight w:val="none"/>
              </w:rPr>
              <w:t>1</w:t>
            </w:r>
            <w:r>
              <w:rPr>
                <w:rFonts w:cs="Times New Roman"/>
                <w:sz w:val="24"/>
                <w:highlight w:val="none"/>
              </w:rPr>
              <w:t>t/d，</w:t>
            </w:r>
            <w:r>
              <w:rPr>
                <w:rFonts w:hint="eastAsia" w:cs="Times New Roman"/>
                <w:sz w:val="24"/>
                <w:highlight w:val="none"/>
              </w:rPr>
              <w:t>120</w:t>
            </w:r>
            <w:r>
              <w:rPr>
                <w:rFonts w:cs="Times New Roman"/>
                <w:sz w:val="24"/>
                <w:highlight w:val="none"/>
              </w:rPr>
              <w:t>t/a</w:t>
            </w:r>
            <w:r>
              <w:rPr>
                <w:rFonts w:cs="Times New Roman"/>
                <w:sz w:val="24"/>
                <w:highlight w:val="none"/>
                <w:lang w:val="zh-CN"/>
              </w:rPr>
              <w:t>。</w:t>
            </w:r>
          </w:p>
          <w:p>
            <w:pPr>
              <w:pStyle w:val="72"/>
              <w:spacing w:line="360" w:lineRule="auto"/>
              <w:ind w:firstLineChars="200"/>
              <w:rPr>
                <w:highlight w:val="none"/>
              </w:rPr>
            </w:pPr>
            <w:r>
              <w:rPr>
                <w:rFonts w:hint="eastAsia"/>
                <w:highlight w:val="none"/>
              </w:rPr>
              <w:fldChar w:fldCharType="begin"/>
            </w:r>
            <w:r>
              <w:rPr>
                <w:rFonts w:hint="eastAsia"/>
                <w:highlight w:val="none"/>
              </w:rPr>
              <w:instrText xml:space="preserve"> = 4 \* GB3 \* MERGEFORMAT </w:instrText>
            </w:r>
            <w:r>
              <w:rPr>
                <w:rFonts w:hint="eastAsia"/>
                <w:highlight w:val="none"/>
              </w:rPr>
              <w:fldChar w:fldCharType="separate"/>
            </w:r>
            <w:r>
              <w:rPr>
                <w:highlight w:val="none"/>
              </w:rPr>
              <w:t>④</w:t>
            </w:r>
            <w:r>
              <w:rPr>
                <w:rFonts w:hint="eastAsia"/>
                <w:highlight w:val="none"/>
              </w:rPr>
              <w:fldChar w:fldCharType="end"/>
            </w:r>
            <w:r>
              <w:rPr>
                <w:rFonts w:hint="eastAsia"/>
                <w:highlight w:val="none"/>
              </w:rPr>
              <w:t>设备清洗废水</w:t>
            </w:r>
          </w:p>
          <w:p>
            <w:pPr>
              <w:pStyle w:val="126"/>
              <w:ind w:firstLine="480"/>
              <w:rPr>
                <w:rFonts w:cs="Times New Roman"/>
                <w:color w:val="auto"/>
                <w:sz w:val="24"/>
                <w:highlight w:val="none"/>
                <w:lang w:val="zh-CN"/>
              </w:rPr>
            </w:pPr>
            <w:r>
              <w:rPr>
                <w:rFonts w:cs="Times New Roman"/>
                <w:color w:val="auto"/>
                <w:sz w:val="24"/>
                <w:highlight w:val="none"/>
                <w:lang w:val="zh-CN"/>
              </w:rPr>
              <w:t>设备清洗废水产生量按用水量的90%计算，则设备清洗废水产生量为</w:t>
            </w:r>
            <w:r>
              <w:rPr>
                <w:rFonts w:hint="eastAsia" w:cs="Times New Roman"/>
                <w:color w:val="auto"/>
                <w:sz w:val="24"/>
                <w:highlight w:val="none"/>
              </w:rPr>
              <w:t>14.4</w:t>
            </w:r>
            <w:r>
              <w:rPr>
                <w:rFonts w:cs="Times New Roman"/>
                <w:color w:val="auto"/>
                <w:sz w:val="24"/>
                <w:highlight w:val="none"/>
              </w:rPr>
              <w:t>t/a</w:t>
            </w:r>
            <w:r>
              <w:rPr>
                <w:rFonts w:cs="Times New Roman"/>
                <w:color w:val="auto"/>
                <w:sz w:val="24"/>
                <w:highlight w:val="none"/>
                <w:lang w:val="zh-CN"/>
              </w:rPr>
              <w:t>。</w:t>
            </w:r>
          </w:p>
          <w:p>
            <w:pPr>
              <w:pStyle w:val="72"/>
              <w:spacing w:line="360" w:lineRule="auto"/>
              <w:ind w:firstLineChars="200"/>
              <w:rPr>
                <w:highlight w:val="none"/>
              </w:rPr>
            </w:pPr>
            <w:r>
              <w:rPr>
                <w:rFonts w:hint="eastAsia"/>
                <w:highlight w:val="none"/>
              </w:rPr>
              <w:t>⑤冷凝水</w:t>
            </w:r>
          </w:p>
          <w:p>
            <w:pPr>
              <w:pStyle w:val="72"/>
              <w:spacing w:line="360" w:lineRule="auto"/>
              <w:ind w:firstLineChars="200"/>
              <w:rPr>
                <w:highlight w:val="none"/>
              </w:rPr>
            </w:pPr>
            <w:r>
              <w:rPr>
                <w:highlight w:val="none"/>
              </w:rPr>
              <w:t>由于玉米</w:t>
            </w:r>
            <w:r>
              <w:rPr>
                <w:rFonts w:hint="eastAsia"/>
                <w:highlight w:val="none"/>
              </w:rPr>
              <w:t>蒸煮</w:t>
            </w:r>
            <w:r>
              <w:rPr>
                <w:highlight w:val="none"/>
              </w:rPr>
              <w:t>工序是使用高温蒸汽直接与玉米接触使玉米快速变熟，玉米和设备与冷空气接触产生冷凝水，类比</w:t>
            </w:r>
            <w:r>
              <w:rPr>
                <w:kern w:val="0"/>
                <w:highlight w:val="none"/>
              </w:rPr>
              <w:t>《青冈县万德福粘玉米种植专业合作社速冻粘玉米加工项目竣工环境保护验收监测报告》</w:t>
            </w:r>
            <w:r>
              <w:rPr>
                <w:highlight w:val="none"/>
              </w:rPr>
              <w:t>，</w:t>
            </w:r>
            <w:r>
              <w:rPr>
                <w:rFonts w:hint="eastAsia"/>
                <w:highlight w:val="none"/>
              </w:rPr>
              <w:t>蒸煮</w:t>
            </w:r>
            <w:r>
              <w:rPr>
                <w:highlight w:val="none"/>
              </w:rPr>
              <w:t>冷凝水产生量为</w:t>
            </w:r>
            <w:r>
              <w:rPr>
                <w:rFonts w:hint="eastAsia"/>
                <w:highlight w:val="none"/>
              </w:rPr>
              <w:t>0.73</w:t>
            </w:r>
            <w:r>
              <w:rPr>
                <w:highlight w:val="none"/>
              </w:rPr>
              <w:t>t/d，</w:t>
            </w:r>
            <w:r>
              <w:rPr>
                <w:rFonts w:hint="eastAsia"/>
                <w:highlight w:val="none"/>
              </w:rPr>
              <w:t>88</w:t>
            </w:r>
            <w:r>
              <w:rPr>
                <w:highlight w:val="none"/>
              </w:rPr>
              <w:t>t/a</w:t>
            </w:r>
            <w:r>
              <w:rPr>
                <w:rFonts w:hint="eastAsia"/>
                <w:highlight w:val="none"/>
              </w:rPr>
              <w:t>。</w:t>
            </w:r>
          </w:p>
          <w:p>
            <w:pPr>
              <w:pStyle w:val="72"/>
              <w:spacing w:line="360" w:lineRule="auto"/>
              <w:ind w:firstLineChars="200"/>
              <w:rPr>
                <w:highlight w:val="none"/>
              </w:rPr>
            </w:pPr>
            <w:r>
              <w:rPr>
                <w:highlight w:val="none"/>
              </w:rPr>
              <w:t>生活污水量</w:t>
            </w:r>
            <w:r>
              <w:rPr>
                <w:rFonts w:hint="eastAsia"/>
                <w:highlight w:val="none"/>
              </w:rPr>
              <w:t>115.2</w:t>
            </w:r>
            <w:r>
              <w:rPr>
                <w:highlight w:val="none"/>
              </w:rPr>
              <w:t>m</w:t>
            </w:r>
            <w:r>
              <w:rPr>
                <w:highlight w:val="none"/>
                <w:vertAlign w:val="superscript"/>
              </w:rPr>
              <w:t>3</w:t>
            </w:r>
            <w:r>
              <w:rPr>
                <w:highlight w:val="none"/>
              </w:rPr>
              <w:t>/a</w:t>
            </w:r>
            <w:r>
              <w:rPr>
                <w:rFonts w:hint="eastAsia"/>
                <w:highlight w:val="none"/>
              </w:rPr>
              <w:t>，全厂生产废水合计462.4m</w:t>
            </w:r>
            <w:r>
              <w:rPr>
                <w:rFonts w:hint="eastAsia"/>
                <w:highlight w:val="none"/>
                <w:vertAlign w:val="superscript"/>
              </w:rPr>
              <w:t>3</w:t>
            </w:r>
            <w:r>
              <w:rPr>
                <w:rFonts w:hint="eastAsia"/>
                <w:highlight w:val="none"/>
              </w:rPr>
              <w:t>/</w:t>
            </w:r>
            <w:r>
              <w:rPr>
                <w:highlight w:val="none"/>
              </w:rPr>
              <w:t>a</w:t>
            </w:r>
            <w:r>
              <w:rPr>
                <w:rFonts w:hint="eastAsia"/>
                <w:highlight w:val="none"/>
              </w:rPr>
              <w:t>，其中，240</w:t>
            </w:r>
            <w:r>
              <w:rPr>
                <w:highlight w:val="none"/>
              </w:rPr>
              <w:t>t/a锅炉排污水及软化处理废水用于锅炉房、灰渣及厂区的洒水降尘</w:t>
            </w:r>
            <w:r>
              <w:rPr>
                <w:rFonts w:hint="eastAsia"/>
                <w:highlight w:val="none"/>
              </w:rPr>
              <w:t>，</w:t>
            </w:r>
            <w:r>
              <w:rPr>
                <w:highlight w:val="none"/>
              </w:rPr>
              <w:t>生活污水、</w:t>
            </w:r>
            <w:r>
              <w:rPr>
                <w:rFonts w:hint="eastAsia"/>
                <w:highlight w:val="none"/>
              </w:rPr>
              <w:t>玉米清洗废水、</w:t>
            </w:r>
            <w:r>
              <w:rPr>
                <w:highlight w:val="none"/>
              </w:rPr>
              <w:t>设备清洗废水、冷凝水</w:t>
            </w:r>
            <w:r>
              <w:rPr>
                <w:rFonts w:hint="eastAsia"/>
                <w:highlight w:val="none"/>
              </w:rPr>
              <w:t>合计337.6t/a，</w:t>
            </w:r>
            <w:r>
              <w:rPr>
                <w:highlight w:val="none"/>
              </w:rPr>
              <w:t>满足</w:t>
            </w:r>
            <w:r>
              <w:rPr>
                <w:rFonts w:hint="eastAsia"/>
                <w:highlight w:val="none"/>
              </w:rPr>
              <w:t>《污水综合排放标准》（GB8978-1996）表4中三级标准限值要求</w:t>
            </w:r>
            <w:r>
              <w:rPr>
                <w:rFonts w:hint="eastAsia"/>
                <w:highlight w:val="none"/>
                <w:lang w:val="en-US" w:eastAsia="zh-CN"/>
              </w:rPr>
              <w:t>及污水处理厂进水水质要求</w:t>
            </w:r>
            <w:r>
              <w:rPr>
                <w:highlight w:val="none"/>
              </w:rPr>
              <w:t>，排入厂区新建4m×2.5m×2m，总容积为20m</w:t>
            </w:r>
            <w:r>
              <w:rPr>
                <w:highlight w:val="none"/>
                <w:vertAlign w:val="superscript"/>
              </w:rPr>
              <w:t>3</w:t>
            </w:r>
            <w:r>
              <w:rPr>
                <w:highlight w:val="none"/>
              </w:rPr>
              <w:t>的双层防渗污水储池1座，</w:t>
            </w:r>
            <w:r>
              <w:rPr>
                <w:rFonts w:hint="eastAsia"/>
                <w:highlight w:val="none"/>
              </w:rPr>
              <w:t>本项目</w:t>
            </w:r>
            <w:r>
              <w:rPr>
                <w:highlight w:val="none"/>
              </w:rPr>
              <w:t>新增废水量为</w:t>
            </w:r>
            <w:r>
              <w:rPr>
                <w:rFonts w:hint="eastAsia"/>
                <w:highlight w:val="none"/>
              </w:rPr>
              <w:t>2.81t/d</w:t>
            </w:r>
            <w:r>
              <w:rPr>
                <w:highlight w:val="none"/>
              </w:rPr>
              <w:t>，清掏周期为</w:t>
            </w:r>
            <w:r>
              <w:rPr>
                <w:rFonts w:hint="eastAsia"/>
                <w:highlight w:val="none"/>
              </w:rPr>
              <w:t>5</w:t>
            </w:r>
            <w:r>
              <w:rPr>
                <w:highlight w:val="none"/>
              </w:rPr>
              <w:t>天一次，</w:t>
            </w:r>
            <w:r>
              <w:rPr>
                <w:rFonts w:hint="eastAsia"/>
                <w:highlight w:val="none"/>
                <w:lang w:val="en-US" w:eastAsia="zh-CN"/>
              </w:rPr>
              <w:t>5天最大水量为14.05t，</w:t>
            </w:r>
            <w:r>
              <w:rPr>
                <w:highlight w:val="none"/>
              </w:rPr>
              <w:t>污水储池总容积为20m</w:t>
            </w:r>
            <w:r>
              <w:rPr>
                <w:highlight w:val="none"/>
                <w:vertAlign w:val="superscript"/>
              </w:rPr>
              <w:t>3</w:t>
            </w:r>
            <w:r>
              <w:rPr>
                <w:highlight w:val="none"/>
              </w:rPr>
              <w:t>，</w:t>
            </w:r>
            <w:r>
              <w:rPr>
                <w:rFonts w:hint="eastAsia"/>
                <w:highlight w:val="none"/>
                <w:lang w:val="en-US" w:eastAsia="zh-CN"/>
              </w:rPr>
              <w:t>本项目</w:t>
            </w:r>
            <w:r>
              <w:rPr>
                <w:highlight w:val="none"/>
              </w:rPr>
              <w:t>污水储池</w:t>
            </w:r>
            <w:r>
              <w:rPr>
                <w:rFonts w:hint="eastAsia"/>
                <w:highlight w:val="none"/>
                <w:lang w:val="en-US" w:eastAsia="zh-CN"/>
              </w:rPr>
              <w:t>满足5天水量需求</w:t>
            </w:r>
            <w:r>
              <w:rPr>
                <w:highlight w:val="none"/>
              </w:rPr>
              <w:t>，</w:t>
            </w:r>
            <w:r>
              <w:rPr>
                <w:rFonts w:hint="eastAsia"/>
                <w:highlight w:val="none"/>
                <w:lang w:val="en-US" w:eastAsia="zh-CN"/>
              </w:rPr>
              <w:t>污水</w:t>
            </w:r>
            <w:r>
              <w:rPr>
                <w:rFonts w:hint="eastAsia"/>
                <w:highlight w:val="none"/>
              </w:rPr>
              <w:t>由罐车自行拉运排入</w:t>
            </w:r>
            <w:r>
              <w:rPr>
                <w:rFonts w:hint="eastAsia"/>
                <w:highlight w:val="none"/>
                <w:lang w:eastAsia="zh-CN"/>
              </w:rPr>
              <w:t>双鸭山市四洁水处理有限责任公司（四洁污水处理厂）</w:t>
            </w:r>
            <w:r>
              <w:rPr>
                <w:rFonts w:hint="eastAsia"/>
                <w:highlight w:val="none"/>
              </w:rPr>
              <w:t>，处理后排入扁石河，最终排入七星河。</w:t>
            </w:r>
          </w:p>
          <w:p>
            <w:pPr>
              <w:spacing w:line="360" w:lineRule="auto"/>
              <w:ind w:firstLine="480"/>
              <w:rPr>
                <w:highlight w:val="none"/>
              </w:rPr>
            </w:pPr>
            <w:r>
              <w:rPr>
                <w:position w:val="6"/>
                <w:sz w:val="24"/>
                <w:highlight w:val="none"/>
              </w:rPr>
              <w:t>本项目废水</w:t>
            </w:r>
            <w:r>
              <w:rPr>
                <w:rFonts w:hint="eastAsia"/>
                <w:position w:val="6"/>
                <w:sz w:val="24"/>
                <w:highlight w:val="none"/>
              </w:rPr>
              <w:t>暂存于防渗污水储池，定期拉运至</w:t>
            </w:r>
            <w:r>
              <w:rPr>
                <w:rFonts w:hint="eastAsia"/>
                <w:position w:val="6"/>
                <w:sz w:val="24"/>
                <w:highlight w:val="none"/>
                <w:lang w:eastAsia="zh-CN"/>
              </w:rPr>
              <w:t>双鸭山市四洁水处理有限责任公司（四洁污水处理厂）</w:t>
            </w:r>
            <w:r>
              <w:rPr>
                <w:position w:val="6"/>
                <w:sz w:val="24"/>
                <w:highlight w:val="none"/>
              </w:rPr>
              <w:t>处理，</w:t>
            </w:r>
            <w:r>
              <w:rPr>
                <w:rFonts w:hint="eastAsia"/>
                <w:position w:val="6"/>
                <w:sz w:val="24"/>
                <w:highlight w:val="none"/>
                <w:lang w:eastAsia="zh-CN"/>
              </w:rPr>
              <w:t>双鸭山市四洁水处理有限责任公司（四洁污水处理厂）</w:t>
            </w:r>
            <w:r>
              <w:rPr>
                <w:position w:val="6"/>
                <w:sz w:val="24"/>
                <w:highlight w:val="none"/>
              </w:rPr>
              <w:t>设计处理规模</w:t>
            </w:r>
            <w:r>
              <w:rPr>
                <w:rFonts w:hint="eastAsia"/>
                <w:position w:val="6"/>
                <w:sz w:val="24"/>
                <w:highlight w:val="none"/>
              </w:rPr>
              <w:t>1万m</w:t>
            </w:r>
            <w:r>
              <w:rPr>
                <w:rFonts w:hint="eastAsia"/>
                <w:position w:val="6"/>
                <w:sz w:val="24"/>
                <w:highlight w:val="none"/>
                <w:vertAlign w:val="superscript"/>
              </w:rPr>
              <w:t>3</w:t>
            </w:r>
            <w:r>
              <w:rPr>
                <w:rFonts w:hint="eastAsia"/>
                <w:position w:val="6"/>
                <w:sz w:val="24"/>
                <w:highlight w:val="none"/>
              </w:rPr>
              <w:t>/d</w:t>
            </w:r>
            <w:r>
              <w:rPr>
                <w:position w:val="6"/>
                <w:sz w:val="24"/>
                <w:highlight w:val="none"/>
              </w:rPr>
              <w:t>，采用污水处理工艺为：进水→粗格栅及提升泵站→细格栅及旋流沉砂池→</w:t>
            </w:r>
            <w:r>
              <w:rPr>
                <w:rFonts w:hint="eastAsia"/>
                <w:position w:val="6"/>
                <w:sz w:val="24"/>
                <w:highlight w:val="none"/>
              </w:rPr>
              <w:t>调节池</w:t>
            </w:r>
            <w:r>
              <w:rPr>
                <w:position w:val="6"/>
                <w:sz w:val="24"/>
                <w:highlight w:val="none"/>
              </w:rPr>
              <w:t>→A</w:t>
            </w:r>
            <w:r>
              <w:rPr>
                <w:rFonts w:hint="eastAsia"/>
                <w:position w:val="6"/>
                <w:sz w:val="24"/>
                <w:highlight w:val="none"/>
              </w:rPr>
              <w:t>2</w:t>
            </w:r>
            <w:r>
              <w:rPr>
                <w:position w:val="6"/>
                <w:sz w:val="24"/>
                <w:highlight w:val="none"/>
              </w:rPr>
              <w:t>/O</w:t>
            </w:r>
            <w:r>
              <w:rPr>
                <w:rFonts w:hint="eastAsia"/>
                <w:position w:val="6"/>
                <w:sz w:val="24"/>
                <w:highlight w:val="none"/>
              </w:rPr>
              <w:t>反应池</w:t>
            </w:r>
            <w:r>
              <w:rPr>
                <w:position w:val="6"/>
                <w:sz w:val="24"/>
                <w:highlight w:val="none"/>
              </w:rPr>
              <w:t>→</w:t>
            </w:r>
            <w:r>
              <w:rPr>
                <w:rFonts w:hint="eastAsia"/>
                <w:position w:val="6"/>
                <w:sz w:val="24"/>
                <w:highlight w:val="none"/>
              </w:rPr>
              <w:t>二沉池</w:t>
            </w:r>
            <w:r>
              <w:rPr>
                <w:position w:val="6"/>
                <w:sz w:val="24"/>
                <w:highlight w:val="none"/>
              </w:rPr>
              <w:t>→二次提升泵站及污泥泵站→</w:t>
            </w:r>
            <w:r>
              <w:rPr>
                <w:rFonts w:hint="eastAsia"/>
                <w:position w:val="6"/>
                <w:sz w:val="24"/>
                <w:highlight w:val="none"/>
              </w:rPr>
              <w:t>絮凝沉淀池</w:t>
            </w:r>
            <w:r>
              <w:rPr>
                <w:position w:val="6"/>
                <w:sz w:val="24"/>
                <w:highlight w:val="none"/>
              </w:rPr>
              <w:t>→紫外消毒，</w:t>
            </w:r>
            <w:r>
              <w:rPr>
                <w:rFonts w:hint="eastAsia"/>
                <w:position w:val="6"/>
                <w:sz w:val="24"/>
                <w:highlight w:val="none"/>
              </w:rPr>
              <w:t>入厂废水</w:t>
            </w:r>
            <w:r>
              <w:rPr>
                <w:position w:val="6"/>
                <w:sz w:val="24"/>
                <w:highlight w:val="none"/>
              </w:rPr>
              <w:t>经处理达到一级A标准后</w:t>
            </w:r>
            <w:r>
              <w:rPr>
                <w:rFonts w:hint="eastAsia"/>
                <w:position w:val="6"/>
                <w:sz w:val="24"/>
                <w:highlight w:val="none"/>
              </w:rPr>
              <w:t>排入扁石河</w:t>
            </w:r>
            <w:r>
              <w:rPr>
                <w:position w:val="6"/>
                <w:sz w:val="24"/>
                <w:highlight w:val="none"/>
              </w:rPr>
              <w:t>，汇入</w:t>
            </w:r>
            <w:r>
              <w:rPr>
                <w:rFonts w:hint="eastAsia"/>
                <w:position w:val="6"/>
                <w:sz w:val="24"/>
                <w:highlight w:val="none"/>
              </w:rPr>
              <w:t>七星河</w:t>
            </w:r>
            <w:r>
              <w:rPr>
                <w:rFonts w:hint="eastAsia"/>
                <w:sz w:val="24"/>
                <w:highlight w:val="none"/>
              </w:rPr>
              <w:t>；</w:t>
            </w:r>
            <w:r>
              <w:rPr>
                <w:rFonts w:hint="eastAsia"/>
                <w:position w:val="6"/>
                <w:sz w:val="24"/>
                <w:highlight w:val="none"/>
              </w:rPr>
              <w:t>本项目</w:t>
            </w:r>
            <w:r>
              <w:rPr>
                <w:position w:val="6"/>
                <w:sz w:val="24"/>
                <w:highlight w:val="none"/>
              </w:rPr>
              <w:t>新增废水量为</w:t>
            </w:r>
            <w:r>
              <w:rPr>
                <w:rFonts w:hint="eastAsia"/>
                <w:position w:val="6"/>
                <w:sz w:val="24"/>
                <w:highlight w:val="none"/>
              </w:rPr>
              <w:t>2.81t/d</w:t>
            </w:r>
            <w:r>
              <w:rPr>
                <w:position w:val="6"/>
                <w:sz w:val="24"/>
                <w:highlight w:val="none"/>
              </w:rPr>
              <w:t>，清掏周期为</w:t>
            </w:r>
            <w:r>
              <w:rPr>
                <w:rFonts w:hint="eastAsia"/>
                <w:position w:val="6"/>
                <w:sz w:val="24"/>
                <w:highlight w:val="none"/>
              </w:rPr>
              <w:t>5</w:t>
            </w:r>
            <w:r>
              <w:rPr>
                <w:position w:val="6"/>
                <w:sz w:val="24"/>
                <w:highlight w:val="none"/>
              </w:rPr>
              <w:t>天一次，</w:t>
            </w:r>
            <w:r>
              <w:rPr>
                <w:rFonts w:hint="eastAsia"/>
                <w:position w:val="6"/>
                <w:sz w:val="24"/>
                <w:highlight w:val="none"/>
                <w:lang w:val="en-US" w:eastAsia="zh-CN"/>
              </w:rPr>
              <w:t>5天最大水量为14.05t，</w:t>
            </w:r>
            <w:r>
              <w:rPr>
                <w:position w:val="6"/>
                <w:sz w:val="24"/>
                <w:highlight w:val="none"/>
              </w:rPr>
              <w:t>污水储池总容积为20m</w:t>
            </w:r>
            <w:r>
              <w:rPr>
                <w:position w:val="6"/>
                <w:sz w:val="24"/>
                <w:highlight w:val="none"/>
                <w:vertAlign w:val="superscript"/>
              </w:rPr>
              <w:t>3</w:t>
            </w:r>
            <w:r>
              <w:rPr>
                <w:position w:val="6"/>
                <w:sz w:val="24"/>
                <w:highlight w:val="none"/>
              </w:rPr>
              <w:t>，</w:t>
            </w:r>
            <w:r>
              <w:rPr>
                <w:rFonts w:hint="eastAsia"/>
                <w:position w:val="6"/>
                <w:sz w:val="24"/>
                <w:highlight w:val="none"/>
                <w:lang w:val="en-US" w:eastAsia="zh-CN"/>
              </w:rPr>
              <w:t>本项目</w:t>
            </w:r>
            <w:r>
              <w:rPr>
                <w:position w:val="6"/>
                <w:sz w:val="24"/>
                <w:highlight w:val="none"/>
              </w:rPr>
              <w:t>污水储池</w:t>
            </w:r>
            <w:r>
              <w:rPr>
                <w:rFonts w:hint="eastAsia"/>
                <w:position w:val="6"/>
                <w:sz w:val="24"/>
                <w:highlight w:val="none"/>
                <w:lang w:val="en-US" w:eastAsia="zh-CN"/>
              </w:rPr>
              <w:t>满足5天水量需求</w:t>
            </w:r>
            <w:r>
              <w:rPr>
                <w:rFonts w:hint="eastAsia"/>
                <w:position w:val="6"/>
                <w:sz w:val="24"/>
                <w:highlight w:val="none"/>
                <w:lang w:eastAsia="zh-CN"/>
              </w:rPr>
              <w:t>，</w:t>
            </w:r>
            <w:r>
              <w:rPr>
                <w:rFonts w:hint="eastAsia"/>
                <w:position w:val="6"/>
                <w:sz w:val="24"/>
                <w:highlight w:val="none"/>
              </w:rPr>
              <w:t>本项目</w:t>
            </w:r>
            <w:r>
              <w:rPr>
                <w:position w:val="6"/>
                <w:sz w:val="24"/>
                <w:highlight w:val="none"/>
              </w:rPr>
              <w:t>新增废水负荷量很小，水质不复杂，本项目排水水质符合</w:t>
            </w:r>
            <w:r>
              <w:rPr>
                <w:rFonts w:hint="eastAsia"/>
                <w:position w:val="6"/>
                <w:sz w:val="24"/>
                <w:highlight w:val="none"/>
                <w:lang w:eastAsia="zh-CN"/>
              </w:rPr>
              <w:t>双鸭山市四洁水处理有限责任公司（四洁污水处理厂）</w:t>
            </w:r>
            <w:r>
              <w:rPr>
                <w:position w:val="6"/>
                <w:sz w:val="24"/>
                <w:highlight w:val="none"/>
              </w:rPr>
              <w:t>进水水质要求。因此，本项目废水进入</w:t>
            </w:r>
            <w:r>
              <w:rPr>
                <w:rFonts w:hint="eastAsia"/>
                <w:position w:val="6"/>
                <w:sz w:val="24"/>
                <w:highlight w:val="none"/>
                <w:lang w:eastAsia="zh-CN"/>
              </w:rPr>
              <w:t>双鸭山市四洁水处理有限责任公司（四洁污水处理厂）</w:t>
            </w:r>
            <w:r>
              <w:rPr>
                <w:position w:val="6"/>
                <w:sz w:val="24"/>
                <w:highlight w:val="none"/>
              </w:rPr>
              <w:t>处理是可行的。</w:t>
            </w:r>
          </w:p>
          <w:p>
            <w:pPr>
              <w:jc w:val="center"/>
              <w:rPr>
                <w:highlight w:val="none"/>
              </w:rPr>
            </w:pPr>
            <w:r>
              <w:rPr>
                <w:highlight w:val="none"/>
              </w:rPr>
              <w:drawing>
                <wp:inline distT="0" distB="0" distL="114300" distR="114300">
                  <wp:extent cx="5906135" cy="4010660"/>
                  <wp:effectExtent l="0" t="0" r="18415" b="8890"/>
                  <wp:docPr id="4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0"/>
                          <pic:cNvPicPr>
                            <a:picLocks noChangeAspect="1"/>
                          </pic:cNvPicPr>
                        </pic:nvPicPr>
                        <pic:blipFill>
                          <a:blip r:embed="rId13"/>
                          <a:stretch>
                            <a:fillRect/>
                          </a:stretch>
                        </pic:blipFill>
                        <pic:spPr>
                          <a:xfrm>
                            <a:off x="0" y="0"/>
                            <a:ext cx="5906135" cy="4010660"/>
                          </a:xfrm>
                          <a:prstGeom prst="rect">
                            <a:avLst/>
                          </a:prstGeom>
                          <a:noFill/>
                          <a:ln>
                            <a:noFill/>
                          </a:ln>
                        </pic:spPr>
                      </pic:pic>
                    </a:graphicData>
                  </a:graphic>
                </wp:inline>
              </w:drawing>
            </w:r>
          </w:p>
          <w:p>
            <w:pPr>
              <w:pStyle w:val="72"/>
              <w:ind w:firstLine="0"/>
              <w:jc w:val="center"/>
              <w:rPr>
                <w:sz w:val="21"/>
                <w:szCs w:val="21"/>
                <w:highlight w:val="none"/>
              </w:rPr>
            </w:pPr>
            <w:r>
              <w:rPr>
                <w:rFonts w:hint="eastAsia"/>
                <w:b/>
                <w:bCs/>
                <w:sz w:val="21"/>
                <w:szCs w:val="21"/>
                <w:highlight w:val="none"/>
              </w:rPr>
              <w:t>图</w:t>
            </w:r>
            <w:r>
              <w:rPr>
                <w:b/>
                <w:bCs/>
                <w:sz w:val="21"/>
                <w:szCs w:val="21"/>
                <w:highlight w:val="none"/>
              </w:rPr>
              <w:t xml:space="preserve">2-1  </w:t>
            </w:r>
            <w:r>
              <w:rPr>
                <w:rFonts w:hint="eastAsia"/>
                <w:b/>
                <w:bCs/>
                <w:sz w:val="21"/>
                <w:szCs w:val="21"/>
                <w:highlight w:val="none"/>
              </w:rPr>
              <w:t>水平衡图</w:t>
            </w:r>
          </w:p>
          <w:p>
            <w:pPr>
              <w:pStyle w:val="72"/>
              <w:spacing w:line="360" w:lineRule="auto"/>
              <w:ind w:firstLineChars="200"/>
              <w:rPr>
                <w:highlight w:val="none"/>
              </w:rPr>
            </w:pPr>
            <w:r>
              <w:rPr>
                <w:rFonts w:hint="eastAsia"/>
                <w:highlight w:val="none"/>
              </w:rPr>
              <w:t>（3）</w:t>
            </w:r>
            <w:r>
              <w:rPr>
                <w:highlight w:val="none"/>
              </w:rPr>
              <w:t>供热</w:t>
            </w:r>
          </w:p>
          <w:p>
            <w:pPr>
              <w:pStyle w:val="72"/>
              <w:spacing w:line="360" w:lineRule="auto"/>
              <w:ind w:firstLineChars="200"/>
              <w:rPr>
                <w:highlight w:val="none"/>
              </w:rPr>
            </w:pPr>
            <w:r>
              <w:rPr>
                <w:rFonts w:hint="eastAsia"/>
                <w:highlight w:val="none"/>
              </w:rPr>
              <w:fldChar w:fldCharType="begin"/>
            </w:r>
            <w:r>
              <w:rPr>
                <w:rFonts w:hint="eastAsia"/>
                <w:highlight w:val="none"/>
              </w:rPr>
              <w:instrText xml:space="preserve"> = 1 \* GB3 \* MERGEFORMAT </w:instrText>
            </w:r>
            <w:r>
              <w:rPr>
                <w:rFonts w:hint="eastAsia"/>
                <w:highlight w:val="none"/>
              </w:rPr>
              <w:fldChar w:fldCharType="separate"/>
            </w:r>
            <w:r>
              <w:rPr>
                <w:highlight w:val="none"/>
              </w:rPr>
              <w:t>①</w:t>
            </w:r>
            <w:r>
              <w:rPr>
                <w:rFonts w:hint="eastAsia"/>
                <w:highlight w:val="none"/>
              </w:rPr>
              <w:fldChar w:fldCharType="end"/>
            </w:r>
            <w:r>
              <w:rPr>
                <w:rFonts w:hint="eastAsia"/>
                <w:highlight w:val="none"/>
              </w:rPr>
              <w:t>生活供暖</w:t>
            </w:r>
          </w:p>
          <w:p>
            <w:pPr>
              <w:pStyle w:val="72"/>
              <w:spacing w:line="360" w:lineRule="auto"/>
              <w:ind w:firstLineChars="200"/>
              <w:rPr>
                <w:highlight w:val="none"/>
              </w:rPr>
            </w:pPr>
            <w:r>
              <w:rPr>
                <w:highlight w:val="none"/>
              </w:rPr>
              <w:t>本项目</w:t>
            </w:r>
            <w:r>
              <w:rPr>
                <w:rFonts w:hint="eastAsia"/>
                <w:highlight w:val="none"/>
              </w:rPr>
              <w:t>冬季不需要供暖</w:t>
            </w:r>
            <w:r>
              <w:rPr>
                <w:highlight w:val="none"/>
              </w:rPr>
              <w:t>。</w:t>
            </w:r>
          </w:p>
          <w:p>
            <w:pPr>
              <w:pStyle w:val="72"/>
              <w:spacing w:line="360" w:lineRule="auto"/>
              <w:ind w:firstLineChars="200"/>
              <w:rPr>
                <w:highlight w:val="none"/>
              </w:rPr>
            </w:pPr>
            <w:r>
              <w:rPr>
                <w:rFonts w:hint="eastAsia"/>
                <w:highlight w:val="none"/>
              </w:rPr>
              <w:fldChar w:fldCharType="begin"/>
            </w:r>
            <w:r>
              <w:rPr>
                <w:rFonts w:hint="eastAsia"/>
                <w:highlight w:val="none"/>
              </w:rPr>
              <w:instrText xml:space="preserve"> = 2 \* GB3 \* MERGEFORMAT </w:instrText>
            </w:r>
            <w:r>
              <w:rPr>
                <w:rFonts w:hint="eastAsia"/>
                <w:highlight w:val="none"/>
              </w:rPr>
              <w:fldChar w:fldCharType="separate"/>
            </w:r>
            <w:r>
              <w:rPr>
                <w:highlight w:val="none"/>
              </w:rPr>
              <w:t>②</w:t>
            </w:r>
            <w:r>
              <w:rPr>
                <w:rFonts w:hint="eastAsia"/>
                <w:highlight w:val="none"/>
              </w:rPr>
              <w:fldChar w:fldCharType="end"/>
            </w:r>
            <w:r>
              <w:rPr>
                <w:rFonts w:hint="eastAsia"/>
                <w:highlight w:val="none"/>
              </w:rPr>
              <w:t>生产供热</w:t>
            </w:r>
          </w:p>
          <w:p>
            <w:pPr>
              <w:pStyle w:val="72"/>
              <w:spacing w:line="360" w:lineRule="auto"/>
              <w:ind w:firstLineChars="200"/>
              <w:rPr>
                <w:highlight w:val="none"/>
              </w:rPr>
            </w:pPr>
            <w:r>
              <w:rPr>
                <w:rFonts w:hint="eastAsia"/>
                <w:highlight w:val="none"/>
              </w:rPr>
              <w:t>生产供热由厂内自建4t/h的燃生物质蒸汽锅炉提供。</w:t>
            </w:r>
          </w:p>
          <w:p>
            <w:pPr>
              <w:pStyle w:val="66"/>
              <w:snapToGrid w:val="0"/>
              <w:spacing w:line="360" w:lineRule="auto"/>
              <w:ind w:firstLine="480" w:firstLineChars="200"/>
              <w:jc w:val="both"/>
              <w:textAlignment w:val="auto"/>
              <w:rPr>
                <w:rFonts w:ascii="Times New Roman" w:cs="Times New Roman"/>
                <w:color w:val="auto"/>
                <w:highlight w:val="none"/>
              </w:rPr>
            </w:pPr>
            <w:r>
              <w:rPr>
                <w:rFonts w:ascii="Times New Roman" w:cs="Times New Roman"/>
                <w:color w:val="auto"/>
                <w:highlight w:val="none"/>
              </w:rPr>
              <w:t>生物质燃料耗用量的计算：本项目锅炉功率为</w:t>
            </w:r>
            <w:r>
              <w:rPr>
                <w:rFonts w:hint="eastAsia" w:ascii="Times New Roman" w:cs="Times New Roman"/>
                <w:color w:val="auto"/>
                <w:highlight w:val="none"/>
              </w:rPr>
              <w:t>2.8</w:t>
            </w:r>
            <w:r>
              <w:rPr>
                <w:rFonts w:ascii="Times New Roman" w:cs="Times New Roman"/>
                <w:color w:val="auto"/>
                <w:highlight w:val="none"/>
              </w:rPr>
              <w:t>MW，即0.00</w:t>
            </w:r>
            <w:r>
              <w:rPr>
                <w:rFonts w:hint="eastAsia" w:ascii="Times New Roman" w:cs="Times New Roman"/>
                <w:color w:val="auto"/>
                <w:highlight w:val="none"/>
              </w:rPr>
              <w:t>28</w:t>
            </w:r>
            <w:r>
              <w:rPr>
                <w:rFonts w:ascii="Times New Roman" w:cs="Times New Roman"/>
                <w:color w:val="auto"/>
                <w:highlight w:val="none"/>
              </w:rPr>
              <w:t>GJ/s，低位发热值为16.</w:t>
            </w:r>
            <w:r>
              <w:rPr>
                <w:rFonts w:hint="eastAsia" w:ascii="Times New Roman" w:cs="Times New Roman"/>
                <w:color w:val="auto"/>
                <w:highlight w:val="none"/>
              </w:rPr>
              <w:t>77</w:t>
            </w:r>
            <w:r>
              <w:rPr>
                <w:rFonts w:ascii="Times New Roman" w:cs="Times New Roman"/>
                <w:color w:val="auto"/>
                <w:highlight w:val="none"/>
              </w:rPr>
              <w:t>MJ/kg，即16.</w:t>
            </w:r>
            <w:r>
              <w:rPr>
                <w:rFonts w:hint="eastAsia" w:ascii="Times New Roman" w:cs="Times New Roman"/>
                <w:color w:val="auto"/>
                <w:highlight w:val="none"/>
              </w:rPr>
              <w:t>77</w:t>
            </w:r>
            <w:r>
              <w:rPr>
                <w:rFonts w:ascii="Times New Roman" w:cs="Times New Roman"/>
                <w:color w:val="auto"/>
                <w:highlight w:val="none"/>
              </w:rPr>
              <w:t>GJ/t，锅炉效率按8</w:t>
            </w:r>
            <w:r>
              <w:rPr>
                <w:rFonts w:hint="eastAsia" w:ascii="Times New Roman" w:cs="Times New Roman"/>
                <w:color w:val="auto"/>
                <w:highlight w:val="none"/>
              </w:rPr>
              <w:t>5</w:t>
            </w:r>
            <w:r>
              <w:rPr>
                <w:rFonts w:ascii="Times New Roman" w:cs="Times New Roman"/>
                <w:color w:val="auto"/>
                <w:highlight w:val="none"/>
              </w:rPr>
              <w:t>%。</w:t>
            </w:r>
          </w:p>
          <w:p>
            <w:pPr>
              <w:adjustRightInd w:val="0"/>
              <w:snapToGrid w:val="0"/>
              <w:spacing w:line="360" w:lineRule="auto"/>
              <w:ind w:firstLine="480" w:firstLineChars="200"/>
              <w:rPr>
                <w:sz w:val="24"/>
                <w:highlight w:val="none"/>
              </w:rPr>
            </w:pPr>
            <w:r>
              <w:rPr>
                <w:sz w:val="24"/>
                <w:highlight w:val="none"/>
              </w:rPr>
              <w:t>生物质燃料耗用量=0.00</w:t>
            </w:r>
            <w:r>
              <w:rPr>
                <w:rFonts w:hint="eastAsia"/>
                <w:sz w:val="24"/>
                <w:highlight w:val="none"/>
              </w:rPr>
              <w:t>28</w:t>
            </w:r>
            <w:r>
              <w:rPr>
                <w:sz w:val="24"/>
                <w:highlight w:val="none"/>
              </w:rPr>
              <w:t>GJ/s×3600s/h÷（16.</w:t>
            </w:r>
            <w:r>
              <w:rPr>
                <w:rFonts w:hint="eastAsia"/>
                <w:sz w:val="24"/>
                <w:highlight w:val="none"/>
              </w:rPr>
              <w:t>77</w:t>
            </w:r>
            <w:r>
              <w:rPr>
                <w:sz w:val="24"/>
                <w:highlight w:val="none"/>
              </w:rPr>
              <w:t>GJ/t×8</w:t>
            </w:r>
            <w:r>
              <w:rPr>
                <w:rFonts w:hint="eastAsia"/>
                <w:sz w:val="24"/>
                <w:highlight w:val="none"/>
              </w:rPr>
              <w:t>5</w:t>
            </w:r>
            <w:r>
              <w:rPr>
                <w:sz w:val="24"/>
                <w:highlight w:val="none"/>
              </w:rPr>
              <w:t>%）=</w:t>
            </w:r>
            <w:r>
              <w:rPr>
                <w:rFonts w:hint="eastAsia"/>
                <w:sz w:val="24"/>
                <w:highlight w:val="none"/>
              </w:rPr>
              <w:t>0.7t/h</w:t>
            </w:r>
          </w:p>
          <w:p>
            <w:pPr>
              <w:pStyle w:val="72"/>
              <w:spacing w:line="360" w:lineRule="auto"/>
              <w:ind w:firstLineChars="200"/>
              <w:rPr>
                <w:highlight w:val="none"/>
              </w:rPr>
            </w:pPr>
            <w:r>
              <w:rPr>
                <w:highlight w:val="none"/>
              </w:rPr>
              <w:t>本项目</w:t>
            </w:r>
            <w:r>
              <w:rPr>
                <w:rFonts w:hint="eastAsia"/>
                <w:highlight w:val="none"/>
              </w:rPr>
              <w:t>锅炉</w:t>
            </w:r>
            <w:r>
              <w:rPr>
                <w:rFonts w:hint="eastAsia"/>
                <w:highlight w:val="none"/>
                <w:lang w:val="en-US" w:eastAsia="zh-CN"/>
              </w:rPr>
              <w:t>生产期</w:t>
            </w:r>
            <w:r>
              <w:rPr>
                <w:rFonts w:hint="eastAsia"/>
                <w:highlight w:val="none"/>
              </w:rPr>
              <w:t>运行，年运行120</w:t>
            </w:r>
            <w:r>
              <w:rPr>
                <w:highlight w:val="none"/>
              </w:rPr>
              <w:t>天，</w:t>
            </w:r>
            <w:r>
              <w:rPr>
                <w:rFonts w:hint="eastAsia"/>
                <w:highlight w:val="none"/>
              </w:rPr>
              <w:t>日运行8h，</w:t>
            </w:r>
            <w:r>
              <w:rPr>
                <w:highlight w:val="none"/>
              </w:rPr>
              <w:t>则</w:t>
            </w:r>
            <w:r>
              <w:rPr>
                <w:rFonts w:hint="eastAsia"/>
                <w:highlight w:val="none"/>
              </w:rPr>
              <w:t>年</w:t>
            </w:r>
            <w:r>
              <w:rPr>
                <w:highlight w:val="none"/>
              </w:rPr>
              <w:t>燃用生物质成型燃料的量为</w:t>
            </w:r>
            <w:r>
              <w:rPr>
                <w:rFonts w:hint="eastAsia"/>
                <w:highlight w:val="none"/>
              </w:rPr>
              <w:t>672t。</w:t>
            </w:r>
          </w:p>
          <w:p>
            <w:pPr>
              <w:pStyle w:val="72"/>
              <w:spacing w:line="360" w:lineRule="auto"/>
              <w:ind w:firstLineChars="200"/>
              <w:rPr>
                <w:highlight w:val="none"/>
              </w:rPr>
            </w:pPr>
            <w:r>
              <w:rPr>
                <w:rFonts w:hint="eastAsia"/>
                <w:highlight w:val="none"/>
              </w:rPr>
              <w:t>（4）</w:t>
            </w:r>
            <w:r>
              <w:rPr>
                <w:highlight w:val="none"/>
              </w:rPr>
              <w:t>供电：本项目供电由当地供电局提供。</w:t>
            </w:r>
          </w:p>
          <w:p>
            <w:pPr>
              <w:pStyle w:val="72"/>
              <w:spacing w:line="360" w:lineRule="auto"/>
              <w:ind w:firstLineChars="200"/>
              <w:rPr>
                <w:highlight w:val="none"/>
              </w:rPr>
            </w:pPr>
            <w:r>
              <w:rPr>
                <w:rFonts w:hint="eastAsia"/>
                <w:highlight w:val="none"/>
              </w:rPr>
              <w:t>（5）制冷：</w:t>
            </w:r>
            <w:r>
              <w:rPr>
                <w:rFonts w:hint="eastAsia" w:ascii="宋体" w:hAnsi="宋体" w:cs="宋体"/>
                <w:highlight w:val="none"/>
              </w:rPr>
              <w:t>本项</w:t>
            </w:r>
            <w:r>
              <w:rPr>
                <w:rFonts w:hint="eastAsia"/>
                <w:highlight w:val="none"/>
              </w:rPr>
              <w:t>目冷库采用</w:t>
            </w:r>
            <w:r>
              <w:rPr>
                <w:highlight w:val="none"/>
              </w:rPr>
              <w:t>R410A环保制冷剂</w:t>
            </w:r>
            <w:r>
              <w:rPr>
                <w:rFonts w:hint="eastAsia"/>
                <w:highlight w:val="none"/>
                <w:lang w:val="en-US" w:eastAsia="zh-CN"/>
              </w:rPr>
              <w:t>制冷</w:t>
            </w:r>
            <w:r>
              <w:rPr>
                <w:rFonts w:hint="eastAsia"/>
                <w:highlight w:val="none"/>
              </w:rPr>
              <w:t>。</w:t>
            </w:r>
          </w:p>
          <w:p>
            <w:pPr>
              <w:widowControl/>
              <w:spacing w:line="360" w:lineRule="auto"/>
              <w:jc w:val="left"/>
              <w:rPr>
                <w:sz w:val="24"/>
                <w:highlight w:val="none"/>
              </w:rPr>
            </w:pPr>
            <w:r>
              <w:rPr>
                <w:rFonts w:hint="eastAsia"/>
                <w:b/>
                <w:kern w:val="0"/>
                <w:sz w:val="24"/>
                <w:highlight w:val="none"/>
                <w:lang w:bidi="ar"/>
              </w:rPr>
              <w:t>7</w:t>
            </w:r>
            <w:r>
              <w:rPr>
                <w:b/>
                <w:kern w:val="0"/>
                <w:sz w:val="24"/>
                <w:highlight w:val="none"/>
                <w:lang w:bidi="ar"/>
              </w:rPr>
              <w:t xml:space="preserve">、环保投资 </w:t>
            </w:r>
          </w:p>
          <w:p>
            <w:pPr>
              <w:widowControl/>
              <w:spacing w:line="360" w:lineRule="auto"/>
              <w:ind w:firstLine="480" w:firstLineChars="200"/>
              <w:jc w:val="left"/>
              <w:rPr>
                <w:kern w:val="0"/>
                <w:sz w:val="24"/>
                <w:highlight w:val="none"/>
                <w:lang w:bidi="ar"/>
              </w:rPr>
            </w:pPr>
            <w:r>
              <w:rPr>
                <w:kern w:val="0"/>
                <w:sz w:val="24"/>
                <w:highlight w:val="none"/>
                <w:lang w:bidi="ar"/>
              </w:rPr>
              <w:t>本项目环保投资具体情况见表2-7。</w:t>
            </w:r>
          </w:p>
          <w:p>
            <w:pPr>
              <w:adjustRightInd w:val="0"/>
              <w:snapToGrid w:val="0"/>
              <w:jc w:val="center"/>
              <w:rPr>
                <w:b/>
                <w:bCs/>
                <w:szCs w:val="21"/>
                <w:highlight w:val="none"/>
              </w:rPr>
            </w:pPr>
            <w:r>
              <w:rPr>
                <w:b/>
                <w:bCs/>
                <w:szCs w:val="21"/>
                <w:highlight w:val="none"/>
              </w:rPr>
              <w:t>表2-7  环保投资一览表</w:t>
            </w:r>
          </w:p>
          <w:tbl>
            <w:tblPr>
              <w:tblStyle w:val="29"/>
              <w:tblW w:w="86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5670"/>
              <w:gridCol w:w="14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4" w:type="dxa"/>
                  <w:vAlign w:val="center"/>
                </w:tcPr>
                <w:p>
                  <w:pPr>
                    <w:pStyle w:val="112"/>
                    <w:rPr>
                      <w:szCs w:val="21"/>
                      <w:highlight w:val="none"/>
                    </w:rPr>
                  </w:pPr>
                  <w:r>
                    <w:rPr>
                      <w:szCs w:val="21"/>
                      <w:highlight w:val="none"/>
                    </w:rPr>
                    <w:t>类别</w:t>
                  </w:r>
                </w:p>
              </w:tc>
              <w:tc>
                <w:tcPr>
                  <w:tcW w:w="5670" w:type="dxa"/>
                  <w:tcBorders>
                    <w:bottom w:val="single" w:color="auto" w:sz="4" w:space="0"/>
                  </w:tcBorders>
                  <w:vAlign w:val="center"/>
                </w:tcPr>
                <w:p>
                  <w:pPr>
                    <w:pStyle w:val="112"/>
                    <w:rPr>
                      <w:szCs w:val="21"/>
                      <w:highlight w:val="none"/>
                    </w:rPr>
                  </w:pPr>
                  <w:r>
                    <w:rPr>
                      <w:szCs w:val="21"/>
                      <w:highlight w:val="none"/>
                    </w:rPr>
                    <w:t>防治措施</w:t>
                  </w:r>
                </w:p>
              </w:tc>
              <w:tc>
                <w:tcPr>
                  <w:tcW w:w="1433" w:type="dxa"/>
                  <w:tcBorders>
                    <w:bottom w:val="single" w:color="auto" w:sz="4" w:space="0"/>
                  </w:tcBorders>
                  <w:vAlign w:val="center"/>
                </w:tcPr>
                <w:p>
                  <w:pPr>
                    <w:pStyle w:val="112"/>
                    <w:rPr>
                      <w:szCs w:val="21"/>
                      <w:highlight w:val="none"/>
                    </w:rPr>
                  </w:pPr>
                  <w:r>
                    <w:rPr>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514" w:type="dxa"/>
                  <w:vMerge w:val="restart"/>
                  <w:vAlign w:val="center"/>
                </w:tcPr>
                <w:p>
                  <w:pPr>
                    <w:pStyle w:val="112"/>
                    <w:rPr>
                      <w:szCs w:val="21"/>
                      <w:highlight w:val="none"/>
                    </w:rPr>
                  </w:pPr>
                  <w:r>
                    <w:rPr>
                      <w:szCs w:val="21"/>
                      <w:highlight w:val="none"/>
                    </w:rPr>
                    <w:t>废气治理措施</w:t>
                  </w:r>
                </w:p>
              </w:tc>
              <w:tc>
                <w:tcPr>
                  <w:tcW w:w="5670" w:type="dxa"/>
                  <w:vAlign w:val="center"/>
                </w:tcPr>
                <w:p>
                  <w:pPr>
                    <w:pStyle w:val="112"/>
                    <w:rPr>
                      <w:szCs w:val="21"/>
                      <w:highlight w:val="none"/>
                    </w:rPr>
                  </w:pPr>
                  <w:r>
                    <w:rPr>
                      <w:szCs w:val="21"/>
                      <w:highlight w:val="none"/>
                    </w:rPr>
                    <w:t>布袋除尘器+</w:t>
                  </w:r>
                  <w:r>
                    <w:rPr>
                      <w:rFonts w:hint="eastAsia"/>
                      <w:szCs w:val="21"/>
                      <w:highlight w:val="none"/>
                    </w:rPr>
                    <w:t>35m</w:t>
                  </w:r>
                  <w:r>
                    <w:rPr>
                      <w:szCs w:val="21"/>
                      <w:highlight w:val="none"/>
                    </w:rPr>
                    <w:t>高的烟囱排放</w:t>
                  </w:r>
                </w:p>
              </w:tc>
              <w:tc>
                <w:tcPr>
                  <w:tcW w:w="1433" w:type="dxa"/>
                  <w:vAlign w:val="center"/>
                </w:tcPr>
                <w:p>
                  <w:pPr>
                    <w:pStyle w:val="112"/>
                    <w:rPr>
                      <w:szCs w:val="21"/>
                      <w:highlight w:val="none"/>
                    </w:rPr>
                  </w:pPr>
                  <w:r>
                    <w:rPr>
                      <w:rFonts w:hint="eastAsia"/>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4" w:type="dxa"/>
                  <w:vMerge w:val="continue"/>
                  <w:vAlign w:val="center"/>
                </w:tcPr>
                <w:p>
                  <w:pPr>
                    <w:pStyle w:val="112"/>
                    <w:rPr>
                      <w:szCs w:val="21"/>
                      <w:highlight w:val="none"/>
                    </w:rPr>
                  </w:pPr>
                </w:p>
              </w:tc>
              <w:tc>
                <w:tcPr>
                  <w:tcW w:w="5670" w:type="dxa"/>
                  <w:vAlign w:val="center"/>
                </w:tcPr>
                <w:p>
                  <w:pPr>
                    <w:pStyle w:val="112"/>
                    <w:rPr>
                      <w:szCs w:val="21"/>
                      <w:highlight w:val="none"/>
                    </w:rPr>
                  </w:pPr>
                  <w:r>
                    <w:rPr>
                      <w:rFonts w:hint="eastAsia"/>
                      <w:szCs w:val="21"/>
                      <w:highlight w:val="none"/>
                      <w:lang w:val="en-US" w:eastAsia="zh-CN"/>
                    </w:rPr>
                    <w:t>污水储池采用</w:t>
                  </w:r>
                  <w:r>
                    <w:rPr>
                      <w:rFonts w:hint="eastAsia"/>
                      <w:szCs w:val="21"/>
                      <w:highlight w:val="none"/>
                    </w:rPr>
                    <w:t>全密闭，地埋，定期喷洒除臭剂</w:t>
                  </w:r>
                </w:p>
              </w:tc>
              <w:tc>
                <w:tcPr>
                  <w:tcW w:w="1433" w:type="dxa"/>
                  <w:vAlign w:val="center"/>
                </w:tcPr>
                <w:p>
                  <w:pPr>
                    <w:pStyle w:val="112"/>
                    <w:rPr>
                      <w:szCs w:val="21"/>
                      <w:highlight w:val="none"/>
                    </w:rPr>
                  </w:pPr>
                  <w:r>
                    <w:rPr>
                      <w:rFonts w:hint="eastAsia"/>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1514" w:type="dxa"/>
                  <w:vAlign w:val="center"/>
                </w:tcPr>
                <w:p>
                  <w:pPr>
                    <w:pStyle w:val="112"/>
                    <w:rPr>
                      <w:szCs w:val="21"/>
                      <w:highlight w:val="none"/>
                    </w:rPr>
                  </w:pPr>
                  <w:r>
                    <w:rPr>
                      <w:rFonts w:hint="eastAsia"/>
                      <w:szCs w:val="21"/>
                      <w:highlight w:val="none"/>
                    </w:rPr>
                    <w:t>废水</w:t>
                  </w:r>
                  <w:r>
                    <w:rPr>
                      <w:szCs w:val="21"/>
                      <w:highlight w:val="none"/>
                    </w:rPr>
                    <w:t>治理措施</w:t>
                  </w:r>
                </w:p>
              </w:tc>
              <w:tc>
                <w:tcPr>
                  <w:tcW w:w="5670" w:type="dxa"/>
                  <w:vAlign w:val="center"/>
                </w:tcPr>
                <w:p>
                  <w:pPr>
                    <w:jc w:val="center"/>
                    <w:rPr>
                      <w:szCs w:val="21"/>
                      <w:highlight w:val="none"/>
                      <w:lang w:val="zh-CN"/>
                    </w:rPr>
                  </w:pPr>
                  <w:r>
                    <w:rPr>
                      <w:rFonts w:hint="eastAsia"/>
                      <w:highlight w:val="none"/>
                    </w:rPr>
                    <w:t>污水储池+拉运</w:t>
                  </w:r>
                </w:p>
              </w:tc>
              <w:tc>
                <w:tcPr>
                  <w:tcW w:w="1433" w:type="dxa"/>
                  <w:vAlign w:val="center"/>
                </w:tcPr>
                <w:p>
                  <w:pPr>
                    <w:jc w:val="center"/>
                    <w:rPr>
                      <w:szCs w:val="22"/>
                      <w:highlight w:val="none"/>
                    </w:rPr>
                  </w:pPr>
                  <w:r>
                    <w:rPr>
                      <w:rFonts w:hint="eastAsia"/>
                      <w:szCs w:val="22"/>
                      <w:highlight w:val="none"/>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4" w:type="dxa"/>
                  <w:vAlign w:val="center"/>
                </w:tcPr>
                <w:p>
                  <w:pPr>
                    <w:pStyle w:val="112"/>
                    <w:rPr>
                      <w:szCs w:val="21"/>
                      <w:highlight w:val="none"/>
                    </w:rPr>
                  </w:pPr>
                  <w:r>
                    <w:rPr>
                      <w:szCs w:val="21"/>
                      <w:highlight w:val="none"/>
                    </w:rPr>
                    <w:t>噪声治理措施</w:t>
                  </w:r>
                </w:p>
              </w:tc>
              <w:tc>
                <w:tcPr>
                  <w:tcW w:w="5670" w:type="dxa"/>
                  <w:vAlign w:val="center"/>
                </w:tcPr>
                <w:p>
                  <w:pPr>
                    <w:pStyle w:val="112"/>
                    <w:rPr>
                      <w:szCs w:val="21"/>
                      <w:highlight w:val="none"/>
                    </w:rPr>
                  </w:pPr>
                  <w:r>
                    <w:rPr>
                      <w:szCs w:val="21"/>
                      <w:highlight w:val="none"/>
                    </w:rPr>
                    <w:t>选取低噪声设备，采取减振、隔声等措施</w:t>
                  </w:r>
                </w:p>
              </w:tc>
              <w:tc>
                <w:tcPr>
                  <w:tcW w:w="1433" w:type="dxa"/>
                  <w:vAlign w:val="center"/>
                </w:tcPr>
                <w:p>
                  <w:pPr>
                    <w:pStyle w:val="112"/>
                    <w:rPr>
                      <w:szCs w:val="21"/>
                      <w:highlight w:val="none"/>
                    </w:rPr>
                  </w:pPr>
                  <w:r>
                    <w:rPr>
                      <w:rFonts w:hint="eastAsia"/>
                      <w:szCs w:val="21"/>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14" w:type="dxa"/>
                  <w:vAlign w:val="center"/>
                </w:tcPr>
                <w:p>
                  <w:pPr>
                    <w:pStyle w:val="112"/>
                    <w:rPr>
                      <w:szCs w:val="21"/>
                      <w:highlight w:val="none"/>
                    </w:rPr>
                  </w:pPr>
                  <w:r>
                    <w:rPr>
                      <w:rFonts w:hint="eastAsia"/>
                      <w:szCs w:val="21"/>
                      <w:highlight w:val="none"/>
                    </w:rPr>
                    <w:t>固废治理措施</w:t>
                  </w:r>
                </w:p>
              </w:tc>
              <w:tc>
                <w:tcPr>
                  <w:tcW w:w="5670" w:type="dxa"/>
                  <w:vAlign w:val="center"/>
                </w:tcPr>
                <w:p>
                  <w:pPr>
                    <w:pStyle w:val="112"/>
                    <w:rPr>
                      <w:rFonts w:hint="default" w:eastAsia="宋体"/>
                      <w:szCs w:val="21"/>
                      <w:highlight w:val="none"/>
                      <w:lang w:val="en-US" w:eastAsia="zh-CN"/>
                    </w:rPr>
                  </w:pPr>
                  <w:r>
                    <w:rPr>
                      <w:kern w:val="0"/>
                      <w:szCs w:val="21"/>
                      <w:highlight w:val="none"/>
                      <w:lang w:bidi="ar"/>
                    </w:rPr>
                    <w:t>生活垃圾</w:t>
                  </w:r>
                  <w:r>
                    <w:rPr>
                      <w:rFonts w:hint="eastAsia"/>
                      <w:kern w:val="0"/>
                      <w:szCs w:val="21"/>
                      <w:highlight w:val="none"/>
                      <w:lang w:bidi="ar"/>
                    </w:rPr>
                    <w:t>送生活垃圾填埋场</w:t>
                  </w:r>
                  <w:r>
                    <w:rPr>
                      <w:kern w:val="0"/>
                      <w:szCs w:val="21"/>
                      <w:highlight w:val="none"/>
                      <w:lang w:bidi="ar"/>
                    </w:rPr>
                    <w:t>处置；</w:t>
                  </w:r>
                  <w:r>
                    <w:rPr>
                      <w:rFonts w:hint="eastAsia"/>
                      <w:kern w:val="0"/>
                      <w:szCs w:val="21"/>
                      <w:highlight w:val="none"/>
                      <w:lang w:bidi="ar"/>
                    </w:rPr>
                    <w:t>废弃包装、锅炉灰渣及</w:t>
                  </w:r>
                  <w:r>
                    <w:rPr>
                      <w:rFonts w:hint="eastAsia"/>
                      <w:kern w:val="0"/>
                      <w:szCs w:val="21"/>
                      <w:highlight w:val="none"/>
                    </w:rPr>
                    <w:t>布袋除尘器收尘</w:t>
                  </w:r>
                  <w:r>
                    <w:rPr>
                      <w:rFonts w:hint="eastAsia"/>
                      <w:kern w:val="0"/>
                      <w:szCs w:val="21"/>
                      <w:highlight w:val="none"/>
                      <w:lang w:bidi="ar"/>
                    </w:rPr>
                    <w:t>统一收集，</w:t>
                  </w:r>
                  <w:r>
                    <w:rPr>
                      <w:kern w:val="0"/>
                      <w:szCs w:val="21"/>
                      <w:highlight w:val="none"/>
                      <w:lang w:bidi="ar"/>
                    </w:rPr>
                    <w:t>外售</w:t>
                  </w:r>
                  <w:r>
                    <w:rPr>
                      <w:rFonts w:hint="eastAsia"/>
                      <w:kern w:val="0"/>
                      <w:szCs w:val="21"/>
                      <w:highlight w:val="none"/>
                      <w:lang w:bidi="ar"/>
                    </w:rPr>
                    <w:t>综合利用</w:t>
                  </w:r>
                  <w:r>
                    <w:rPr>
                      <w:rFonts w:hint="eastAsia"/>
                      <w:kern w:val="0"/>
                      <w:szCs w:val="21"/>
                      <w:highlight w:val="none"/>
                      <w:lang w:eastAsia="zh-CN" w:bidi="ar"/>
                    </w:rPr>
                    <w:t>，玉米皮等边角料</w:t>
                  </w:r>
                  <w:r>
                    <w:rPr>
                      <w:rFonts w:hint="eastAsia"/>
                      <w:kern w:val="0"/>
                      <w:szCs w:val="21"/>
                      <w:highlight w:val="none"/>
                      <w:lang w:val="en-US" w:eastAsia="zh-CN" w:bidi="ar"/>
                    </w:rPr>
                    <w:t>收集后外售，</w:t>
                  </w:r>
                  <w:r>
                    <w:rPr>
                      <w:rFonts w:hint="eastAsia"/>
                      <w:kern w:val="0"/>
                      <w:szCs w:val="21"/>
                      <w:highlight w:val="none"/>
                      <w:lang w:eastAsia="zh-CN" w:bidi="ar"/>
                    </w:rPr>
                    <w:t>废布袋、废离子交换树脂</w:t>
                  </w:r>
                  <w:r>
                    <w:rPr>
                      <w:rFonts w:hint="eastAsia"/>
                      <w:kern w:val="0"/>
                      <w:szCs w:val="21"/>
                      <w:highlight w:val="none"/>
                      <w:lang w:val="en-US" w:eastAsia="zh-CN" w:bidi="ar"/>
                    </w:rPr>
                    <w:t>厂区集中收集后厂家回收</w:t>
                  </w:r>
                </w:p>
              </w:tc>
              <w:tc>
                <w:tcPr>
                  <w:tcW w:w="1433" w:type="dxa"/>
                  <w:vAlign w:val="center"/>
                </w:tcPr>
                <w:p>
                  <w:pPr>
                    <w:pStyle w:val="112"/>
                    <w:rPr>
                      <w:szCs w:val="21"/>
                      <w:highlight w:val="none"/>
                    </w:rPr>
                  </w:pPr>
                  <w:r>
                    <w:rPr>
                      <w:rFonts w:hint="eastAsia"/>
                      <w:szCs w:val="21"/>
                      <w:highlight w:val="none"/>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514" w:type="dxa"/>
                  <w:vAlign w:val="center"/>
                </w:tcPr>
                <w:p>
                  <w:pPr>
                    <w:pStyle w:val="112"/>
                    <w:rPr>
                      <w:szCs w:val="21"/>
                      <w:highlight w:val="none"/>
                    </w:rPr>
                  </w:pPr>
                  <w:r>
                    <w:rPr>
                      <w:szCs w:val="21"/>
                      <w:highlight w:val="none"/>
                    </w:rPr>
                    <w:t>环保设施</w:t>
                  </w:r>
                </w:p>
                <w:p>
                  <w:pPr>
                    <w:pStyle w:val="112"/>
                    <w:rPr>
                      <w:szCs w:val="21"/>
                      <w:highlight w:val="none"/>
                    </w:rPr>
                  </w:pPr>
                  <w:r>
                    <w:rPr>
                      <w:szCs w:val="21"/>
                      <w:highlight w:val="none"/>
                    </w:rPr>
                    <w:t>运行费用</w:t>
                  </w:r>
                </w:p>
              </w:tc>
              <w:tc>
                <w:tcPr>
                  <w:tcW w:w="5670" w:type="dxa"/>
                  <w:vAlign w:val="center"/>
                </w:tcPr>
                <w:p>
                  <w:pPr>
                    <w:pStyle w:val="112"/>
                    <w:rPr>
                      <w:szCs w:val="21"/>
                      <w:highlight w:val="none"/>
                    </w:rPr>
                  </w:pPr>
                  <w:r>
                    <w:rPr>
                      <w:szCs w:val="21"/>
                      <w:highlight w:val="none"/>
                    </w:rPr>
                    <w:t>环保设施的运行、维护、维修费用</w:t>
                  </w:r>
                </w:p>
              </w:tc>
              <w:tc>
                <w:tcPr>
                  <w:tcW w:w="1433" w:type="dxa"/>
                  <w:vAlign w:val="center"/>
                </w:tcPr>
                <w:p>
                  <w:pPr>
                    <w:pStyle w:val="112"/>
                    <w:rPr>
                      <w:szCs w:val="21"/>
                      <w:highlight w:val="none"/>
                    </w:rPr>
                  </w:pPr>
                  <w:r>
                    <w:rPr>
                      <w:rFonts w:hint="eastAsia"/>
                      <w:szCs w:val="21"/>
                      <w:highlight w:val="none"/>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84" w:type="dxa"/>
                  <w:gridSpan w:val="2"/>
                  <w:vAlign w:val="center"/>
                </w:tcPr>
                <w:p>
                  <w:pPr>
                    <w:pStyle w:val="112"/>
                    <w:rPr>
                      <w:szCs w:val="21"/>
                      <w:highlight w:val="none"/>
                    </w:rPr>
                  </w:pPr>
                  <w:r>
                    <w:rPr>
                      <w:szCs w:val="21"/>
                      <w:highlight w:val="none"/>
                    </w:rPr>
                    <w:t>环保投资（万元）</w:t>
                  </w:r>
                </w:p>
              </w:tc>
              <w:tc>
                <w:tcPr>
                  <w:tcW w:w="1433" w:type="dxa"/>
                  <w:vAlign w:val="center"/>
                </w:tcPr>
                <w:p>
                  <w:pPr>
                    <w:pStyle w:val="112"/>
                    <w:rPr>
                      <w:szCs w:val="21"/>
                      <w:highlight w:val="none"/>
                    </w:rPr>
                  </w:pPr>
                  <w:r>
                    <w:rPr>
                      <w:rFonts w:hint="eastAsia"/>
                      <w:szCs w:val="21"/>
                      <w:highlight w:val="none"/>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7184" w:type="dxa"/>
                  <w:gridSpan w:val="2"/>
                  <w:vAlign w:val="center"/>
                </w:tcPr>
                <w:p>
                  <w:pPr>
                    <w:pStyle w:val="112"/>
                    <w:rPr>
                      <w:szCs w:val="21"/>
                      <w:highlight w:val="none"/>
                    </w:rPr>
                  </w:pPr>
                  <w:r>
                    <w:rPr>
                      <w:szCs w:val="21"/>
                      <w:highlight w:val="none"/>
                    </w:rPr>
                    <w:t>占总投资比例（%）</w:t>
                  </w:r>
                </w:p>
              </w:tc>
              <w:tc>
                <w:tcPr>
                  <w:tcW w:w="1433" w:type="dxa"/>
                  <w:vAlign w:val="center"/>
                </w:tcPr>
                <w:p>
                  <w:pPr>
                    <w:pStyle w:val="112"/>
                    <w:rPr>
                      <w:szCs w:val="21"/>
                      <w:highlight w:val="none"/>
                    </w:rPr>
                  </w:pPr>
                  <w:r>
                    <w:rPr>
                      <w:rFonts w:hint="eastAsia"/>
                      <w:szCs w:val="21"/>
                      <w:highlight w:val="none"/>
                    </w:rPr>
                    <w:t>3.75</w:t>
                  </w:r>
                </w:p>
              </w:tc>
            </w:tr>
          </w:tbl>
          <w:p>
            <w:pPr>
              <w:pStyle w:val="72"/>
              <w:spacing w:line="360" w:lineRule="auto"/>
              <w:ind w:firstLine="0"/>
              <w:rPr>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90" w:hRule="atLeast"/>
          <w:jc w:val="center"/>
        </w:trPr>
        <w:tc>
          <w:tcPr>
            <w:tcW w:w="731" w:type="dxa"/>
            <w:vAlign w:val="center"/>
          </w:tcPr>
          <w:p>
            <w:pPr>
              <w:pStyle w:val="24"/>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szCs w:val="24"/>
                <w:highlight w:val="none"/>
              </w:rPr>
              <w:t>工艺流程和产排污环节</w:t>
            </w:r>
          </w:p>
        </w:tc>
        <w:tc>
          <w:tcPr>
            <w:tcW w:w="8907" w:type="dxa"/>
          </w:tcPr>
          <w:p>
            <w:pPr>
              <w:pStyle w:val="10"/>
              <w:spacing w:after="0" w:line="360" w:lineRule="auto"/>
              <w:ind w:left="0" w:leftChars="0"/>
              <w:jc w:val="left"/>
              <w:rPr>
                <w:b/>
                <w:bCs/>
                <w:szCs w:val="24"/>
                <w:highlight w:val="none"/>
              </w:rPr>
            </w:pPr>
            <w:r>
              <w:rPr>
                <w:b/>
                <w:bCs/>
                <w:szCs w:val="24"/>
                <w:highlight w:val="none"/>
              </w:rPr>
              <w:t>工艺流程简述：</w:t>
            </w:r>
          </w:p>
          <w:p>
            <w:pPr>
              <w:spacing w:line="360" w:lineRule="auto"/>
              <w:ind w:firstLine="480" w:firstLineChars="200"/>
              <w:rPr>
                <w:sz w:val="24"/>
                <w:highlight w:val="none"/>
              </w:rPr>
            </w:pPr>
            <w:r>
              <w:rPr>
                <w:rFonts w:hint="eastAsia"/>
                <w:sz w:val="24"/>
                <w:highlight w:val="none"/>
              </w:rPr>
              <w:t>一、施工期</w:t>
            </w:r>
          </w:p>
          <w:p>
            <w:pPr>
              <w:adjustRightInd w:val="0"/>
              <w:snapToGrid w:val="0"/>
              <w:spacing w:line="360" w:lineRule="auto"/>
              <w:ind w:firstLine="480" w:firstLineChars="200"/>
              <w:textAlignment w:val="baseline"/>
              <w:rPr>
                <w:bCs/>
                <w:sz w:val="24"/>
                <w:highlight w:val="none"/>
              </w:rPr>
            </w:pPr>
            <w:r>
              <w:rPr>
                <w:bCs/>
                <w:sz w:val="24"/>
                <w:highlight w:val="none"/>
              </w:rPr>
              <w:t>施工活动的工程内容主要为：建设</w:t>
            </w:r>
            <w:r>
              <w:rPr>
                <w:rFonts w:hint="eastAsia"/>
                <w:bCs/>
                <w:sz w:val="24"/>
                <w:highlight w:val="none"/>
              </w:rPr>
              <w:t>污水暂存设施、锅炉布袋除尘器及玉米生产线设备安装，</w:t>
            </w:r>
            <w:r>
              <w:rPr>
                <w:bCs/>
                <w:sz w:val="24"/>
                <w:highlight w:val="none"/>
              </w:rPr>
              <w:t>主要影响范围为项目场区区域，施工过程将产生施工扬尘、施工废水、施工噪声、施工固废及生活垃圾等污染物，主要环境影响因子包括环境空气、水环境、声环境、人群健康等，并新增少量水土流失。</w:t>
            </w:r>
          </w:p>
          <w:p>
            <w:pPr>
              <w:adjustRightInd w:val="0"/>
              <w:snapToGrid w:val="0"/>
              <w:spacing w:line="360" w:lineRule="auto"/>
              <w:ind w:firstLine="480" w:firstLineChars="200"/>
              <w:textAlignment w:val="baseline"/>
              <w:rPr>
                <w:bCs/>
                <w:sz w:val="24"/>
                <w:highlight w:val="none"/>
              </w:rPr>
            </w:pPr>
            <w:r>
              <w:rPr>
                <w:bCs/>
                <w:sz w:val="24"/>
                <w:highlight w:val="none"/>
              </w:rPr>
              <w:t>本项目施工期工艺流程图如下：</w:t>
            </w:r>
          </w:p>
          <w:p>
            <w:pPr>
              <w:adjustRightInd w:val="0"/>
              <w:snapToGrid w:val="0"/>
              <w:spacing w:line="360" w:lineRule="auto"/>
              <w:jc w:val="center"/>
              <w:rPr>
                <w:b/>
                <w:spacing w:val="8"/>
                <w:kern w:val="24"/>
                <w:highlight w:val="none"/>
              </w:rPr>
            </w:pPr>
            <w:r>
              <w:rPr>
                <w:highlight w:val="none"/>
              </w:rPr>
              <mc:AlternateContent>
                <mc:Choice Requires="wpg">
                  <w:drawing>
                    <wp:inline distT="0" distB="0" distL="0" distR="0">
                      <wp:extent cx="3726180" cy="1257300"/>
                      <wp:effectExtent l="0" t="0" r="26670" b="0"/>
                      <wp:docPr id="1120" name="组合 59"/>
                      <wp:cNvGraphicFramePr/>
                      <a:graphic xmlns:a="http://schemas.openxmlformats.org/drawingml/2006/main">
                        <a:graphicData uri="http://schemas.microsoft.com/office/word/2010/wordprocessingGroup">
                          <wpg:wgp>
                            <wpg:cNvGrpSpPr/>
                            <wpg:grpSpPr>
                              <a:xfrm>
                                <a:off x="0" y="0"/>
                                <a:ext cx="3726362" cy="1257336"/>
                                <a:chOff x="4654" y="0"/>
                                <a:chExt cx="37262" cy="12573"/>
                              </a:xfrm>
                            </wpg:grpSpPr>
                            <wps:wsp>
                              <wps:cNvPr id="1121" name="矩形 64"/>
                              <wps:cNvSpPr>
                                <a:spLocks noChangeArrowheads="1"/>
                              </wps:cNvSpPr>
                              <wps:spPr bwMode="auto">
                                <a:xfrm>
                                  <a:off x="6157" y="4667"/>
                                  <a:ext cx="8001" cy="2972"/>
                                </a:xfrm>
                                <a:prstGeom prst="rect">
                                  <a:avLst/>
                                </a:prstGeom>
                                <a:solidFill>
                                  <a:srgbClr val="FFFFFF"/>
                                </a:solidFill>
                                <a:ln w="9525">
                                  <a:solidFill>
                                    <a:srgbClr val="000000"/>
                                  </a:solidFill>
                                  <a:miter lim="800000"/>
                                </a:ln>
                              </wps:spPr>
                              <wps:txbx>
                                <w:txbxContent>
                                  <w:p>
                                    <w:pPr>
                                      <w:jc w:val="center"/>
                                    </w:pPr>
                                    <w:r>
                                      <w:rPr>
                                        <w:rFonts w:hint="eastAsia"/>
                                      </w:rPr>
                                      <w:t>场地平整</w:t>
                                    </w:r>
                                  </w:p>
                                  <w:p/>
                                </w:txbxContent>
                              </wps:txbx>
                              <wps:bodyPr rot="0" vert="horz" wrap="square" lIns="91440" tIns="45720" rIns="91440" bIns="45720" anchor="t" anchorCtr="0" upright="1">
                                <a:noAutofit/>
                              </wps:bodyPr>
                            </wps:wsp>
                            <wps:wsp>
                              <wps:cNvPr id="1122" name="矩形 81"/>
                              <wps:cNvSpPr>
                                <a:spLocks noChangeArrowheads="1"/>
                              </wps:cNvSpPr>
                              <wps:spPr bwMode="auto">
                                <a:xfrm>
                                  <a:off x="18825" y="4667"/>
                                  <a:ext cx="8001" cy="2972"/>
                                </a:xfrm>
                                <a:prstGeom prst="rect">
                                  <a:avLst/>
                                </a:prstGeom>
                                <a:solidFill>
                                  <a:srgbClr val="FFFFFF"/>
                                </a:solidFill>
                                <a:ln w="9525">
                                  <a:solidFill>
                                    <a:srgbClr val="000000"/>
                                  </a:solidFill>
                                  <a:miter lim="800000"/>
                                </a:ln>
                              </wps:spPr>
                              <wps:txbx>
                                <w:txbxContent>
                                  <w:p>
                                    <w:pPr>
                                      <w:jc w:val="center"/>
                                    </w:pPr>
                                    <w:r>
                                      <w:rPr>
                                        <w:rFonts w:hint="eastAsia"/>
                                      </w:rPr>
                                      <w:t>基础施工</w:t>
                                    </w:r>
                                  </w:p>
                                  <w:p/>
                                </w:txbxContent>
                              </wps:txbx>
                              <wps:bodyPr rot="0" vert="horz" wrap="square" lIns="91440" tIns="45720" rIns="91440" bIns="45720" anchor="t" anchorCtr="0" upright="1">
                                <a:noAutofit/>
                              </wps:bodyPr>
                            </wps:wsp>
                            <wps:wsp>
                              <wps:cNvPr id="1124" name="矩形 83"/>
                              <wps:cNvSpPr>
                                <a:spLocks noChangeArrowheads="1"/>
                              </wps:cNvSpPr>
                              <wps:spPr bwMode="auto">
                                <a:xfrm>
                                  <a:off x="30160" y="4382"/>
                                  <a:ext cx="11756" cy="2972"/>
                                </a:xfrm>
                                <a:prstGeom prst="rect">
                                  <a:avLst/>
                                </a:prstGeom>
                                <a:solidFill>
                                  <a:srgbClr val="FFFFFF"/>
                                </a:solidFill>
                                <a:ln w="9525">
                                  <a:solidFill>
                                    <a:srgbClr val="000000"/>
                                  </a:solidFill>
                                  <a:miter lim="800000"/>
                                </a:ln>
                              </wps:spPr>
                              <wps:txbx>
                                <w:txbxContent>
                                  <w:p>
                                    <w:pPr>
                                      <w:jc w:val="center"/>
                                    </w:pPr>
                                    <w:r>
                                      <w:rPr>
                                        <w:rFonts w:hint="eastAsia"/>
                                      </w:rPr>
                                      <w:t>安装设备</w:t>
                                    </w:r>
                                  </w:p>
                                  <w:p/>
                                </w:txbxContent>
                              </wps:txbx>
                              <wps:bodyPr rot="0" vert="horz" wrap="square" lIns="91440" tIns="45720" rIns="91440" bIns="45720" anchor="t" anchorCtr="0" upright="1">
                                <a:noAutofit/>
                              </wps:bodyPr>
                            </wps:wsp>
                            <wps:wsp>
                              <wps:cNvPr id="1125" name="直接连接符 29"/>
                              <wps:cNvCnPr>
                                <a:cxnSpLocks noChangeShapeType="1"/>
                              </wps:cNvCnPr>
                              <wps:spPr bwMode="auto">
                                <a:xfrm>
                                  <a:off x="14158" y="5715"/>
                                  <a:ext cx="4655" cy="19"/>
                                </a:xfrm>
                                <a:prstGeom prst="line">
                                  <a:avLst/>
                                </a:prstGeom>
                                <a:noFill/>
                                <a:ln w="9525">
                                  <a:solidFill>
                                    <a:srgbClr val="000000"/>
                                  </a:solidFill>
                                  <a:round/>
                                  <a:tailEnd type="triangle" w="med" len="med"/>
                                </a:ln>
                              </wps:spPr>
                              <wps:bodyPr/>
                            </wps:wsp>
                            <wps:wsp>
                              <wps:cNvPr id="1126" name="直接连接符 30"/>
                              <wps:cNvCnPr>
                                <a:cxnSpLocks noChangeShapeType="1"/>
                              </wps:cNvCnPr>
                              <wps:spPr bwMode="auto">
                                <a:xfrm>
                                  <a:off x="26826" y="5715"/>
                                  <a:ext cx="3334" cy="6"/>
                                </a:xfrm>
                                <a:prstGeom prst="line">
                                  <a:avLst/>
                                </a:prstGeom>
                                <a:noFill/>
                                <a:ln w="9525">
                                  <a:solidFill>
                                    <a:srgbClr val="000000"/>
                                  </a:solidFill>
                                  <a:round/>
                                  <a:tailEnd type="triangle" w="med" len="med"/>
                                </a:ln>
                              </wps:spPr>
                              <wps:bodyPr/>
                            </wps:wsp>
                            <wps:wsp>
                              <wps:cNvPr id="1128" name="文本框 3"/>
                              <wps:cNvSpPr txBox="1">
                                <a:spLocks noChangeArrowheads="1"/>
                              </wps:cNvSpPr>
                              <wps:spPr bwMode="auto">
                                <a:xfrm>
                                  <a:off x="4654" y="9601"/>
                                  <a:ext cx="4654" cy="2972"/>
                                </a:xfrm>
                                <a:prstGeom prst="rect">
                                  <a:avLst/>
                                </a:prstGeom>
                                <a:solidFill>
                                  <a:srgbClr val="FFFFFF"/>
                                </a:solidFill>
                                <a:ln>
                                  <a:noFill/>
                                </a:ln>
                              </wps:spPr>
                              <wps:txbx>
                                <w:txbxContent>
                                  <w:p>
                                    <w:pPr>
                                      <w:jc w:val="center"/>
                                    </w:pPr>
                                    <w:r>
                                      <w:rPr>
                                        <w:rFonts w:hint="eastAsia"/>
                                      </w:rPr>
                                      <w:t>噪声</w:t>
                                    </w:r>
                                  </w:p>
                                  <w:p/>
                                </w:txbxContent>
                              </wps:txbx>
                              <wps:bodyPr rot="0" vert="horz" wrap="square" lIns="91440" tIns="45720" rIns="91440" bIns="45720" anchor="t" anchorCtr="0" upright="1">
                                <a:noAutofit/>
                              </wps:bodyPr>
                            </wps:wsp>
                            <wps:wsp>
                              <wps:cNvPr id="1129" name="直接连接符 8"/>
                              <wps:cNvCnPr>
                                <a:cxnSpLocks noChangeShapeType="1"/>
                              </wps:cNvCnPr>
                              <wps:spPr bwMode="auto">
                                <a:xfrm>
                                  <a:off x="7491" y="7905"/>
                                  <a:ext cx="6" cy="1981"/>
                                </a:xfrm>
                                <a:prstGeom prst="line">
                                  <a:avLst/>
                                </a:prstGeom>
                                <a:noFill/>
                                <a:ln w="9525">
                                  <a:solidFill>
                                    <a:srgbClr val="000000"/>
                                  </a:solidFill>
                                  <a:prstDash val="dash"/>
                                  <a:round/>
                                  <a:tailEnd type="triangle" w="med" len="med"/>
                                </a:ln>
                              </wps:spPr>
                              <wps:bodyPr/>
                            </wps:wsp>
                            <wps:wsp>
                              <wps:cNvPr id="1130" name="直接连接符 84"/>
                              <wps:cNvCnPr>
                                <a:cxnSpLocks noChangeShapeType="1"/>
                              </wps:cNvCnPr>
                              <wps:spPr bwMode="auto">
                                <a:xfrm flipV="1">
                                  <a:off x="10158" y="2571"/>
                                  <a:ext cx="6" cy="1981"/>
                                </a:xfrm>
                                <a:prstGeom prst="line">
                                  <a:avLst/>
                                </a:prstGeom>
                                <a:noFill/>
                                <a:ln w="9525">
                                  <a:solidFill>
                                    <a:srgbClr val="000000"/>
                                  </a:solidFill>
                                  <a:prstDash val="dash"/>
                                  <a:round/>
                                  <a:tailEnd type="triangle" w="med" len="med"/>
                                </a:ln>
                              </wps:spPr>
                              <wps:bodyPr/>
                            </wps:wsp>
                            <wps:wsp>
                              <wps:cNvPr id="1131" name="文本框 88"/>
                              <wps:cNvSpPr txBox="1">
                                <a:spLocks noChangeArrowheads="1"/>
                              </wps:cNvSpPr>
                              <wps:spPr bwMode="auto">
                                <a:xfrm>
                                  <a:off x="8157" y="0"/>
                                  <a:ext cx="6001" cy="2971"/>
                                </a:xfrm>
                                <a:prstGeom prst="rect">
                                  <a:avLst/>
                                </a:prstGeom>
                                <a:noFill/>
                                <a:ln>
                                  <a:noFill/>
                                </a:ln>
                              </wps:spPr>
                              <wps:txbx>
                                <w:txbxContent>
                                  <w:p>
                                    <w:r>
                                      <w:rPr>
                                        <w:rFonts w:hint="eastAsia"/>
                                      </w:rPr>
                                      <w:t>扬尘</w:t>
                                    </w:r>
                                  </w:p>
                                  <w:p/>
                                </w:txbxContent>
                              </wps:txbx>
                              <wps:bodyPr rot="0" vert="horz" wrap="square" lIns="91440" tIns="45720" rIns="91440" bIns="45720" anchor="t" anchorCtr="0" upright="1">
                                <a:noAutofit/>
                              </wps:bodyPr>
                            </wps:wsp>
                            <wps:wsp>
                              <wps:cNvPr id="1132" name="文本框 6"/>
                              <wps:cNvSpPr txBox="1">
                                <a:spLocks noChangeArrowheads="1"/>
                              </wps:cNvSpPr>
                              <wps:spPr bwMode="auto">
                                <a:xfrm>
                                  <a:off x="20064" y="9334"/>
                                  <a:ext cx="6000" cy="2991"/>
                                </a:xfrm>
                                <a:prstGeom prst="rect">
                                  <a:avLst/>
                                </a:prstGeom>
                                <a:solidFill>
                                  <a:srgbClr val="FFFFFF"/>
                                </a:solidFill>
                                <a:ln>
                                  <a:noFill/>
                                </a:ln>
                              </wps:spPr>
                              <wps:txbx>
                                <w:txbxContent>
                                  <w:p>
                                    <w:pPr>
                                      <w:jc w:val="center"/>
                                    </w:pPr>
                                    <w:r>
                                      <w:rPr>
                                        <w:rFonts w:hint="eastAsia"/>
                                      </w:rPr>
                                      <w:t>噪声</w:t>
                                    </w:r>
                                  </w:p>
                                  <w:p/>
                                </w:txbxContent>
                              </wps:txbx>
                              <wps:bodyPr rot="0" vert="horz" wrap="square" lIns="91440" tIns="45720" rIns="91440" bIns="45720" anchor="t" anchorCtr="0" upright="1">
                                <a:noAutofit/>
                              </wps:bodyPr>
                            </wps:wsp>
                            <wps:wsp>
                              <wps:cNvPr id="1134" name="直接连接符 28"/>
                              <wps:cNvCnPr>
                                <a:cxnSpLocks noChangeShapeType="1"/>
                              </wps:cNvCnPr>
                              <wps:spPr bwMode="auto">
                                <a:xfrm>
                                  <a:off x="22731" y="7905"/>
                                  <a:ext cx="6" cy="1981"/>
                                </a:xfrm>
                                <a:prstGeom prst="line">
                                  <a:avLst/>
                                </a:prstGeom>
                                <a:noFill/>
                                <a:ln w="9525">
                                  <a:solidFill>
                                    <a:srgbClr val="000000"/>
                                  </a:solidFill>
                                  <a:prstDash val="dash"/>
                                  <a:round/>
                                  <a:tailEnd type="triangle" w="med" len="med"/>
                                </a:ln>
                              </wps:spPr>
                              <wps:bodyPr/>
                            </wps:wsp>
                            <wps:wsp>
                              <wps:cNvPr id="1135" name="直接连接符 87"/>
                              <wps:cNvCnPr>
                                <a:cxnSpLocks noChangeShapeType="1"/>
                              </wps:cNvCnPr>
                              <wps:spPr bwMode="auto">
                                <a:xfrm flipV="1">
                                  <a:off x="22826" y="2476"/>
                                  <a:ext cx="6" cy="1981"/>
                                </a:xfrm>
                                <a:prstGeom prst="line">
                                  <a:avLst/>
                                </a:prstGeom>
                                <a:noFill/>
                                <a:ln w="9525">
                                  <a:solidFill>
                                    <a:srgbClr val="000000"/>
                                  </a:solidFill>
                                  <a:prstDash val="dash"/>
                                  <a:round/>
                                  <a:tailEnd type="triangle" w="med" len="med"/>
                                </a:ln>
                              </wps:spPr>
                              <wps:bodyPr/>
                            </wps:wsp>
                            <wps:wsp>
                              <wps:cNvPr id="1137" name="文本框 89"/>
                              <wps:cNvSpPr txBox="1">
                                <a:spLocks noChangeArrowheads="1"/>
                              </wps:cNvSpPr>
                              <wps:spPr bwMode="auto">
                                <a:xfrm>
                                  <a:off x="20159" y="0"/>
                                  <a:ext cx="6001" cy="2971"/>
                                </a:xfrm>
                                <a:prstGeom prst="rect">
                                  <a:avLst/>
                                </a:prstGeom>
                                <a:noFill/>
                                <a:ln>
                                  <a:noFill/>
                                </a:ln>
                              </wps:spPr>
                              <wps:txbx>
                                <w:txbxContent>
                                  <w:p>
                                    <w:r>
                                      <w:rPr>
                                        <w:rFonts w:hint="eastAsia"/>
                                      </w:rPr>
                                      <w:t>扬尘</w:t>
                                    </w:r>
                                  </w:p>
                                  <w:p/>
                                </w:txbxContent>
                              </wps:txbx>
                              <wps:bodyPr rot="0" vert="horz" wrap="square" lIns="91440" tIns="45720" rIns="91440" bIns="45720" anchor="t" anchorCtr="0" upright="1">
                                <a:noAutofit/>
                              </wps:bodyPr>
                            </wps:wsp>
                            <wps:wsp>
                              <wps:cNvPr id="1142" name="文本框 4"/>
                              <wps:cNvSpPr txBox="1">
                                <a:spLocks noChangeArrowheads="1"/>
                              </wps:cNvSpPr>
                              <wps:spPr bwMode="auto">
                                <a:xfrm>
                                  <a:off x="32736" y="9049"/>
                                  <a:ext cx="6000" cy="2991"/>
                                </a:xfrm>
                                <a:prstGeom prst="rect">
                                  <a:avLst/>
                                </a:prstGeom>
                                <a:solidFill>
                                  <a:srgbClr val="FFFFFF"/>
                                </a:solidFill>
                                <a:ln>
                                  <a:noFill/>
                                </a:ln>
                              </wps:spPr>
                              <wps:txbx>
                                <w:txbxContent>
                                  <w:p>
                                    <w:pPr>
                                      <w:jc w:val="center"/>
                                    </w:pPr>
                                    <w:r>
                                      <w:rPr>
                                        <w:rFonts w:hint="eastAsia"/>
                                      </w:rPr>
                                      <w:t>噪声</w:t>
                                    </w:r>
                                  </w:p>
                                  <w:p/>
                                </w:txbxContent>
                              </wps:txbx>
                              <wps:bodyPr rot="0" vert="horz" wrap="square" lIns="91440" tIns="45720" rIns="91440" bIns="45720" anchor="t" anchorCtr="0" upright="1">
                                <a:noAutofit/>
                              </wps:bodyPr>
                            </wps:wsp>
                            <wps:wsp>
                              <wps:cNvPr id="1143" name="直接连接符 11"/>
                              <wps:cNvCnPr>
                                <a:cxnSpLocks noChangeShapeType="1"/>
                              </wps:cNvCnPr>
                              <wps:spPr bwMode="auto">
                                <a:xfrm>
                                  <a:off x="35403" y="7620"/>
                                  <a:ext cx="6" cy="1981"/>
                                </a:xfrm>
                                <a:prstGeom prst="line">
                                  <a:avLst/>
                                </a:prstGeom>
                                <a:noFill/>
                                <a:ln w="9525">
                                  <a:solidFill>
                                    <a:srgbClr val="000000"/>
                                  </a:solidFill>
                                  <a:prstDash val="dash"/>
                                  <a:round/>
                                  <a:tailEnd type="triangle" w="med" len="med"/>
                                </a:ln>
                              </wps:spPr>
                              <wps:bodyPr/>
                            </wps:wsp>
                            <wps:wsp>
                              <wps:cNvPr id="1145" name="直接连接符 85"/>
                              <wps:cNvCnPr>
                                <a:cxnSpLocks noChangeShapeType="1"/>
                              </wps:cNvCnPr>
                              <wps:spPr bwMode="auto">
                                <a:xfrm flipV="1">
                                  <a:off x="35403" y="2286"/>
                                  <a:ext cx="6" cy="1981"/>
                                </a:xfrm>
                                <a:prstGeom prst="line">
                                  <a:avLst/>
                                </a:prstGeom>
                                <a:noFill/>
                                <a:ln w="9525">
                                  <a:solidFill>
                                    <a:srgbClr val="000000"/>
                                  </a:solidFill>
                                  <a:prstDash val="dash"/>
                                  <a:round/>
                                  <a:tailEnd type="triangle" w="med" len="med"/>
                                </a:ln>
                              </wps:spPr>
                              <wps:bodyPr/>
                            </wps:wsp>
                            <wps:wsp>
                              <wps:cNvPr id="1147" name="文本框 90"/>
                              <wps:cNvSpPr txBox="1">
                                <a:spLocks noChangeArrowheads="1"/>
                              </wps:cNvSpPr>
                              <wps:spPr bwMode="auto">
                                <a:xfrm>
                                  <a:off x="32164" y="0"/>
                                  <a:ext cx="6001" cy="2972"/>
                                </a:xfrm>
                                <a:prstGeom prst="rect">
                                  <a:avLst/>
                                </a:prstGeom>
                                <a:noFill/>
                                <a:ln>
                                  <a:noFill/>
                                </a:ln>
                              </wps:spPr>
                              <wps:txbx>
                                <w:txbxContent>
                                  <w:p>
                                    <w:pPr>
                                      <w:jc w:val="center"/>
                                    </w:pPr>
                                    <w:r>
                                      <w:rPr>
                                        <w:rFonts w:hint="eastAsia"/>
                                      </w:rPr>
                                      <w:t>粉尘</w:t>
                                    </w:r>
                                  </w:p>
                                  <w:p/>
                                </w:txbxContent>
                              </wps:txbx>
                              <wps:bodyPr rot="0" vert="horz" wrap="square" lIns="91440" tIns="45720" rIns="91440" bIns="45720" anchor="t" anchorCtr="0" upright="1">
                                <a:noAutofit/>
                              </wps:bodyPr>
                            </wps:wsp>
                          </wpg:wgp>
                        </a:graphicData>
                      </a:graphic>
                    </wp:inline>
                  </w:drawing>
                </mc:Choice>
                <mc:Fallback>
                  <w:pict>
                    <v:group id="组合 59" o:spid="_x0000_s1026" o:spt="203" style="height:99pt;width:293.4pt;" coordorigin="4654,0" coordsize="37262,12573" o:gfxdata="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">
                      <o:lock v:ext="edit" aspectratio="f"/>
                      <v:rect id="矩形 64" o:spid="_x0000_s1026" o:spt="1" style="position:absolute;left:6157;top:4667;height:2972;width:8001;" fillcolor="#FFFFFF" filled="t" stroked="t" coordsize="21600,21600" o:gfxdata="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7agm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场地平整</w:t>
                              </w:r>
                            </w:p>
                            <w:p/>
                          </w:txbxContent>
                        </v:textbox>
                      </v:rect>
                      <v:rect id="矩形 81" o:spid="_x0000_s1026" o:spt="1" style="position:absolute;left:18825;top:4667;height:2972;width:8001;" fillcolor="#FFFFFF" filled="t" stroked="t" coordsize="21600,21600" o:gfxdata="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p9H6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基础施工</w:t>
                              </w:r>
                            </w:p>
                            <w:p/>
                          </w:txbxContent>
                        </v:textbox>
                      </v:rect>
                      <v:rect id="矩形 83" o:spid="_x0000_s1026" o:spt="1" style="position:absolute;left:30160;top:4382;height:2972;width:11756;" fillcolor="#FFFFFF" filled="t" stroked="t" coordsize="21600,21600" o:gfxdata="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MyZG8AAAA&#10;3QAAAA8AAAAAAAAAAQAgAAAAIgAAAGRycy9kb3ducmV2LnhtbFBLAQIUABQAAAAIAIdO4kAzLwWe&#10;OwAAADkAAAAQAAAAAAAAAAEAIAAAAAsBAABkcnMvc2hhcGV4bWwueG1sUEsFBgAAAAAGAAYAWwEA&#10;ALUDAAAAAA==&#10;">
                        <v:fill on="t" focussize="0,0"/>
                        <v:stroke color="#000000" miterlimit="8" joinstyle="miter"/>
                        <v:imagedata o:title=""/>
                        <o:lock v:ext="edit" aspectratio="f"/>
                        <v:textbox>
                          <w:txbxContent>
                            <w:p>
                              <w:pPr>
                                <w:jc w:val="center"/>
                              </w:pPr>
                              <w:r>
                                <w:rPr>
                                  <w:rFonts w:hint="eastAsia"/>
                                </w:rPr>
                                <w:t>安装设备</w:t>
                              </w:r>
                            </w:p>
                            <w:p/>
                          </w:txbxContent>
                        </v:textbox>
                      </v:rect>
                      <v:line id="直接连接符 29" o:spid="_x0000_s1026" o:spt="20" style="position:absolute;left:14158;top:5715;height:19;width:4655;" filled="f" stroked="t" coordsize="21600,21600" o:gfxdata="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Urr4A&#10;AADd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接连接符 30" o:spid="_x0000_s1026" o:spt="20" style="position:absolute;left:26826;top:5715;height:6;width:3334;" filled="f" stroked="t" coordsize="21600,21600" o:gfxdata="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0IrZvQAA&#10;AN0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文本框 3" o:spid="_x0000_s1026" o:spt="202" type="#_x0000_t202" style="position:absolute;left:4654;top:9601;height:2972;width:4654;" fillcolor="#FFFFFF" filled="t" stroked="f" coordsize="21600,21600" o:gfxdata="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smc7b4A&#10;AADdAAAADwAAAAAAAAABACAAAAAiAAAAZHJzL2Rvd25yZXYueG1sUEsBAhQAFAAAAAgAh07iQDMv&#10;BZ47AAAAOQAAABAAAAAAAAAAAQAgAAAADQEAAGRycy9zaGFwZXhtbC54bWxQSwUGAAAAAAYABgBb&#10;AQAAtwMAAAAA&#10;">
                        <v:fill on="t" focussize="0,0"/>
                        <v:stroke on="f"/>
                        <v:imagedata o:title=""/>
                        <o:lock v:ext="edit" aspectratio="f"/>
                        <v:textbox>
                          <w:txbxContent>
                            <w:p>
                              <w:pPr>
                                <w:jc w:val="center"/>
                              </w:pPr>
                              <w:r>
                                <w:rPr>
                                  <w:rFonts w:hint="eastAsia"/>
                                </w:rPr>
                                <w:t>噪声</w:t>
                              </w:r>
                            </w:p>
                            <w:p/>
                          </w:txbxContent>
                        </v:textbox>
                      </v:shape>
                      <v:line id="直接连接符 8" o:spid="_x0000_s1026" o:spt="20" style="position:absolute;left:7491;top:7905;height:1981;width:6;" filled="f" stroked="t" coordsize="21600,21600" o:gfxdata="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Psin&#10;wAAAAN0AAAAPAAAAAAAAAAEAIAAAACIAAABkcnMvZG93bnJldi54bWxQSwECFAAUAAAACACHTuJA&#10;My8FnjsAAAA5AAAAEAAAAAAAAAABACAAAAAPAQAAZHJzL3NoYXBleG1sLnhtbFBLBQYAAAAABgAG&#10;AFsBAAC5AwAAAAA=&#10;">
                        <v:fill on="f" focussize="0,0"/>
                        <v:stroke color="#000000" joinstyle="round" dashstyle="dash" endarrow="block"/>
                        <v:imagedata o:title=""/>
                        <o:lock v:ext="edit" aspectratio="f"/>
                      </v:line>
                      <v:line id="直接连接符 84" o:spid="_x0000_s1026" o:spt="20" style="position:absolute;left:10158;top:2571;flip:y;height:1981;width:6;" filled="f" stroked="t" coordsize="21600,21600" o:gfxdata="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DQlvQAA&#10;AN0AAAAPAAAAAAAAAAEAIAAAACIAAABkcnMvZG93bnJldi54bWxQSwECFAAUAAAACACHTuJAMy8F&#10;njsAAAA5AAAAEAAAAAAAAAABACAAAAAMAQAAZHJzL3NoYXBleG1sLnhtbFBLBQYAAAAABgAGAFsB&#10;AAC2AwAAAAA=&#10;">
                        <v:fill on="f" focussize="0,0"/>
                        <v:stroke color="#000000" joinstyle="round" dashstyle="dash" endarrow="block"/>
                        <v:imagedata o:title=""/>
                        <o:lock v:ext="edit" aspectratio="f"/>
                      </v:line>
                      <v:shape id="文本框 88" o:spid="_x0000_s1026" o:spt="202" type="#_x0000_t202" style="position:absolute;left:8157;top:0;height:2971;width:6001;" filled="f" stroked="f" coordsize="21600,21600" o:gfxdata="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IjeK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扬尘</w:t>
                              </w:r>
                            </w:p>
                            <w:p/>
                          </w:txbxContent>
                        </v:textbox>
                      </v:shape>
                      <v:shape id="文本框 6" o:spid="_x0000_s1026" o:spt="202" type="#_x0000_t202" style="position:absolute;left:20064;top:9334;height:2991;width:6000;" fillcolor="#FFFFFF" filled="t" stroked="f" coordsize="21600,21600" o:gfxdata="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g92rsAAADd&#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jc w:val="center"/>
                              </w:pPr>
                              <w:r>
                                <w:rPr>
                                  <w:rFonts w:hint="eastAsia"/>
                                </w:rPr>
                                <w:t>噪声</w:t>
                              </w:r>
                            </w:p>
                            <w:p/>
                          </w:txbxContent>
                        </v:textbox>
                      </v:shape>
                      <v:line id="直接连接符 28" o:spid="_x0000_s1026" o:spt="20" style="position:absolute;left:22731;top:7905;height:1981;width:6;" filled="f" stroked="t" coordsize="21600,21600" o:gfxdata="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m8eS/&#10;AAAA3Q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line id="直接连接符 87" o:spid="_x0000_s1026" o:spt="20" style="position:absolute;left:22826;top:2476;flip:y;height:1981;width:6;" filled="f" stroked="t" coordsize="21600,21600" o:gfxdata="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8Pl725AAAA3QAA&#10;AA8AAAAAAAAAAQAgAAAAIgAAAGRycy9kb3ducmV2LnhtbFBLAQIUABQAAAAIAIdO4kAzLwWeOwAA&#10;ADkAAAAQAAAAAAAAAAEAIAAAAAgBAABkcnMvc2hhcGV4bWwueG1sUEsFBgAAAAAGAAYAWwEAALID&#10;AAAAAA==&#10;">
                        <v:fill on="f" focussize="0,0"/>
                        <v:stroke color="#000000" joinstyle="round" dashstyle="dash" endarrow="block"/>
                        <v:imagedata o:title=""/>
                        <o:lock v:ext="edit" aspectratio="f"/>
                      </v:line>
                      <v:shape id="文本框 89" o:spid="_x0000_s1026" o:spt="202" type="#_x0000_t202" style="position:absolute;left:20159;top:0;height:2971;width:6001;" filled="f" stroked="f" coordsize="21600,21600" o:gfxdata="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tsA2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扬尘</w:t>
                              </w:r>
                            </w:p>
                            <w:p/>
                          </w:txbxContent>
                        </v:textbox>
                      </v:shape>
                      <v:shape id="文本框 4" o:spid="_x0000_s1026" o:spt="202" type="#_x0000_t202" style="position:absolute;left:32736;top:9049;height:2991;width:6000;" fillcolor="#FFFFFF" filled="t" stroked="f" coordsize="21600,21600" o:gfxdata="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v5Op7gAAADd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jc w:val="center"/>
                              </w:pPr>
                              <w:r>
                                <w:rPr>
                                  <w:rFonts w:hint="eastAsia"/>
                                </w:rPr>
                                <w:t>噪声</w:t>
                              </w:r>
                            </w:p>
                            <w:p/>
                          </w:txbxContent>
                        </v:textbox>
                      </v:shape>
                      <v:line id="直接连接符 11" o:spid="_x0000_s1026" o:spt="20" style="position:absolute;left:35403;top:7620;height:1981;width:6;" filled="f" stroked="t" coordsize="21600,21600" o:gfxdata="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JGu2/&#10;AAAA3QAAAA8AAAAAAAAAAQAgAAAAIgAAAGRycy9kb3ducmV2LnhtbFBLAQIUABQAAAAIAIdO4kAz&#10;LwWeOwAAADkAAAAQAAAAAAAAAAEAIAAAAA4BAABkcnMvc2hhcGV4bWwueG1sUEsFBgAAAAAGAAYA&#10;WwEAALgDAAAAAA==&#10;">
                        <v:fill on="f" focussize="0,0"/>
                        <v:stroke color="#000000" joinstyle="round" dashstyle="dash" endarrow="block"/>
                        <v:imagedata o:title=""/>
                        <o:lock v:ext="edit" aspectratio="f"/>
                      </v:line>
                      <v:line id="直接连接符 85" o:spid="_x0000_s1026" o:spt="20" style="position:absolute;left:35403;top:2286;flip:y;height:1981;width:6;" filled="f" stroked="t" coordsize="21600,21600" o:gfxdata="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CeTAugAAAN0A&#10;AAAPAAAAAAAAAAEAIAAAACIAAABkcnMvZG93bnJldi54bWxQSwECFAAUAAAACACHTuJAMy8FnjsA&#10;AAA5AAAAEAAAAAAAAAABACAAAAAJAQAAZHJzL3NoYXBleG1sLnhtbFBLBQYAAAAABgAGAFsBAACz&#10;AwAAAAA=&#10;">
                        <v:fill on="f" focussize="0,0"/>
                        <v:stroke color="#000000" joinstyle="round" dashstyle="dash" endarrow="block"/>
                        <v:imagedata o:title=""/>
                        <o:lock v:ext="edit" aspectratio="f"/>
                      </v:line>
                      <v:shape id="文本框 90" o:spid="_x0000_s1026" o:spt="202" type="#_x0000_t202" style="position:absolute;left:32164;top:0;height:2972;width:6001;" filled="f" stroked="f" coordsize="21600,21600" o:gfxdata="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Qrw3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jc w:val="center"/>
                              </w:pPr>
                              <w:r>
                                <w:rPr>
                                  <w:rFonts w:hint="eastAsia"/>
                                </w:rPr>
                                <w:t>粉尘</w:t>
                              </w:r>
                            </w:p>
                            <w:p/>
                          </w:txbxContent>
                        </v:textbox>
                      </v:shape>
                      <w10:wrap type="none"/>
                      <w10:anchorlock/>
                    </v:group>
                  </w:pict>
                </mc:Fallback>
              </mc:AlternateContent>
            </w:r>
          </w:p>
          <w:p>
            <w:pPr>
              <w:pStyle w:val="24"/>
              <w:adjustRightInd w:val="0"/>
              <w:snapToGrid w:val="0"/>
              <w:spacing w:before="0" w:beforeAutospacing="0" w:after="0" w:afterAutospacing="0"/>
              <w:jc w:val="center"/>
              <w:rPr>
                <w:rFonts w:ascii="Times New Roman" w:hAnsi="Times New Roman"/>
                <w:b/>
                <w:sz w:val="21"/>
                <w:szCs w:val="21"/>
                <w:highlight w:val="none"/>
              </w:rPr>
            </w:pPr>
            <w:r>
              <w:rPr>
                <w:rFonts w:ascii="Times New Roman" w:hAnsi="Times New Roman"/>
                <w:b/>
                <w:sz w:val="21"/>
                <w:szCs w:val="21"/>
                <w:highlight w:val="none"/>
              </w:rPr>
              <w:t>图2-2 施工期工艺流程及产污节点图</w:t>
            </w:r>
          </w:p>
          <w:p>
            <w:pPr>
              <w:pStyle w:val="64"/>
              <w:ind w:left="0" w:firstLine="480" w:firstLineChars="200"/>
              <w:rPr>
                <w:kern w:val="2"/>
                <w:highlight w:val="none"/>
              </w:rPr>
            </w:pPr>
            <w:r>
              <w:rPr>
                <w:rFonts w:hint="eastAsia"/>
                <w:highlight w:val="none"/>
              </w:rPr>
              <w:t>二、</w:t>
            </w:r>
            <w:r>
              <w:rPr>
                <w:highlight w:val="none"/>
              </w:rPr>
              <w:t>营运期</w:t>
            </w:r>
          </w:p>
          <w:p>
            <w:pPr>
              <w:widowControl/>
              <w:spacing w:line="360" w:lineRule="auto"/>
              <w:ind w:firstLine="480" w:firstLineChars="200"/>
              <w:jc w:val="left"/>
              <w:rPr>
                <w:bCs/>
                <w:kern w:val="0"/>
                <w:sz w:val="24"/>
                <w:highlight w:val="none"/>
                <w:lang w:bidi="ar"/>
              </w:rPr>
            </w:pPr>
            <w:r>
              <w:rPr>
                <w:rFonts w:hint="eastAsia"/>
                <w:bCs/>
                <w:kern w:val="0"/>
                <w:sz w:val="24"/>
                <w:highlight w:val="none"/>
                <w:lang w:bidi="ar"/>
              </w:rPr>
              <w:t>工艺流程图</w:t>
            </w:r>
          </w:p>
          <w:p>
            <w:pPr>
              <w:spacing w:line="360" w:lineRule="auto"/>
              <w:ind w:firstLine="480" w:firstLineChars="200"/>
              <w:jc w:val="left"/>
              <w:rPr>
                <w:highlight w:val="none"/>
              </w:rPr>
            </w:pPr>
            <w:r>
              <w:rPr>
                <w:sz w:val="24"/>
                <w:highlight w:val="none"/>
              </w:rPr>
              <w:t>项目主要生产工艺流程及产污环节见下图2-</w:t>
            </w:r>
            <w:r>
              <w:rPr>
                <w:rFonts w:hint="eastAsia"/>
                <w:sz w:val="24"/>
                <w:highlight w:val="none"/>
              </w:rPr>
              <w:t>3</w:t>
            </w:r>
            <w:r>
              <w:rPr>
                <w:sz w:val="24"/>
                <w:highlight w:val="none"/>
              </w:rPr>
              <w:t>。</w:t>
            </w:r>
          </w:p>
          <w:p>
            <w:pPr>
              <w:adjustRightInd w:val="0"/>
              <w:snapToGrid w:val="0"/>
              <w:spacing w:line="360" w:lineRule="auto"/>
              <w:jc w:val="center"/>
              <w:rPr>
                <w:highlight w:val="none"/>
              </w:rPr>
            </w:pPr>
            <w:r>
              <w:rPr>
                <w:sz w:val="21"/>
                <w:highlight w:val="none"/>
              </w:rPr>
              <mc:AlternateContent>
                <mc:Choice Requires="wps">
                  <w:drawing>
                    <wp:anchor distT="0" distB="0" distL="114300" distR="114300" simplePos="0" relativeHeight="251676672" behindDoc="0" locked="0" layoutInCell="1" allowOverlap="1">
                      <wp:simplePos x="0" y="0"/>
                      <wp:positionH relativeFrom="column">
                        <wp:posOffset>2537460</wp:posOffset>
                      </wp:positionH>
                      <wp:positionV relativeFrom="paragraph">
                        <wp:posOffset>1411605</wp:posOffset>
                      </wp:positionV>
                      <wp:extent cx="727075" cy="234950"/>
                      <wp:effectExtent l="6350" t="6350" r="9525" b="6350"/>
                      <wp:wrapNone/>
                      <wp:docPr id="55" name="文本框 55"/>
                      <wp:cNvGraphicFramePr/>
                      <a:graphic xmlns:a="http://schemas.openxmlformats.org/drawingml/2006/main">
                        <a:graphicData uri="http://schemas.microsoft.com/office/word/2010/wordprocessingShape">
                          <wps:wsp>
                            <wps:cNvSpPr txBox="1"/>
                            <wps:spPr>
                              <a:xfrm>
                                <a:off x="3683000" y="2498090"/>
                                <a:ext cx="727075" cy="234950"/>
                              </a:xfrm>
                              <a:prstGeom prst="rect">
                                <a:avLst/>
                              </a:prstGeom>
                              <a:solidFill>
                                <a:schemeClr val="lt1"/>
                              </a:solidFill>
                              <a:ln w="12700" cmpd="sng">
                                <a:solidFill>
                                  <a:schemeClr val="accent1">
                                    <a:shade val="50000"/>
                                  </a:schemeClr>
                                </a:solidFill>
                                <a:prstDash val="lgDash"/>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sz w:val="15"/>
                                      <w:szCs w:val="15"/>
                                      <w:lang w:val="en-US" w:eastAsia="zh-CN"/>
                                      <w14:textOutline w14:w="9525">
                                        <w14:solidFill>
                                          <w14:srgbClr w14:val="000000"/>
                                        </w14:solidFill>
                                        <w14:round/>
                                      </w14:textOutline>
                                    </w:rPr>
                                  </w:pPr>
                                  <w:r>
                                    <w:rPr>
                                      <w:rFonts w:hint="eastAsia"/>
                                      <w:sz w:val="15"/>
                                      <w:szCs w:val="15"/>
                                      <w:lang w:val="en-US" w:eastAsia="zh-CN"/>
                                      <w14:textOutline w14:w="9525">
                                        <w14:solidFill>
                                          <w14:srgbClr w14:val="000000"/>
                                        </w14:solidFill>
                                        <w14:round/>
                                      </w14:textOutline>
                                    </w:rPr>
                                    <w:t>废水、恶臭</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9.8pt;margin-top:111.15pt;height:18.5pt;width:57.25pt;z-index:251676672;mso-width-relative:page;mso-height-relative:page;" fillcolor="#FFFFFF [3201]" filled="t" stroked="t" coordsize="21600,21600" o:gfxdata="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A4K1DS2AAAAAsBAAAPAAAAAAAA&#10;AAEAIAAAACIAAABkcnMvZG93bnJldi54bWxQSwECFAAUAAAACACHTuJAIV3RdIQCAAAMBQAADgAA&#10;AAAAAAABACAAAAAnAQAAZHJzL2Uyb0RvYy54bWxQSwUGAAAAAAYABgBZAQAAHQYAAAAA&#10;">
                      <v:fill on="t" focussize="0,0"/>
                      <v:stroke weight="1pt" color="#41719C [3204]" joinstyle="round" dashstyle="longDash"/>
                      <v:imagedata o:title=""/>
                      <o:lock v:ext="edit" aspectratio="f"/>
                      <v:textbox>
                        <w:txbxContent>
                          <w:p>
                            <w:pPr>
                              <w:rPr>
                                <w:rFonts w:hint="default" w:eastAsia="宋体"/>
                                <w:sz w:val="15"/>
                                <w:szCs w:val="15"/>
                                <w:lang w:val="en-US" w:eastAsia="zh-CN"/>
                                <w14:textOutline w14:w="9525">
                                  <w14:solidFill>
                                    <w14:srgbClr w14:val="000000"/>
                                  </w14:solidFill>
                                  <w14:round/>
                                </w14:textOutline>
                              </w:rPr>
                            </w:pPr>
                            <w:r>
                              <w:rPr>
                                <w:rFonts w:hint="eastAsia"/>
                                <w:sz w:val="15"/>
                                <w:szCs w:val="15"/>
                                <w:lang w:val="en-US" w:eastAsia="zh-CN"/>
                                <w14:textOutline w14:w="9525">
                                  <w14:solidFill>
                                    <w14:srgbClr w14:val="000000"/>
                                  </w14:solidFill>
                                  <w14:round/>
                                </w14:textOutline>
                              </w:rPr>
                              <w:t>废水、恶臭</w:t>
                            </w:r>
                          </w:p>
                        </w:txbxContent>
                      </v:textbox>
                    </v:shape>
                  </w:pict>
                </mc:Fallback>
              </mc:AlternateContent>
            </w:r>
            <w:r>
              <w:rPr>
                <w:highlight w:val="none"/>
              </w:rPr>
              <w:object>
                <v:shape id="_x0000_i1025" o:spt="75" type="#_x0000_t75" style="height:146.85pt;width:418.6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pStyle w:val="27"/>
              <w:widowControl w:val="0"/>
              <w:snapToGrid/>
              <w:spacing w:before="0" w:after="0" w:line="240" w:lineRule="auto"/>
              <w:ind w:right="0" w:firstLine="0" w:firstLineChars="0"/>
              <w:jc w:val="center"/>
              <w:rPr>
                <w:b/>
                <w:sz w:val="21"/>
                <w:szCs w:val="21"/>
                <w:highlight w:val="none"/>
              </w:rPr>
            </w:pPr>
            <w:r>
              <w:rPr>
                <w:b/>
                <w:sz w:val="21"/>
                <w:szCs w:val="21"/>
                <w:highlight w:val="none"/>
              </w:rPr>
              <w:t xml:space="preserve">图2-3  </w:t>
            </w:r>
            <w:r>
              <w:rPr>
                <w:rFonts w:hint="eastAsia"/>
                <w:b/>
                <w:sz w:val="21"/>
                <w:szCs w:val="21"/>
                <w:highlight w:val="none"/>
              </w:rPr>
              <w:t>玉米生产</w:t>
            </w:r>
            <w:r>
              <w:rPr>
                <w:b/>
                <w:sz w:val="21"/>
                <w:szCs w:val="21"/>
                <w:highlight w:val="none"/>
              </w:rPr>
              <w:t>工艺流程及产污节点图</w:t>
            </w:r>
          </w:p>
          <w:p>
            <w:pPr>
              <w:pStyle w:val="126"/>
              <w:ind w:firstLine="480"/>
              <w:rPr>
                <w:rFonts w:cs="Times New Roman"/>
                <w:color w:val="auto"/>
                <w:sz w:val="24"/>
                <w:highlight w:val="none"/>
              </w:rPr>
            </w:pPr>
            <w:r>
              <w:rPr>
                <w:rFonts w:hint="eastAsia" w:cs="Times New Roman"/>
                <w:color w:val="auto"/>
                <w:sz w:val="24"/>
                <w:highlight w:val="none"/>
              </w:rPr>
              <w:t>鲜食</w:t>
            </w:r>
            <w:r>
              <w:rPr>
                <w:rFonts w:cs="Times New Roman"/>
                <w:color w:val="auto"/>
                <w:sz w:val="24"/>
                <w:highlight w:val="none"/>
              </w:rPr>
              <w:t>玉米生产工艺流程及产排污环节</w:t>
            </w:r>
          </w:p>
          <w:p>
            <w:pPr>
              <w:pStyle w:val="126"/>
              <w:ind w:firstLine="480"/>
              <w:rPr>
                <w:rFonts w:cs="Times New Roman"/>
                <w:color w:val="auto"/>
                <w:sz w:val="24"/>
                <w:highlight w:val="none"/>
              </w:rPr>
            </w:pPr>
            <w:r>
              <w:rPr>
                <w:rFonts w:cs="Times New Roman"/>
                <w:color w:val="auto"/>
                <w:sz w:val="24"/>
                <w:highlight w:val="none"/>
              </w:rPr>
              <w:t>（1）原料接收</w:t>
            </w:r>
          </w:p>
          <w:p>
            <w:pPr>
              <w:pStyle w:val="126"/>
              <w:ind w:firstLine="480"/>
              <w:rPr>
                <w:rFonts w:cs="Times New Roman"/>
                <w:color w:val="auto"/>
                <w:sz w:val="24"/>
                <w:highlight w:val="none"/>
              </w:rPr>
            </w:pPr>
            <w:r>
              <w:rPr>
                <w:rFonts w:cs="Times New Roman"/>
                <w:color w:val="auto"/>
                <w:sz w:val="24"/>
                <w:highlight w:val="none"/>
              </w:rPr>
              <w:t>鲜果穗按采收标准要求掰下后，不能随意扔在地上，也不能在装卸、运输过程中发生严重磕碰、挤压，要轻拿轻放，减少损失，提高成品率。要求果穗无虫蛀、籽粒排列均匀整齐、丰富饱满、老嫩相应，无杂粒。对于有虫蛀的果穗经修整后长度符合要求的仍可作原料。</w:t>
            </w:r>
          </w:p>
          <w:p>
            <w:pPr>
              <w:pStyle w:val="126"/>
              <w:ind w:firstLine="480"/>
              <w:rPr>
                <w:rFonts w:cs="Times New Roman"/>
                <w:color w:val="auto"/>
                <w:sz w:val="24"/>
                <w:highlight w:val="none"/>
              </w:rPr>
            </w:pPr>
            <w:r>
              <w:rPr>
                <w:rFonts w:cs="Times New Roman"/>
                <w:color w:val="auto"/>
                <w:sz w:val="24"/>
                <w:highlight w:val="none"/>
              </w:rPr>
              <w:t>（2）剥皮、去丝</w:t>
            </w:r>
          </w:p>
          <w:p>
            <w:pPr>
              <w:pStyle w:val="126"/>
              <w:ind w:firstLine="480"/>
              <w:rPr>
                <w:rFonts w:cs="Times New Roman"/>
                <w:color w:val="auto"/>
                <w:sz w:val="24"/>
                <w:highlight w:val="none"/>
              </w:rPr>
            </w:pPr>
            <w:r>
              <w:rPr>
                <w:rFonts w:cs="Times New Roman"/>
                <w:color w:val="auto"/>
                <w:sz w:val="24"/>
                <w:highlight w:val="none"/>
              </w:rPr>
              <w:t>剥皮机剥皮。调整剥皮机的运转速度和力度适当，避免籽粒破损顺。在剥皮过程中应除净玉米须。</w:t>
            </w:r>
          </w:p>
          <w:p>
            <w:pPr>
              <w:pStyle w:val="126"/>
              <w:ind w:firstLine="480"/>
              <w:rPr>
                <w:rFonts w:cs="Times New Roman"/>
                <w:color w:val="auto"/>
                <w:sz w:val="24"/>
                <w:highlight w:val="none"/>
              </w:rPr>
            </w:pPr>
            <w:r>
              <w:rPr>
                <w:rFonts w:cs="Times New Roman"/>
                <w:color w:val="auto"/>
                <w:sz w:val="24"/>
                <w:highlight w:val="none"/>
              </w:rPr>
              <w:t>（3）修整、分级</w:t>
            </w:r>
          </w:p>
          <w:p>
            <w:pPr>
              <w:pStyle w:val="126"/>
              <w:ind w:firstLine="480"/>
              <w:rPr>
                <w:rFonts w:cs="Times New Roman"/>
                <w:color w:val="auto"/>
                <w:sz w:val="24"/>
                <w:highlight w:val="none"/>
              </w:rPr>
            </w:pPr>
            <w:r>
              <w:rPr>
                <w:rFonts w:cs="Times New Roman"/>
                <w:color w:val="auto"/>
                <w:sz w:val="24"/>
                <w:highlight w:val="none"/>
              </w:rPr>
              <w:t>人工修整果穗，对秃尖、有虫口的要动刀修整，要保证切面平整。人工切段时应下刀迅速，否则会压碎玉米粒，影响正品率，并保证切面与随轴垂直。否则，影响美观。同时剔除发霉、缺粒、碎粒、串花粒、成熟度过高或过低的果穗。</w:t>
            </w:r>
          </w:p>
          <w:p>
            <w:pPr>
              <w:pStyle w:val="126"/>
              <w:ind w:firstLine="480"/>
              <w:rPr>
                <w:rFonts w:cs="Times New Roman"/>
                <w:color w:val="auto"/>
                <w:sz w:val="24"/>
                <w:highlight w:val="none"/>
              </w:rPr>
            </w:pPr>
            <w:r>
              <w:rPr>
                <w:rFonts w:cs="Times New Roman"/>
                <w:color w:val="auto"/>
                <w:sz w:val="24"/>
                <w:highlight w:val="none"/>
              </w:rPr>
              <w:t>人工修整后进行产品分级，在投放于周转筐的过程中顺便进行分级。以穗长为依据分四级:12-14、14-16、16-18、18-20厘米。</w:t>
            </w:r>
          </w:p>
          <w:p>
            <w:pPr>
              <w:pStyle w:val="126"/>
              <w:ind w:firstLine="480"/>
              <w:rPr>
                <w:rFonts w:cs="Times New Roman"/>
                <w:color w:val="auto"/>
                <w:sz w:val="24"/>
                <w:highlight w:val="none"/>
              </w:rPr>
            </w:pPr>
            <w:r>
              <w:rPr>
                <w:rFonts w:cs="Times New Roman"/>
                <w:color w:val="auto"/>
                <w:sz w:val="24"/>
                <w:highlight w:val="none"/>
              </w:rPr>
              <w:t>（4）清洗</w:t>
            </w:r>
          </w:p>
          <w:p>
            <w:pPr>
              <w:pStyle w:val="126"/>
              <w:ind w:firstLine="480"/>
              <w:rPr>
                <w:rFonts w:cs="Times New Roman"/>
                <w:color w:val="auto"/>
                <w:sz w:val="24"/>
                <w:highlight w:val="none"/>
              </w:rPr>
            </w:pPr>
            <w:r>
              <w:rPr>
                <w:rFonts w:cs="Times New Roman"/>
                <w:color w:val="auto"/>
                <w:sz w:val="24"/>
                <w:highlight w:val="none"/>
              </w:rPr>
              <w:t>采用高压喷淋清洗机360度无死角对玉米进行喷淋清洗作业，可以快速的清洗掉玉米表面残留的胡须、虫子等等。</w:t>
            </w:r>
          </w:p>
          <w:p>
            <w:pPr>
              <w:pStyle w:val="126"/>
              <w:ind w:firstLine="480"/>
              <w:rPr>
                <w:rFonts w:cs="Times New Roman"/>
                <w:sz w:val="24"/>
                <w:highlight w:val="none"/>
              </w:rPr>
            </w:pPr>
            <w:r>
              <w:rPr>
                <w:rFonts w:cs="Times New Roman"/>
                <w:sz w:val="24"/>
                <w:highlight w:val="none"/>
              </w:rPr>
              <w:t>（5）高温蒸熟</w:t>
            </w:r>
          </w:p>
          <w:p>
            <w:pPr>
              <w:pStyle w:val="126"/>
              <w:ind w:firstLine="480"/>
              <w:rPr>
                <w:rFonts w:cs="Times New Roman"/>
                <w:sz w:val="24"/>
                <w:highlight w:val="none"/>
              </w:rPr>
            </w:pPr>
            <w:r>
              <w:rPr>
                <w:rFonts w:cs="Times New Roman"/>
                <w:sz w:val="24"/>
                <w:highlight w:val="none"/>
              </w:rPr>
              <w:t>清洗后的玉米棒整齐摆放在蒸筐内，蒸筐放在高温蒸锅，蒸锅压力为 0.2MPa，蒸汽温度设定为100-105℃，蒸20分钟，</w:t>
            </w:r>
            <w:r>
              <w:rPr>
                <w:rFonts w:hint="eastAsia" w:cs="Times New Roman"/>
                <w:sz w:val="24"/>
                <w:highlight w:val="none"/>
              </w:rPr>
              <w:t>焖5min，</w:t>
            </w:r>
            <w:r>
              <w:rPr>
                <w:rFonts w:cs="Times New Roman"/>
                <w:sz w:val="24"/>
                <w:highlight w:val="none"/>
              </w:rPr>
              <w:t>通过高温蒸汽将玉米蒸熟，此过程会产生废水。</w:t>
            </w:r>
          </w:p>
          <w:p>
            <w:pPr>
              <w:pStyle w:val="126"/>
              <w:ind w:firstLine="480"/>
              <w:rPr>
                <w:rFonts w:cs="Times New Roman"/>
                <w:sz w:val="24"/>
                <w:highlight w:val="none"/>
              </w:rPr>
            </w:pPr>
            <w:r>
              <w:rPr>
                <w:rFonts w:cs="Times New Roman"/>
                <w:sz w:val="24"/>
                <w:highlight w:val="none"/>
              </w:rPr>
              <w:t>（6）冷却</w:t>
            </w:r>
          </w:p>
          <w:p>
            <w:pPr>
              <w:pStyle w:val="126"/>
              <w:ind w:firstLine="480"/>
              <w:rPr>
                <w:rFonts w:cs="Times New Roman"/>
                <w:sz w:val="24"/>
                <w:highlight w:val="none"/>
              </w:rPr>
            </w:pPr>
            <w:r>
              <w:rPr>
                <w:rFonts w:cs="Times New Roman"/>
                <w:sz w:val="24"/>
                <w:highlight w:val="none"/>
              </w:rPr>
              <w:t>蒸熟后的果穗必须及时冷却，否则由于温度过高会使玉米粒失水而出现皱褶，影响外观形象、品质。玉米在车间内自然冷却。</w:t>
            </w:r>
          </w:p>
          <w:p>
            <w:pPr>
              <w:pStyle w:val="126"/>
              <w:ind w:firstLine="480"/>
              <w:rPr>
                <w:rFonts w:cs="Times New Roman"/>
                <w:sz w:val="24"/>
                <w:highlight w:val="none"/>
              </w:rPr>
            </w:pPr>
            <w:r>
              <w:rPr>
                <w:rFonts w:cs="Times New Roman"/>
                <w:sz w:val="24"/>
                <w:highlight w:val="none"/>
              </w:rPr>
              <w:t>（7）速冻</w:t>
            </w:r>
          </w:p>
          <w:p>
            <w:pPr>
              <w:pStyle w:val="126"/>
              <w:ind w:firstLine="480"/>
              <w:rPr>
                <w:rFonts w:cs="Times New Roman"/>
                <w:sz w:val="24"/>
                <w:highlight w:val="none"/>
              </w:rPr>
            </w:pPr>
            <w:r>
              <w:rPr>
                <w:rFonts w:cs="Times New Roman"/>
                <w:sz w:val="24"/>
                <w:highlight w:val="none"/>
              </w:rPr>
              <w:t>将玉米袋放入速冻库内快速冷冻，要求玉米棒的中心温度在-18℃以下。</w:t>
            </w:r>
          </w:p>
          <w:p>
            <w:pPr>
              <w:pStyle w:val="126"/>
              <w:ind w:firstLine="480"/>
              <w:rPr>
                <w:rFonts w:cs="Times New Roman"/>
                <w:sz w:val="24"/>
                <w:highlight w:val="none"/>
              </w:rPr>
            </w:pPr>
            <w:r>
              <w:rPr>
                <w:rFonts w:cs="Times New Roman"/>
                <w:sz w:val="24"/>
                <w:highlight w:val="none"/>
              </w:rPr>
              <w:t>（8）包装待售</w:t>
            </w:r>
          </w:p>
          <w:p>
            <w:pPr>
              <w:pStyle w:val="126"/>
              <w:ind w:firstLine="480"/>
              <w:rPr>
                <w:rFonts w:cs="Times New Roman"/>
                <w:sz w:val="24"/>
                <w:highlight w:val="none"/>
              </w:rPr>
            </w:pPr>
            <w:r>
              <w:rPr>
                <w:rFonts w:cs="Times New Roman"/>
                <w:sz w:val="24"/>
                <w:highlight w:val="none"/>
              </w:rPr>
              <w:t>将检验合格的速冻玉米穗装入塑料袋，真空包装，封口标注生产日期，待售。</w:t>
            </w:r>
          </w:p>
          <w:p>
            <w:pPr>
              <w:pStyle w:val="126"/>
              <w:ind w:firstLine="480"/>
              <w:rPr>
                <w:rFonts w:cs="Times New Roman"/>
                <w:color w:val="auto"/>
                <w:sz w:val="24"/>
                <w:highlight w:val="none"/>
              </w:rPr>
            </w:pPr>
            <w:r>
              <w:rPr>
                <w:rFonts w:cs="Times New Roman"/>
                <w:color w:val="auto"/>
                <w:sz w:val="24"/>
                <w:highlight w:val="none"/>
              </w:rPr>
              <w:t>说明：制冷剂R410A，是一种混合制冷剂，它是由50%R32（二氟甲烷）和50%R125（五氟乙烷）组成的混合物，其优点在于可以根据具体的使用要求，对各种性质，如易燃性、容量、排气温度和效能加以考虑，量身合成一种制冷剂，属于R22的环保替代品。R410A外观无色，不浑浊，易挥发，沸点-51.6℃，凝固点-155℃，不属于破坏臭氧层物质清单，其主要特点有：</w:t>
            </w:r>
          </w:p>
          <w:p>
            <w:pPr>
              <w:pStyle w:val="126"/>
              <w:ind w:firstLine="480"/>
              <w:rPr>
                <w:rFonts w:cs="Times New Roman"/>
                <w:color w:val="auto"/>
                <w:sz w:val="24"/>
                <w:highlight w:val="none"/>
              </w:rPr>
            </w:pPr>
            <w:r>
              <w:rPr>
                <w:rFonts w:cs="Times New Roman"/>
                <w:color w:val="auto"/>
                <w:sz w:val="24"/>
                <w:highlight w:val="none"/>
              </w:rPr>
              <w:t>（1）不破坏臭氧层。其分子式中不含氯元素，故其臭氧层破坏潜能值（ODP）为0。全球变暖系数值（GWP）较大，为1730。</w:t>
            </w:r>
          </w:p>
          <w:p>
            <w:pPr>
              <w:pStyle w:val="126"/>
              <w:ind w:firstLine="480"/>
              <w:rPr>
                <w:rFonts w:cs="Times New Roman"/>
                <w:color w:val="auto"/>
                <w:sz w:val="24"/>
                <w:highlight w:val="none"/>
              </w:rPr>
            </w:pPr>
            <w:r>
              <w:rPr>
                <w:rFonts w:cs="Times New Roman"/>
                <w:color w:val="auto"/>
                <w:sz w:val="24"/>
                <w:highlight w:val="none"/>
              </w:rPr>
              <w:t>（2）毒性极低。容许浓度和R22同样，都是1000ppm。</w:t>
            </w:r>
          </w:p>
          <w:p>
            <w:pPr>
              <w:pStyle w:val="126"/>
              <w:ind w:firstLine="480"/>
              <w:rPr>
                <w:rFonts w:cs="Times New Roman"/>
                <w:color w:val="auto"/>
                <w:sz w:val="24"/>
                <w:highlight w:val="none"/>
              </w:rPr>
            </w:pPr>
            <w:r>
              <w:rPr>
                <w:rFonts w:cs="Times New Roman"/>
                <w:color w:val="auto"/>
                <w:sz w:val="24"/>
                <w:highlight w:val="none"/>
              </w:rPr>
              <w:t>（3）不可燃。空气中的可燃极性为0。</w:t>
            </w:r>
          </w:p>
          <w:p>
            <w:pPr>
              <w:pStyle w:val="126"/>
              <w:ind w:firstLine="480"/>
              <w:rPr>
                <w:rFonts w:cs="Times New Roman"/>
                <w:color w:val="auto"/>
                <w:sz w:val="24"/>
                <w:highlight w:val="none"/>
              </w:rPr>
            </w:pPr>
            <w:r>
              <w:rPr>
                <w:rFonts w:cs="Times New Roman"/>
                <w:color w:val="auto"/>
                <w:sz w:val="24"/>
                <w:highlight w:val="none"/>
              </w:rPr>
              <w:t>（4）化学和热稳定性高。</w:t>
            </w:r>
          </w:p>
          <w:p>
            <w:pPr>
              <w:pStyle w:val="126"/>
              <w:ind w:firstLine="480"/>
              <w:rPr>
                <w:rFonts w:cs="Times New Roman"/>
                <w:color w:val="auto"/>
                <w:sz w:val="24"/>
                <w:highlight w:val="none"/>
              </w:rPr>
            </w:pPr>
            <w:r>
              <w:rPr>
                <w:rFonts w:cs="Times New Roman"/>
                <w:color w:val="auto"/>
                <w:sz w:val="24"/>
                <w:highlight w:val="none"/>
              </w:rPr>
              <w:t>（5）水分溶解性与R22几乎相同。</w:t>
            </w:r>
          </w:p>
          <w:p>
            <w:pPr>
              <w:pStyle w:val="126"/>
              <w:ind w:firstLine="480"/>
              <w:rPr>
                <w:rFonts w:cs="Times New Roman"/>
                <w:color w:val="auto"/>
                <w:sz w:val="24"/>
                <w:highlight w:val="none"/>
              </w:rPr>
            </w:pPr>
            <w:r>
              <w:rPr>
                <w:rFonts w:cs="Times New Roman"/>
                <w:color w:val="auto"/>
                <w:sz w:val="24"/>
                <w:highlight w:val="none"/>
              </w:rPr>
              <w:t>根据《消耗臭氧层物质管理条例》（国务院令第573号）的有关规定，环境保护部、国家发展改革委、工业和信息化部共同制定了《中国受控消耗臭氧层物质清单》，R410A不在《中国受控消耗臭氧层物质清单》范围内，属于无氯环保制冷剂，且毒性低、不可燃、使用安全。</w:t>
            </w:r>
          </w:p>
          <w:p>
            <w:pPr>
              <w:pStyle w:val="126"/>
              <w:ind w:firstLine="480"/>
              <w:rPr>
                <w:rFonts w:cs="Times New Roman"/>
                <w:color w:val="auto"/>
                <w:sz w:val="24"/>
                <w:highlight w:val="none"/>
              </w:rPr>
            </w:pPr>
            <w:r>
              <w:rPr>
                <w:rFonts w:cs="Times New Roman"/>
                <w:color w:val="auto"/>
                <w:sz w:val="24"/>
                <w:highlight w:val="none"/>
              </w:rPr>
              <w:t>项目通过R410A制冷剂制冷、换热器对保鲜库进行制冷。保鲜库制冷一般保持在恒温状态为-16℃。这种温度下最容易保持库内温度恒定节省电能同时也是食品保鲜的最佳温度。冷冻食品在此种温度下一般可以保存6-12个月。</w:t>
            </w:r>
          </w:p>
          <w:p>
            <w:pPr>
              <w:pStyle w:val="27"/>
              <w:widowControl w:val="0"/>
              <w:snapToGrid/>
              <w:spacing w:before="0" w:after="0" w:line="360" w:lineRule="auto"/>
              <w:ind w:right="0" w:firstLine="482" w:firstLineChars="200"/>
              <w:rPr>
                <w:sz w:val="24"/>
                <w:szCs w:val="24"/>
                <w:highlight w:val="none"/>
              </w:rPr>
            </w:pPr>
            <w:r>
              <w:rPr>
                <w:rFonts w:hint="eastAsia"/>
                <w:b/>
                <w:bCs/>
                <w:sz w:val="24"/>
                <w:highlight w:val="none"/>
              </w:rPr>
              <w:t>本项目原料</w:t>
            </w:r>
            <w:r>
              <w:rPr>
                <w:b/>
                <w:bCs/>
                <w:sz w:val="24"/>
                <w:highlight w:val="none"/>
              </w:rPr>
              <w:t>鲜果穗按采收标准要求掰下后，不能随意扔在地上，也不能在装卸、运输过程中发生严重磕碰、挤压，要轻拿轻放，</w:t>
            </w:r>
            <w:r>
              <w:rPr>
                <w:rFonts w:hint="eastAsia"/>
                <w:b/>
                <w:bCs/>
                <w:sz w:val="24"/>
                <w:highlight w:val="none"/>
              </w:rPr>
              <w:t>鲜果穗需及时进行</w:t>
            </w:r>
            <w:r>
              <w:rPr>
                <w:b/>
                <w:bCs/>
                <w:sz w:val="24"/>
                <w:highlight w:val="none"/>
              </w:rPr>
              <w:t>人工修整</w:t>
            </w:r>
            <w:r>
              <w:rPr>
                <w:rFonts w:hint="eastAsia"/>
                <w:b/>
                <w:bCs/>
                <w:sz w:val="24"/>
                <w:highlight w:val="none"/>
              </w:rPr>
              <w:t>，原料入场后均由传送带运输，修整分级后进行蒸煮，原料</w:t>
            </w:r>
            <w:r>
              <w:rPr>
                <w:b/>
                <w:bCs/>
                <w:sz w:val="24"/>
                <w:highlight w:val="none"/>
              </w:rPr>
              <w:t>鲜果穗</w:t>
            </w:r>
            <w:r>
              <w:rPr>
                <w:rFonts w:hint="eastAsia"/>
                <w:b/>
                <w:bCs/>
                <w:sz w:val="24"/>
                <w:highlight w:val="none"/>
              </w:rPr>
              <w:t>含水率较高在厂区转运、存储过程中无粉尘排放。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85" w:type="dxa"/>
            <w:bottom w:w="0" w:type="dxa"/>
            <w:right w:w="85" w:type="dxa"/>
          </w:tblCellMar>
        </w:tblPrEx>
        <w:trPr>
          <w:trHeight w:val="2052" w:hRule="atLeast"/>
          <w:jc w:val="center"/>
        </w:trPr>
        <w:tc>
          <w:tcPr>
            <w:tcW w:w="731" w:type="dxa"/>
            <w:vAlign w:val="center"/>
          </w:tcPr>
          <w:p>
            <w:pPr>
              <w:pStyle w:val="24"/>
              <w:adjustRightInd w:val="0"/>
              <w:snapToGrid w:val="0"/>
              <w:spacing w:before="0" w:beforeAutospacing="0" w:after="0" w:afterAutospacing="0"/>
              <w:jc w:val="center"/>
              <w:rPr>
                <w:rFonts w:ascii="Times New Roman" w:hAnsi="Times New Roman"/>
                <w:szCs w:val="24"/>
                <w:highlight w:val="none"/>
              </w:rPr>
            </w:pPr>
            <w:r>
              <w:rPr>
                <w:rFonts w:ascii="Times New Roman" w:hAnsi="Times New Roman"/>
                <w:bCs/>
                <w:kern w:val="2"/>
                <w:szCs w:val="24"/>
                <w:highlight w:val="none"/>
              </w:rPr>
              <w:t>与项目有关的原有环境污染问题</w:t>
            </w:r>
          </w:p>
        </w:tc>
        <w:tc>
          <w:tcPr>
            <w:tcW w:w="8907" w:type="dxa"/>
            <w:vAlign w:val="center"/>
          </w:tcPr>
          <w:p>
            <w:pPr>
              <w:pStyle w:val="59"/>
              <w:spacing w:before="0" w:beforeLines="0" w:after="0" w:afterLines="0" w:line="360" w:lineRule="auto"/>
              <w:ind w:firstLine="480"/>
              <w:textAlignment w:val="baseline"/>
              <w:rPr>
                <w:b/>
                <w:bCs/>
                <w:color w:val="auto"/>
                <w:highlight w:val="none"/>
              </w:rPr>
            </w:pPr>
            <w:r>
              <w:rPr>
                <w:rFonts w:hint="eastAsia"/>
                <w:bCs/>
                <w:color w:val="auto"/>
                <w:highlight w:val="none"/>
              </w:rPr>
              <w:t>太保镇开源村宝宇种植合作社黏玉米生产加工项目</w:t>
            </w:r>
            <w:r>
              <w:rPr>
                <w:rFonts w:hint="eastAsia"/>
                <w:highlight w:val="none"/>
              </w:rPr>
              <w:t>环评</w:t>
            </w:r>
            <w:r>
              <w:rPr>
                <w:rFonts w:hint="eastAsia"/>
                <w:bCs/>
                <w:color w:val="auto"/>
                <w:highlight w:val="none"/>
              </w:rPr>
              <w:t>于2023年2月9日取得双鸭山市生态环境局《关于太保镇开源村宝宇种植合作社黏玉米生产加工项目环境影响报告表的批复》（双环审[2023]4号）</w:t>
            </w:r>
            <w:r>
              <w:rPr>
                <w:rFonts w:hint="eastAsia"/>
                <w:highlight w:val="none"/>
              </w:rPr>
              <w:t>，取得批复后项目未生产，2023年6月因订单需求量增大，</w:t>
            </w:r>
            <w:r>
              <w:rPr>
                <w:rFonts w:hint="eastAsia"/>
                <w:bCs/>
                <w:color w:val="auto"/>
                <w:highlight w:val="none"/>
              </w:rPr>
              <w:t>项目建设过程中因生产规模发生变动，对照</w:t>
            </w:r>
            <w:r>
              <w:rPr>
                <w:highlight w:val="none"/>
              </w:rPr>
              <w:t>《污染影响类建设项目重大变动清单(试行)》(环办环评函[2020]688号</w:t>
            </w:r>
            <w:r>
              <w:rPr>
                <w:rFonts w:hint="eastAsia"/>
                <w:highlight w:val="none"/>
              </w:rPr>
              <w:t>）文件“规模：2.生产、处置或储存能力增大30%及以上的。”，本项目生产规模从</w:t>
            </w:r>
            <w:r>
              <w:rPr>
                <w:rFonts w:hint="eastAsia"/>
                <w:color w:val="auto"/>
                <w:highlight w:val="none"/>
              </w:rPr>
              <w:t>年产鲜食玉米700t增加到年产鲜食玉米1000t，同时配套生物质锅炉从3t/h扩建到4t/h，综上，本项目属于</w:t>
            </w:r>
            <w:r>
              <w:rPr>
                <w:highlight w:val="none"/>
              </w:rPr>
              <w:t>污染影响类建设项目重大变动</w:t>
            </w:r>
            <w:r>
              <w:rPr>
                <w:rFonts w:hint="eastAsia"/>
                <w:highlight w:val="none"/>
              </w:rPr>
              <w:t>，需重新报批环境影响评价文件。</w:t>
            </w:r>
          </w:p>
          <w:p>
            <w:pPr>
              <w:adjustRightInd w:val="0"/>
              <w:snapToGrid w:val="0"/>
              <w:spacing w:line="360" w:lineRule="auto"/>
              <w:ind w:firstLine="480" w:firstLineChars="200"/>
              <w:rPr>
                <w:sz w:val="24"/>
                <w:highlight w:val="none"/>
              </w:rPr>
            </w:pPr>
            <w:r>
              <w:rPr>
                <w:rFonts w:hint="eastAsia"/>
                <w:sz w:val="24"/>
                <w:highlight w:val="none"/>
              </w:rPr>
              <w:t>1.原有环境污染问题</w:t>
            </w:r>
          </w:p>
          <w:p>
            <w:pPr>
              <w:adjustRightInd w:val="0"/>
              <w:snapToGrid w:val="0"/>
              <w:spacing w:line="360" w:lineRule="auto"/>
              <w:ind w:firstLine="480" w:firstLineChars="200"/>
              <w:rPr>
                <w:sz w:val="24"/>
                <w:highlight w:val="none"/>
              </w:rPr>
            </w:pPr>
            <w:r>
              <w:rPr>
                <w:rFonts w:hint="eastAsia"/>
                <w:sz w:val="24"/>
                <w:highlight w:val="none"/>
              </w:rPr>
              <w:t>本项目污水防治措施和废气防治措施不满足环保要求。</w:t>
            </w:r>
          </w:p>
          <w:p>
            <w:pPr>
              <w:adjustRightInd w:val="0"/>
              <w:snapToGrid w:val="0"/>
              <w:spacing w:line="360" w:lineRule="auto"/>
              <w:ind w:firstLine="480" w:firstLineChars="200"/>
              <w:rPr>
                <w:sz w:val="24"/>
                <w:highlight w:val="none"/>
              </w:rPr>
            </w:pPr>
            <w:r>
              <w:rPr>
                <w:rFonts w:hint="eastAsia"/>
                <w:sz w:val="24"/>
                <w:highlight w:val="none"/>
              </w:rPr>
              <w:t>2、“以新代老”措施及整改要求</w:t>
            </w:r>
          </w:p>
          <w:p>
            <w:pPr>
              <w:adjustRightInd w:val="0"/>
              <w:snapToGrid w:val="0"/>
              <w:spacing w:line="360" w:lineRule="auto"/>
              <w:ind w:firstLine="480" w:firstLineChars="200"/>
              <w:rPr>
                <w:highlight w:val="none"/>
              </w:rPr>
            </w:pPr>
            <w:r>
              <w:rPr>
                <w:sz w:val="24"/>
                <w:highlight w:val="none"/>
              </w:rPr>
              <w:t>本项目</w:t>
            </w:r>
            <w:r>
              <w:rPr>
                <w:rFonts w:hint="eastAsia"/>
                <w:sz w:val="24"/>
                <w:highlight w:val="none"/>
              </w:rPr>
              <w:t>新建20m</w:t>
            </w:r>
            <w:r>
              <w:rPr>
                <w:rFonts w:hint="eastAsia"/>
                <w:sz w:val="24"/>
                <w:highlight w:val="none"/>
                <w:vertAlign w:val="superscript"/>
              </w:rPr>
              <w:t>3</w:t>
            </w:r>
            <w:r>
              <w:rPr>
                <w:rFonts w:hint="eastAsia"/>
                <w:sz w:val="24"/>
                <w:highlight w:val="none"/>
              </w:rPr>
              <w:t>防渗污水储池，由罐车自行拉运排入</w:t>
            </w:r>
            <w:r>
              <w:rPr>
                <w:rFonts w:hint="eastAsia"/>
                <w:sz w:val="24"/>
                <w:highlight w:val="none"/>
                <w:lang w:eastAsia="zh-CN"/>
              </w:rPr>
              <w:t>双鸭山市四洁水处理有限责任公司（四洁污水处理厂）</w:t>
            </w:r>
            <w:r>
              <w:rPr>
                <w:rFonts w:hint="eastAsia"/>
                <w:sz w:val="24"/>
                <w:highlight w:val="none"/>
              </w:rPr>
              <w:t>，防渗储池采取地埋式，污水能自流进储池内，污水储池密闭，地埋区域定期喷洒除臭剂。生物质锅炉产生的锅炉废气经布袋除尘器处理后，锅炉烟气经35m高烟囱排放。</w:t>
            </w:r>
          </w:p>
        </w:tc>
      </w:tr>
    </w:tbl>
    <w:p>
      <w:pPr>
        <w:pStyle w:val="24"/>
        <w:jc w:val="center"/>
        <w:rPr>
          <w:rFonts w:ascii="Times New Roman" w:hAnsi="Times New Roman" w:eastAsia="黑体"/>
          <w:snapToGrid w:val="0"/>
          <w:sz w:val="36"/>
          <w:szCs w:val="36"/>
          <w:highlight w:val="none"/>
        </w:rPr>
        <w:sectPr>
          <w:pgSz w:w="11906" w:h="16838"/>
          <w:pgMar w:top="1701" w:right="1531" w:bottom="1701" w:left="1531" w:header="851" w:footer="851" w:gutter="0"/>
          <w:pgNumType w:fmt="decimal"/>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jc w:val="center"/>
        <w:textAlignment w:val="auto"/>
        <w:outlineLvl w:val="0"/>
        <w:rPr>
          <w:rFonts w:ascii="Times New Roman" w:hAnsi="Times New Roman" w:eastAsia="黑体"/>
          <w:snapToGrid w:val="0"/>
          <w:sz w:val="30"/>
          <w:szCs w:val="30"/>
          <w:highlight w:val="none"/>
        </w:rPr>
      </w:pPr>
      <w:bookmarkStart w:id="39" w:name="_Toc2461"/>
      <w:bookmarkStart w:id="40" w:name="_Toc4086"/>
      <w:r>
        <w:rPr>
          <w:rFonts w:ascii="Times New Roman" w:hAnsi="Times New Roman" w:eastAsia="黑体"/>
          <w:snapToGrid w:val="0"/>
          <w:sz w:val="30"/>
          <w:szCs w:val="30"/>
          <w:highlight w:val="none"/>
        </w:rPr>
        <w:t>三、区域环境质量现状、环境保护目标及评价标准</w:t>
      </w:r>
      <w:bookmarkEnd w:id="39"/>
      <w:bookmarkEnd w:id="40"/>
    </w:p>
    <w:tbl>
      <w:tblPr>
        <w:tblStyle w:val="29"/>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8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37" w:hRule="atLeast"/>
          <w:jc w:val="center"/>
        </w:trPr>
        <w:tc>
          <w:tcPr>
            <w:tcW w:w="800" w:type="dxa"/>
            <w:vAlign w:val="center"/>
          </w:tcPr>
          <w:p>
            <w:pPr>
              <w:adjustRightInd w:val="0"/>
              <w:snapToGrid w:val="0"/>
              <w:jc w:val="center"/>
              <w:rPr>
                <w:kern w:val="0"/>
                <w:sz w:val="24"/>
                <w:highlight w:val="none"/>
              </w:rPr>
            </w:pPr>
            <w:r>
              <w:rPr>
                <w:kern w:val="0"/>
                <w:sz w:val="24"/>
                <w:highlight w:val="none"/>
              </w:rPr>
              <w:t>区域</w:t>
            </w:r>
          </w:p>
          <w:p>
            <w:pPr>
              <w:adjustRightInd w:val="0"/>
              <w:snapToGrid w:val="0"/>
              <w:jc w:val="center"/>
              <w:rPr>
                <w:kern w:val="0"/>
                <w:sz w:val="24"/>
                <w:highlight w:val="none"/>
              </w:rPr>
            </w:pPr>
            <w:r>
              <w:rPr>
                <w:kern w:val="0"/>
                <w:sz w:val="24"/>
                <w:highlight w:val="none"/>
              </w:rPr>
              <w:t>环境</w:t>
            </w:r>
          </w:p>
          <w:p>
            <w:pPr>
              <w:adjustRightInd w:val="0"/>
              <w:snapToGrid w:val="0"/>
              <w:jc w:val="center"/>
              <w:rPr>
                <w:kern w:val="0"/>
                <w:sz w:val="24"/>
                <w:highlight w:val="none"/>
              </w:rPr>
            </w:pPr>
            <w:r>
              <w:rPr>
                <w:kern w:val="0"/>
                <w:sz w:val="24"/>
                <w:highlight w:val="none"/>
              </w:rPr>
              <w:t>质量</w:t>
            </w:r>
          </w:p>
          <w:p>
            <w:pPr>
              <w:adjustRightInd w:val="0"/>
              <w:snapToGrid w:val="0"/>
              <w:jc w:val="center"/>
              <w:rPr>
                <w:kern w:val="0"/>
                <w:sz w:val="24"/>
                <w:highlight w:val="none"/>
              </w:rPr>
            </w:pPr>
            <w:r>
              <w:rPr>
                <w:kern w:val="0"/>
                <w:sz w:val="24"/>
                <w:highlight w:val="none"/>
              </w:rPr>
              <w:t>现状</w:t>
            </w:r>
          </w:p>
        </w:tc>
        <w:tc>
          <w:tcPr>
            <w:tcW w:w="8833" w:type="dxa"/>
          </w:tcPr>
          <w:p>
            <w:pPr>
              <w:spacing w:line="360" w:lineRule="auto"/>
              <w:rPr>
                <w:b/>
                <w:sz w:val="24"/>
                <w:highlight w:val="none"/>
              </w:rPr>
            </w:pPr>
            <w:r>
              <w:rPr>
                <w:b/>
                <w:sz w:val="24"/>
                <w:highlight w:val="none"/>
              </w:rPr>
              <w:t>1、大气环境</w:t>
            </w:r>
          </w:p>
          <w:p>
            <w:pPr>
              <w:spacing w:line="360" w:lineRule="auto"/>
              <w:ind w:firstLine="480" w:firstLineChars="200"/>
              <w:rPr>
                <w:sz w:val="24"/>
                <w:highlight w:val="none"/>
              </w:rPr>
            </w:pPr>
            <w:r>
              <w:rPr>
                <w:sz w:val="24"/>
                <w:highlight w:val="none"/>
              </w:rPr>
              <w:t>（1）基本污染物</w:t>
            </w:r>
          </w:p>
          <w:p>
            <w:pPr>
              <w:spacing w:line="360" w:lineRule="auto"/>
              <w:ind w:firstLine="480" w:firstLineChars="200"/>
              <w:rPr>
                <w:sz w:val="24"/>
                <w:highlight w:val="none"/>
              </w:rPr>
            </w:pPr>
            <w:r>
              <w:rPr>
                <w:rFonts w:hint="eastAsia"/>
                <w:sz w:val="24"/>
                <w:highlight w:val="none"/>
              </w:rPr>
              <w:t>根据《2022年双鸭山市环境空气质量状况》可知，</w:t>
            </w:r>
            <w:r>
              <w:rPr>
                <w:sz w:val="24"/>
                <w:highlight w:val="none"/>
              </w:rPr>
              <w:t>双鸭山市区环境空气执行GB3095-2012《环境空气质量标准》中二级标准。</w:t>
            </w:r>
            <w:r>
              <w:rPr>
                <w:rFonts w:hint="eastAsia"/>
                <w:sz w:val="24"/>
                <w:highlight w:val="none"/>
              </w:rPr>
              <w:t>2022年，双鸭山市监测天数为365天，获得有效天数为365天，经统计达标天数为359天。空气质量一级优230天，二级良129天，三级轻度污染5天，四至六级中度、重度、严重污染1天，优良率98.35%。其中PM2.5年平均浓度值为24μg/</w:t>
            </w:r>
            <w:r>
              <w:rPr>
                <w:rFonts w:hint="eastAsia"/>
                <w:sz w:val="24"/>
                <w:highlight w:val="none"/>
                <w:vertAlign w:val="superscript"/>
              </w:rPr>
              <w:t>m3</w:t>
            </w:r>
            <w:r>
              <w:rPr>
                <w:rFonts w:hint="eastAsia"/>
                <w:sz w:val="24"/>
                <w:highlight w:val="none"/>
              </w:rPr>
              <w:t>、PM10年平均浓度值为40μg/m</w:t>
            </w:r>
            <w:r>
              <w:rPr>
                <w:rFonts w:hint="eastAsia"/>
                <w:sz w:val="24"/>
                <w:highlight w:val="none"/>
                <w:vertAlign w:val="superscript"/>
              </w:rPr>
              <w:t>3</w:t>
            </w:r>
            <w:r>
              <w:rPr>
                <w:rFonts w:hint="eastAsia"/>
                <w:sz w:val="24"/>
                <w:highlight w:val="none"/>
              </w:rPr>
              <w:t>、SO</w:t>
            </w:r>
            <w:r>
              <w:rPr>
                <w:rFonts w:hint="eastAsia"/>
                <w:sz w:val="24"/>
                <w:highlight w:val="none"/>
                <w:vertAlign w:val="subscript"/>
              </w:rPr>
              <w:t>2</w:t>
            </w:r>
            <w:r>
              <w:rPr>
                <w:rFonts w:hint="eastAsia"/>
                <w:sz w:val="24"/>
                <w:highlight w:val="none"/>
              </w:rPr>
              <w:t>年平均浓度值为7g/m</w:t>
            </w:r>
            <w:r>
              <w:rPr>
                <w:rFonts w:hint="eastAsia"/>
                <w:sz w:val="24"/>
                <w:highlight w:val="none"/>
                <w:vertAlign w:val="superscript"/>
              </w:rPr>
              <w:t>3</w:t>
            </w:r>
            <w:r>
              <w:rPr>
                <w:rFonts w:hint="eastAsia"/>
                <w:sz w:val="24"/>
                <w:highlight w:val="none"/>
              </w:rPr>
              <w:t>、NO</w:t>
            </w:r>
            <w:r>
              <w:rPr>
                <w:rFonts w:hint="eastAsia"/>
                <w:sz w:val="24"/>
                <w:highlight w:val="none"/>
                <w:vertAlign w:val="subscript"/>
              </w:rPr>
              <w:t>2</w:t>
            </w:r>
            <w:r>
              <w:rPr>
                <w:rFonts w:hint="eastAsia"/>
                <w:sz w:val="24"/>
                <w:highlight w:val="none"/>
              </w:rPr>
              <w:t>年平均浓度值为15μg/m</w:t>
            </w:r>
            <w:r>
              <w:rPr>
                <w:rFonts w:hint="eastAsia"/>
                <w:sz w:val="24"/>
                <w:highlight w:val="none"/>
                <w:vertAlign w:val="superscript"/>
              </w:rPr>
              <w:t>3</w:t>
            </w:r>
            <w:r>
              <w:rPr>
                <w:rFonts w:hint="eastAsia"/>
                <w:sz w:val="24"/>
                <w:highlight w:val="none"/>
              </w:rPr>
              <w:t>、CO24小时年平均浓度值为0.48mg/m</w:t>
            </w:r>
            <w:r>
              <w:rPr>
                <w:rFonts w:hint="eastAsia"/>
                <w:sz w:val="24"/>
                <w:highlight w:val="none"/>
                <w:vertAlign w:val="superscript"/>
              </w:rPr>
              <w:t>3</w:t>
            </w:r>
            <w:r>
              <w:rPr>
                <w:rFonts w:hint="eastAsia"/>
                <w:sz w:val="24"/>
                <w:highlight w:val="none"/>
              </w:rPr>
              <w:t>，平均浓度第95百分位数为0.9mg/m</w:t>
            </w:r>
            <w:r>
              <w:rPr>
                <w:rFonts w:hint="eastAsia"/>
                <w:sz w:val="24"/>
                <w:highlight w:val="none"/>
                <w:vertAlign w:val="superscript"/>
              </w:rPr>
              <w:t>3</w:t>
            </w:r>
            <w:r>
              <w:rPr>
                <w:rFonts w:hint="eastAsia"/>
                <w:sz w:val="24"/>
                <w:highlight w:val="none"/>
              </w:rPr>
              <w:t>、O3－8h年平均浓度值为76.19μg/m</w:t>
            </w:r>
            <w:r>
              <w:rPr>
                <w:rFonts w:hint="eastAsia"/>
                <w:sz w:val="24"/>
                <w:highlight w:val="none"/>
                <w:vertAlign w:val="superscript"/>
              </w:rPr>
              <w:t>3</w:t>
            </w:r>
            <w:r>
              <w:rPr>
                <w:rFonts w:hint="eastAsia"/>
                <w:sz w:val="24"/>
                <w:highlight w:val="none"/>
              </w:rPr>
              <w:t>，平均浓度第90百分位数为105μg/m</w:t>
            </w:r>
            <w:r>
              <w:rPr>
                <w:rFonts w:hint="eastAsia"/>
                <w:sz w:val="24"/>
                <w:highlight w:val="none"/>
                <w:vertAlign w:val="superscript"/>
              </w:rPr>
              <w:t>3</w:t>
            </w:r>
            <w:r>
              <w:rPr>
                <w:rFonts w:hint="eastAsia"/>
                <w:sz w:val="24"/>
                <w:highlight w:val="none"/>
              </w:rPr>
              <w:t>。</w:t>
            </w:r>
          </w:p>
          <w:p>
            <w:pPr>
              <w:spacing w:line="360" w:lineRule="auto"/>
              <w:ind w:firstLine="480" w:firstLineChars="200"/>
              <w:rPr>
                <w:sz w:val="24"/>
                <w:highlight w:val="none"/>
              </w:rPr>
            </w:pPr>
            <w:r>
              <w:rPr>
                <w:rFonts w:hint="eastAsia"/>
                <w:sz w:val="24"/>
                <w:highlight w:val="none"/>
              </w:rPr>
              <w:t>满足《环境空气质量标准》（GB3095-2012）及其修改单中二级标准的要求。本项目所在区域环境质量为达标区</w:t>
            </w:r>
            <w:r>
              <w:rPr>
                <w:rFonts w:hint="eastAsia"/>
                <w:kern w:val="0"/>
                <w:szCs w:val="21"/>
                <w:highlight w:val="none"/>
              </w:rPr>
              <w:t>。</w:t>
            </w:r>
          </w:p>
          <w:p>
            <w:pPr>
              <w:ind w:firstLine="422" w:firstLineChars="200"/>
              <w:jc w:val="center"/>
              <w:rPr>
                <w:b/>
                <w:bCs/>
                <w:szCs w:val="21"/>
                <w:highlight w:val="none"/>
              </w:rPr>
            </w:pPr>
            <w:r>
              <w:rPr>
                <w:b/>
                <w:bCs/>
                <w:szCs w:val="21"/>
                <w:highlight w:val="none"/>
              </w:rPr>
              <w:t>表3</w:t>
            </w:r>
            <w:r>
              <w:rPr>
                <w:rFonts w:hint="eastAsia"/>
                <w:b/>
                <w:bCs/>
                <w:szCs w:val="21"/>
                <w:highlight w:val="none"/>
              </w:rPr>
              <w:t>-</w:t>
            </w:r>
            <w:r>
              <w:rPr>
                <w:b/>
                <w:bCs/>
                <w:szCs w:val="21"/>
                <w:highlight w:val="none"/>
              </w:rPr>
              <w:t>1  区域空气质量现状评价表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2121"/>
              <w:gridCol w:w="1455"/>
              <w:gridCol w:w="1619"/>
              <w:gridCol w:w="1169"/>
              <w:gridCol w:w="11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污染物</w:t>
                  </w:r>
                </w:p>
              </w:tc>
              <w:tc>
                <w:tcPr>
                  <w:tcW w:w="12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年</w:t>
                  </w:r>
                  <w:r>
                    <w:rPr>
                      <w:rFonts w:hint="eastAsia"/>
                      <w:kern w:val="0"/>
                      <w:szCs w:val="21"/>
                      <w:highlight w:val="none"/>
                    </w:rPr>
                    <w:t>评</w:t>
                  </w:r>
                  <w:r>
                    <w:rPr>
                      <w:kern w:val="0"/>
                      <w:szCs w:val="21"/>
                      <w:highlight w:val="none"/>
                    </w:rPr>
                    <w:t>价指标</w:t>
                  </w:r>
                </w:p>
              </w:tc>
              <w:tc>
                <w:tcPr>
                  <w:tcW w:w="844" w:type="pct"/>
                  <w:vAlign w:val="center"/>
                </w:tcPr>
                <w:p>
                  <w:pPr>
                    <w:widowControl/>
                    <w:jc w:val="center"/>
                    <w:rPr>
                      <w:szCs w:val="21"/>
                      <w:highlight w:val="none"/>
                    </w:rPr>
                  </w:pPr>
                  <w:r>
                    <w:rPr>
                      <w:rFonts w:hint="eastAsia"/>
                      <w:szCs w:val="21"/>
                      <w:highlight w:val="none"/>
                    </w:rPr>
                    <w:t>现状浓度</w:t>
                  </w:r>
                  <w:r>
                    <w:rPr>
                      <w:szCs w:val="21"/>
                      <w:highlight w:val="none"/>
                    </w:rPr>
                    <w:t>/</w:t>
                  </w:r>
                </w:p>
                <w:p>
                  <w:pPr>
                    <w:widowControl/>
                    <w:jc w:val="center"/>
                    <w:rPr>
                      <w:szCs w:val="21"/>
                      <w:highlight w:val="none"/>
                    </w:rPr>
                  </w:pPr>
                  <w:r>
                    <w:rPr>
                      <w:szCs w:val="21"/>
                      <w:highlight w:val="none"/>
                    </w:rPr>
                    <w:t>(μg/m</w:t>
                  </w:r>
                  <w:r>
                    <w:rPr>
                      <w:szCs w:val="21"/>
                      <w:highlight w:val="none"/>
                      <w:vertAlign w:val="superscript"/>
                    </w:rPr>
                    <w:t>3</w:t>
                  </w:r>
                  <w:r>
                    <w:rPr>
                      <w:szCs w:val="21"/>
                      <w:highlight w:val="none"/>
                    </w:rPr>
                    <w:t>)</w:t>
                  </w:r>
                </w:p>
              </w:tc>
              <w:tc>
                <w:tcPr>
                  <w:tcW w:w="939" w:type="pct"/>
                  <w:vAlign w:val="center"/>
                </w:tcPr>
                <w:p>
                  <w:pPr>
                    <w:widowControl/>
                    <w:jc w:val="center"/>
                    <w:rPr>
                      <w:szCs w:val="21"/>
                      <w:highlight w:val="none"/>
                    </w:rPr>
                  </w:pPr>
                  <w:r>
                    <w:rPr>
                      <w:rFonts w:hint="eastAsia"/>
                      <w:szCs w:val="21"/>
                      <w:highlight w:val="none"/>
                    </w:rPr>
                    <w:t>标准值</w:t>
                  </w:r>
                  <w:r>
                    <w:rPr>
                      <w:szCs w:val="21"/>
                      <w:highlight w:val="none"/>
                    </w:rPr>
                    <w:t>/</w:t>
                  </w:r>
                </w:p>
                <w:p>
                  <w:pPr>
                    <w:widowControl/>
                    <w:jc w:val="center"/>
                    <w:rPr>
                      <w:szCs w:val="21"/>
                      <w:highlight w:val="none"/>
                    </w:rPr>
                  </w:pPr>
                  <w:r>
                    <w:rPr>
                      <w:szCs w:val="21"/>
                      <w:highlight w:val="none"/>
                    </w:rPr>
                    <w:t>(μg/m</w:t>
                  </w:r>
                  <w:r>
                    <w:rPr>
                      <w:szCs w:val="21"/>
                      <w:highlight w:val="none"/>
                      <w:vertAlign w:val="superscript"/>
                    </w:rPr>
                    <w:t>3</w:t>
                  </w:r>
                  <w:r>
                    <w:rPr>
                      <w:szCs w:val="21"/>
                      <w:highlight w:val="none"/>
                    </w:rPr>
                    <w:t>)</w:t>
                  </w:r>
                </w:p>
              </w:tc>
              <w:tc>
                <w:tcPr>
                  <w:tcW w:w="678" w:type="pct"/>
                  <w:vAlign w:val="center"/>
                </w:tcPr>
                <w:p>
                  <w:pPr>
                    <w:widowControl/>
                    <w:jc w:val="center"/>
                    <w:rPr>
                      <w:szCs w:val="21"/>
                      <w:highlight w:val="none"/>
                    </w:rPr>
                  </w:pPr>
                  <w:r>
                    <w:rPr>
                      <w:rFonts w:hint="eastAsia"/>
                      <w:szCs w:val="21"/>
                      <w:highlight w:val="none"/>
                    </w:rPr>
                    <w:t>占标率</w:t>
                  </w:r>
                  <w:r>
                    <w:rPr>
                      <w:szCs w:val="21"/>
                      <w:highlight w:val="none"/>
                    </w:rPr>
                    <w:t>/</w:t>
                  </w:r>
                </w:p>
                <w:p>
                  <w:pPr>
                    <w:widowControl/>
                    <w:jc w:val="center"/>
                    <w:rPr>
                      <w:szCs w:val="21"/>
                      <w:highlight w:val="none"/>
                    </w:rPr>
                  </w:pPr>
                  <w:r>
                    <w:rPr>
                      <w:szCs w:val="21"/>
                      <w:highlight w:val="none"/>
                    </w:rPr>
                    <w:cr/>
                  </w:r>
                  <w:r>
                    <w:rPr>
                      <w:rFonts w:hint="eastAsia"/>
                      <w:szCs w:val="21"/>
                      <w:highlight w:val="none"/>
                    </w:rPr>
                    <w:t>%</w:t>
                  </w:r>
                </w:p>
              </w:tc>
              <w:tc>
                <w:tcPr>
                  <w:tcW w:w="679" w:type="pct"/>
                  <w:vAlign w:val="center"/>
                </w:tcPr>
                <w:p>
                  <w:pPr>
                    <w:adjustRightInd w:val="0"/>
                    <w:snapToGrid w:val="0"/>
                    <w:jc w:val="center"/>
                    <w:rPr>
                      <w:bCs/>
                      <w:szCs w:val="21"/>
                      <w:highlight w:val="none"/>
                    </w:rPr>
                  </w:pPr>
                  <w:r>
                    <w:rPr>
                      <w:bCs/>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SO</w:t>
                  </w:r>
                  <w:r>
                    <w:rPr>
                      <w:kern w:val="0"/>
                      <w:szCs w:val="21"/>
                      <w:highlight w:val="none"/>
                      <w:vertAlign w:val="subscript"/>
                    </w:rPr>
                    <w:t>2</w:t>
                  </w:r>
                </w:p>
              </w:tc>
              <w:tc>
                <w:tcPr>
                  <w:tcW w:w="12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年平均质量浓度</w:t>
                  </w:r>
                </w:p>
              </w:tc>
              <w:tc>
                <w:tcPr>
                  <w:tcW w:w="844" w:type="pct"/>
                  <w:vAlign w:val="center"/>
                </w:tcPr>
                <w:p>
                  <w:pPr>
                    <w:widowControl/>
                    <w:jc w:val="center"/>
                    <w:rPr>
                      <w:szCs w:val="21"/>
                      <w:highlight w:val="none"/>
                    </w:rPr>
                  </w:pPr>
                  <w:r>
                    <w:rPr>
                      <w:rFonts w:hint="eastAsia"/>
                      <w:szCs w:val="21"/>
                      <w:highlight w:val="none"/>
                    </w:rPr>
                    <w:t>7</w:t>
                  </w:r>
                </w:p>
              </w:tc>
              <w:tc>
                <w:tcPr>
                  <w:tcW w:w="939" w:type="pct"/>
                  <w:vAlign w:val="center"/>
                </w:tcPr>
                <w:p>
                  <w:pPr>
                    <w:widowControl/>
                    <w:jc w:val="center"/>
                    <w:rPr>
                      <w:szCs w:val="21"/>
                      <w:highlight w:val="none"/>
                    </w:rPr>
                  </w:pPr>
                  <w:r>
                    <w:rPr>
                      <w:szCs w:val="21"/>
                      <w:highlight w:val="none"/>
                    </w:rPr>
                    <w:t>60</w:t>
                  </w:r>
                </w:p>
              </w:tc>
              <w:tc>
                <w:tcPr>
                  <w:tcW w:w="678" w:type="pct"/>
                  <w:vAlign w:val="center"/>
                </w:tcPr>
                <w:p>
                  <w:pPr>
                    <w:widowControl/>
                    <w:jc w:val="center"/>
                    <w:rPr>
                      <w:szCs w:val="21"/>
                      <w:highlight w:val="none"/>
                    </w:rPr>
                  </w:pPr>
                  <w:r>
                    <w:rPr>
                      <w:rFonts w:hint="eastAsia"/>
                      <w:szCs w:val="21"/>
                      <w:highlight w:val="none"/>
                    </w:rPr>
                    <w:t>11.7</w:t>
                  </w:r>
                </w:p>
              </w:tc>
              <w:tc>
                <w:tcPr>
                  <w:tcW w:w="679" w:type="pct"/>
                  <w:vAlign w:val="center"/>
                </w:tcPr>
                <w:p>
                  <w:pPr>
                    <w:adjustRightInd w:val="0"/>
                    <w:snapToGrid w:val="0"/>
                    <w:jc w:val="center"/>
                    <w:rPr>
                      <w:bCs/>
                      <w:szCs w:val="21"/>
                      <w:highlight w:val="none"/>
                    </w:rPr>
                  </w:pPr>
                  <w:r>
                    <w:rPr>
                      <w:bCs/>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 w:hRule="atLeast"/>
                <w:jc w:val="center"/>
              </w:trPr>
              <w:tc>
                <w:tcPr>
                  <w:tcW w:w="6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NO</w:t>
                  </w:r>
                  <w:r>
                    <w:rPr>
                      <w:kern w:val="0"/>
                      <w:szCs w:val="21"/>
                      <w:highlight w:val="none"/>
                      <w:vertAlign w:val="subscript"/>
                    </w:rPr>
                    <w:t>2</w:t>
                  </w:r>
                </w:p>
              </w:tc>
              <w:tc>
                <w:tcPr>
                  <w:tcW w:w="12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年平均质量浓度</w:t>
                  </w:r>
                </w:p>
              </w:tc>
              <w:tc>
                <w:tcPr>
                  <w:tcW w:w="844" w:type="pct"/>
                  <w:vAlign w:val="center"/>
                </w:tcPr>
                <w:p>
                  <w:pPr>
                    <w:widowControl/>
                    <w:jc w:val="center"/>
                    <w:rPr>
                      <w:szCs w:val="21"/>
                      <w:highlight w:val="none"/>
                    </w:rPr>
                  </w:pPr>
                  <w:r>
                    <w:rPr>
                      <w:rFonts w:hint="eastAsia"/>
                      <w:szCs w:val="21"/>
                      <w:highlight w:val="none"/>
                    </w:rPr>
                    <w:t>15</w:t>
                  </w:r>
                </w:p>
              </w:tc>
              <w:tc>
                <w:tcPr>
                  <w:tcW w:w="939" w:type="pct"/>
                  <w:vAlign w:val="center"/>
                </w:tcPr>
                <w:p>
                  <w:pPr>
                    <w:widowControl/>
                    <w:jc w:val="center"/>
                    <w:rPr>
                      <w:szCs w:val="21"/>
                      <w:highlight w:val="none"/>
                    </w:rPr>
                  </w:pPr>
                  <w:r>
                    <w:rPr>
                      <w:szCs w:val="21"/>
                      <w:highlight w:val="none"/>
                    </w:rPr>
                    <w:t>40</w:t>
                  </w:r>
                </w:p>
              </w:tc>
              <w:tc>
                <w:tcPr>
                  <w:tcW w:w="678" w:type="pct"/>
                  <w:vAlign w:val="center"/>
                </w:tcPr>
                <w:p>
                  <w:pPr>
                    <w:widowControl/>
                    <w:jc w:val="center"/>
                    <w:rPr>
                      <w:szCs w:val="21"/>
                      <w:highlight w:val="none"/>
                    </w:rPr>
                  </w:pPr>
                  <w:r>
                    <w:rPr>
                      <w:rFonts w:hint="eastAsia"/>
                      <w:szCs w:val="21"/>
                      <w:highlight w:val="none"/>
                    </w:rPr>
                    <w:t>37.5</w:t>
                  </w:r>
                </w:p>
              </w:tc>
              <w:tc>
                <w:tcPr>
                  <w:tcW w:w="679" w:type="pct"/>
                  <w:vAlign w:val="center"/>
                </w:tcPr>
                <w:p>
                  <w:pPr>
                    <w:adjustRightInd w:val="0"/>
                    <w:snapToGrid w:val="0"/>
                    <w:jc w:val="center"/>
                    <w:rPr>
                      <w:bCs/>
                      <w:szCs w:val="21"/>
                      <w:highlight w:val="none"/>
                    </w:rPr>
                  </w:pPr>
                  <w:r>
                    <w:rPr>
                      <w:bCs/>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PM</w:t>
                  </w:r>
                  <w:r>
                    <w:rPr>
                      <w:kern w:val="0"/>
                      <w:szCs w:val="21"/>
                      <w:highlight w:val="none"/>
                      <w:vertAlign w:val="subscript"/>
                    </w:rPr>
                    <w:t>10</w:t>
                  </w:r>
                </w:p>
              </w:tc>
              <w:tc>
                <w:tcPr>
                  <w:tcW w:w="12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年平均质量</w:t>
                  </w:r>
                  <w:r>
                    <w:rPr>
                      <w:rFonts w:hint="eastAsia"/>
                      <w:kern w:val="0"/>
                      <w:szCs w:val="21"/>
                      <w:highlight w:val="none"/>
                    </w:rPr>
                    <w:t>浓</w:t>
                  </w:r>
                  <w:r>
                    <w:rPr>
                      <w:kern w:val="0"/>
                      <w:szCs w:val="21"/>
                      <w:highlight w:val="none"/>
                    </w:rPr>
                    <w:t>度</w:t>
                  </w:r>
                </w:p>
              </w:tc>
              <w:tc>
                <w:tcPr>
                  <w:tcW w:w="844" w:type="pct"/>
                  <w:vAlign w:val="center"/>
                </w:tcPr>
                <w:p>
                  <w:pPr>
                    <w:widowControl/>
                    <w:jc w:val="center"/>
                    <w:rPr>
                      <w:szCs w:val="21"/>
                      <w:highlight w:val="none"/>
                    </w:rPr>
                  </w:pPr>
                  <w:r>
                    <w:rPr>
                      <w:rFonts w:hint="eastAsia"/>
                      <w:szCs w:val="21"/>
                      <w:highlight w:val="none"/>
                    </w:rPr>
                    <w:t>40</w:t>
                  </w:r>
                </w:p>
              </w:tc>
              <w:tc>
                <w:tcPr>
                  <w:tcW w:w="939" w:type="pct"/>
                  <w:vAlign w:val="center"/>
                </w:tcPr>
                <w:p>
                  <w:pPr>
                    <w:widowControl/>
                    <w:jc w:val="center"/>
                    <w:rPr>
                      <w:szCs w:val="21"/>
                      <w:highlight w:val="none"/>
                    </w:rPr>
                  </w:pPr>
                  <w:r>
                    <w:rPr>
                      <w:szCs w:val="21"/>
                      <w:highlight w:val="none"/>
                    </w:rPr>
                    <w:t>70</w:t>
                  </w:r>
                </w:p>
              </w:tc>
              <w:tc>
                <w:tcPr>
                  <w:tcW w:w="678" w:type="pct"/>
                  <w:vAlign w:val="center"/>
                </w:tcPr>
                <w:p>
                  <w:pPr>
                    <w:widowControl/>
                    <w:jc w:val="center"/>
                    <w:rPr>
                      <w:szCs w:val="21"/>
                      <w:highlight w:val="none"/>
                    </w:rPr>
                  </w:pPr>
                  <w:r>
                    <w:rPr>
                      <w:rFonts w:hint="eastAsia"/>
                      <w:szCs w:val="21"/>
                      <w:highlight w:val="none"/>
                    </w:rPr>
                    <w:t>57.1</w:t>
                  </w:r>
                </w:p>
              </w:tc>
              <w:tc>
                <w:tcPr>
                  <w:tcW w:w="679" w:type="pct"/>
                  <w:vAlign w:val="center"/>
                </w:tcPr>
                <w:p>
                  <w:pPr>
                    <w:adjustRightInd w:val="0"/>
                    <w:snapToGrid w:val="0"/>
                    <w:jc w:val="center"/>
                    <w:rPr>
                      <w:bCs/>
                      <w:szCs w:val="21"/>
                      <w:highlight w:val="none"/>
                    </w:rPr>
                  </w:pPr>
                  <w:r>
                    <w:rPr>
                      <w:bCs/>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6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PM</w:t>
                  </w:r>
                  <w:r>
                    <w:rPr>
                      <w:kern w:val="0"/>
                      <w:szCs w:val="21"/>
                      <w:highlight w:val="none"/>
                      <w:vertAlign w:val="subscript"/>
                    </w:rPr>
                    <w:t>2.5</w:t>
                  </w:r>
                </w:p>
              </w:tc>
              <w:tc>
                <w:tcPr>
                  <w:tcW w:w="12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年平均质量浓度</w:t>
                  </w:r>
                </w:p>
              </w:tc>
              <w:tc>
                <w:tcPr>
                  <w:tcW w:w="844" w:type="pct"/>
                  <w:vAlign w:val="center"/>
                </w:tcPr>
                <w:p>
                  <w:pPr>
                    <w:widowControl/>
                    <w:jc w:val="center"/>
                    <w:rPr>
                      <w:szCs w:val="21"/>
                      <w:highlight w:val="none"/>
                    </w:rPr>
                  </w:pPr>
                  <w:r>
                    <w:rPr>
                      <w:rFonts w:hint="eastAsia"/>
                      <w:szCs w:val="21"/>
                      <w:highlight w:val="none"/>
                    </w:rPr>
                    <w:t>24</w:t>
                  </w:r>
                </w:p>
              </w:tc>
              <w:tc>
                <w:tcPr>
                  <w:tcW w:w="939" w:type="pct"/>
                  <w:vAlign w:val="center"/>
                </w:tcPr>
                <w:p>
                  <w:pPr>
                    <w:widowControl/>
                    <w:jc w:val="center"/>
                    <w:rPr>
                      <w:szCs w:val="21"/>
                      <w:highlight w:val="none"/>
                    </w:rPr>
                  </w:pPr>
                  <w:r>
                    <w:rPr>
                      <w:szCs w:val="21"/>
                      <w:highlight w:val="none"/>
                    </w:rPr>
                    <w:t>35</w:t>
                  </w:r>
                </w:p>
              </w:tc>
              <w:tc>
                <w:tcPr>
                  <w:tcW w:w="678" w:type="pct"/>
                  <w:vAlign w:val="center"/>
                </w:tcPr>
                <w:p>
                  <w:pPr>
                    <w:widowControl/>
                    <w:jc w:val="center"/>
                    <w:rPr>
                      <w:szCs w:val="21"/>
                      <w:highlight w:val="none"/>
                    </w:rPr>
                  </w:pPr>
                  <w:r>
                    <w:rPr>
                      <w:rFonts w:hint="eastAsia"/>
                      <w:szCs w:val="21"/>
                      <w:highlight w:val="none"/>
                    </w:rPr>
                    <w:t>68.6</w:t>
                  </w:r>
                </w:p>
              </w:tc>
              <w:tc>
                <w:tcPr>
                  <w:tcW w:w="679" w:type="pct"/>
                  <w:vAlign w:val="center"/>
                </w:tcPr>
                <w:p>
                  <w:pPr>
                    <w:adjustRightInd w:val="0"/>
                    <w:snapToGrid w:val="0"/>
                    <w:jc w:val="center"/>
                    <w:rPr>
                      <w:bCs/>
                      <w:szCs w:val="21"/>
                      <w:highlight w:val="none"/>
                    </w:rPr>
                  </w:pPr>
                  <w:r>
                    <w:rPr>
                      <w:bCs/>
                      <w:szCs w:val="21"/>
                      <w:highlight w:val="none"/>
                    </w:rPr>
                    <w:t>达</w:t>
                  </w:r>
                  <w:r>
                    <w:rPr>
                      <w:rFonts w:hint="eastAsia"/>
                      <w:bCs/>
                      <w:szCs w:val="21"/>
                      <w:highlight w:val="none"/>
                    </w:rPr>
                    <w:t>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6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CO</w:t>
                  </w:r>
                </w:p>
              </w:tc>
              <w:tc>
                <w:tcPr>
                  <w:tcW w:w="12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年平均质量浓度</w:t>
                  </w:r>
                </w:p>
              </w:tc>
              <w:tc>
                <w:tcPr>
                  <w:tcW w:w="844" w:type="pct"/>
                  <w:vAlign w:val="center"/>
                </w:tcPr>
                <w:p>
                  <w:pPr>
                    <w:widowControl/>
                    <w:jc w:val="center"/>
                    <w:rPr>
                      <w:szCs w:val="21"/>
                      <w:highlight w:val="none"/>
                    </w:rPr>
                  </w:pPr>
                  <w:r>
                    <w:rPr>
                      <w:rFonts w:hint="eastAsia"/>
                      <w:szCs w:val="21"/>
                      <w:highlight w:val="none"/>
                    </w:rPr>
                    <w:t>480</w:t>
                  </w:r>
                </w:p>
              </w:tc>
              <w:tc>
                <w:tcPr>
                  <w:tcW w:w="939" w:type="pct"/>
                  <w:vAlign w:val="center"/>
                </w:tcPr>
                <w:p>
                  <w:pPr>
                    <w:widowControl/>
                    <w:jc w:val="center"/>
                    <w:rPr>
                      <w:szCs w:val="21"/>
                      <w:highlight w:val="none"/>
                    </w:rPr>
                  </w:pPr>
                  <w:r>
                    <w:rPr>
                      <w:szCs w:val="21"/>
                      <w:highlight w:val="none"/>
                    </w:rPr>
                    <w:t>4</w:t>
                  </w:r>
                  <w:r>
                    <w:rPr>
                      <w:rFonts w:hint="eastAsia"/>
                      <w:szCs w:val="21"/>
                      <w:highlight w:val="none"/>
                    </w:rPr>
                    <w:t>0</w:t>
                  </w:r>
                  <w:r>
                    <w:rPr>
                      <w:szCs w:val="21"/>
                      <w:highlight w:val="none"/>
                    </w:rPr>
                    <w:t>00</w:t>
                  </w:r>
                </w:p>
              </w:tc>
              <w:tc>
                <w:tcPr>
                  <w:tcW w:w="678" w:type="pct"/>
                  <w:vAlign w:val="center"/>
                </w:tcPr>
                <w:p>
                  <w:pPr>
                    <w:widowControl/>
                    <w:jc w:val="center"/>
                    <w:rPr>
                      <w:szCs w:val="21"/>
                      <w:highlight w:val="none"/>
                    </w:rPr>
                  </w:pPr>
                  <w:r>
                    <w:rPr>
                      <w:rFonts w:hint="eastAsia"/>
                      <w:szCs w:val="21"/>
                      <w:highlight w:val="none"/>
                    </w:rPr>
                    <w:t>12</w:t>
                  </w:r>
                </w:p>
              </w:tc>
              <w:tc>
                <w:tcPr>
                  <w:tcW w:w="679" w:type="pct"/>
                  <w:vAlign w:val="center"/>
                </w:tcPr>
                <w:p>
                  <w:pPr>
                    <w:adjustRightInd w:val="0"/>
                    <w:snapToGrid w:val="0"/>
                    <w:jc w:val="center"/>
                    <w:rPr>
                      <w:bCs/>
                      <w:szCs w:val="21"/>
                      <w:highlight w:val="none"/>
                    </w:rPr>
                  </w:pPr>
                  <w:r>
                    <w:rPr>
                      <w:bCs/>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O</w:t>
                  </w:r>
                  <w:r>
                    <w:rPr>
                      <w:kern w:val="0"/>
                      <w:szCs w:val="21"/>
                      <w:highlight w:val="none"/>
                      <w:vertAlign w:val="subscript"/>
                    </w:rPr>
                    <w:t>3</w:t>
                  </w:r>
                </w:p>
              </w:tc>
              <w:tc>
                <w:tcPr>
                  <w:tcW w:w="1230" w:type="pct"/>
                  <w:vAlign w:val="center"/>
                </w:tcPr>
                <w:p>
                  <w:pPr>
                    <w:autoSpaceDE w:val="0"/>
                    <w:autoSpaceDN w:val="0"/>
                    <w:adjustRightInd w:val="0"/>
                    <w:snapToGrid w:val="0"/>
                    <w:jc w:val="center"/>
                    <w:textAlignment w:val="bottom"/>
                    <w:rPr>
                      <w:kern w:val="0"/>
                      <w:szCs w:val="21"/>
                      <w:highlight w:val="none"/>
                    </w:rPr>
                  </w:pPr>
                  <w:r>
                    <w:rPr>
                      <w:kern w:val="0"/>
                      <w:szCs w:val="21"/>
                      <w:highlight w:val="none"/>
                    </w:rPr>
                    <w:t>年平均质量浓度</w:t>
                  </w:r>
                </w:p>
              </w:tc>
              <w:tc>
                <w:tcPr>
                  <w:tcW w:w="844" w:type="pct"/>
                  <w:vAlign w:val="center"/>
                </w:tcPr>
                <w:p>
                  <w:pPr>
                    <w:widowControl/>
                    <w:jc w:val="center"/>
                    <w:rPr>
                      <w:szCs w:val="21"/>
                      <w:highlight w:val="none"/>
                    </w:rPr>
                  </w:pPr>
                  <w:r>
                    <w:rPr>
                      <w:rFonts w:hint="eastAsia"/>
                      <w:szCs w:val="21"/>
                      <w:highlight w:val="none"/>
                    </w:rPr>
                    <w:t>76.19</w:t>
                  </w:r>
                </w:p>
              </w:tc>
              <w:tc>
                <w:tcPr>
                  <w:tcW w:w="939" w:type="pct"/>
                  <w:vAlign w:val="center"/>
                </w:tcPr>
                <w:p>
                  <w:pPr>
                    <w:widowControl/>
                    <w:jc w:val="center"/>
                    <w:rPr>
                      <w:szCs w:val="21"/>
                      <w:highlight w:val="none"/>
                    </w:rPr>
                  </w:pPr>
                  <w:r>
                    <w:rPr>
                      <w:szCs w:val="21"/>
                      <w:highlight w:val="none"/>
                    </w:rPr>
                    <w:t>160</w:t>
                  </w:r>
                </w:p>
              </w:tc>
              <w:tc>
                <w:tcPr>
                  <w:tcW w:w="678" w:type="pct"/>
                  <w:vAlign w:val="center"/>
                </w:tcPr>
                <w:p>
                  <w:pPr>
                    <w:widowControl/>
                    <w:jc w:val="center"/>
                    <w:rPr>
                      <w:szCs w:val="21"/>
                      <w:highlight w:val="none"/>
                    </w:rPr>
                  </w:pPr>
                  <w:r>
                    <w:rPr>
                      <w:rFonts w:hint="eastAsia"/>
                      <w:szCs w:val="21"/>
                      <w:highlight w:val="none"/>
                    </w:rPr>
                    <w:t>47.6</w:t>
                  </w:r>
                </w:p>
              </w:tc>
              <w:tc>
                <w:tcPr>
                  <w:tcW w:w="679" w:type="pct"/>
                  <w:vAlign w:val="center"/>
                </w:tcPr>
                <w:p>
                  <w:pPr>
                    <w:adjustRightInd w:val="0"/>
                    <w:snapToGrid w:val="0"/>
                    <w:jc w:val="center"/>
                    <w:rPr>
                      <w:bCs/>
                      <w:szCs w:val="21"/>
                      <w:highlight w:val="none"/>
                    </w:rPr>
                  </w:pPr>
                  <w:r>
                    <w:rPr>
                      <w:bCs/>
                      <w:szCs w:val="21"/>
                      <w:highlight w:val="none"/>
                    </w:rPr>
                    <w:t>达标</w:t>
                  </w:r>
                </w:p>
              </w:tc>
            </w:tr>
          </w:tbl>
          <w:p>
            <w:pPr>
              <w:spacing w:line="360" w:lineRule="auto"/>
              <w:ind w:firstLine="480" w:firstLineChars="200"/>
              <w:rPr>
                <w:sz w:val="24"/>
                <w:highlight w:val="none"/>
              </w:rPr>
            </w:pPr>
            <w:r>
              <w:rPr>
                <w:sz w:val="24"/>
                <w:highlight w:val="none"/>
              </w:rPr>
              <w:t>（2）其他污染物</w:t>
            </w:r>
          </w:p>
          <w:p>
            <w:pPr>
              <w:pStyle w:val="28"/>
              <w:adjustRightInd w:val="0"/>
              <w:snapToGrid w:val="0"/>
              <w:spacing w:after="0" w:line="360" w:lineRule="auto"/>
              <w:ind w:left="0" w:leftChars="0" w:firstLine="480"/>
              <w:rPr>
                <w:rFonts w:ascii="Times New Roman" w:hAnsi="Times New Roman" w:cs="Times New Roman"/>
                <w:sz w:val="24"/>
                <w:highlight w:val="none"/>
                <w:lang w:val="zh-CN"/>
              </w:rPr>
            </w:pPr>
            <w:r>
              <w:rPr>
                <w:rFonts w:ascii="Times New Roman" w:hAnsi="Times New Roman" w:cs="Times New Roman"/>
                <w:kern w:val="0"/>
                <w:sz w:val="24"/>
                <w:highlight w:val="none"/>
                <w:lang w:val="zh-CN"/>
              </w:rPr>
              <w:t>本项目大气环境空气质量特征因子引自</w:t>
            </w:r>
            <w:r>
              <w:rPr>
                <w:rFonts w:ascii="Times New Roman" w:hAnsi="Times New Roman" w:cs="Times New Roman"/>
                <w:kern w:val="0"/>
                <w:sz w:val="24"/>
                <w:highlight w:val="none"/>
              </w:rPr>
              <w:t>黑龙江省星科环境监测有限公司于202</w:t>
            </w:r>
            <w:r>
              <w:rPr>
                <w:rFonts w:hint="eastAsia" w:ascii="Times New Roman" w:hAnsi="Times New Roman" w:cs="Times New Roman"/>
                <w:kern w:val="0"/>
                <w:sz w:val="24"/>
                <w:highlight w:val="none"/>
              </w:rPr>
              <w:t>2</w:t>
            </w:r>
            <w:r>
              <w:rPr>
                <w:rFonts w:ascii="Times New Roman" w:hAnsi="Times New Roman" w:cs="Times New Roman"/>
                <w:kern w:val="0"/>
                <w:sz w:val="24"/>
                <w:highlight w:val="none"/>
              </w:rPr>
              <w:t>年</w:t>
            </w:r>
            <w:r>
              <w:rPr>
                <w:rFonts w:hint="eastAsia" w:ascii="Times New Roman" w:hAnsi="Times New Roman" w:cs="Times New Roman"/>
                <w:kern w:val="0"/>
                <w:sz w:val="24"/>
                <w:highlight w:val="none"/>
              </w:rPr>
              <w:t>10</w:t>
            </w:r>
            <w:r>
              <w:rPr>
                <w:rFonts w:ascii="Times New Roman" w:hAnsi="Times New Roman" w:cs="Times New Roman"/>
                <w:kern w:val="0"/>
                <w:sz w:val="24"/>
                <w:highlight w:val="none"/>
              </w:rPr>
              <w:t>月</w:t>
            </w:r>
            <w:r>
              <w:rPr>
                <w:rFonts w:hint="eastAsia" w:ascii="Times New Roman" w:hAnsi="Times New Roman" w:cs="Times New Roman"/>
                <w:kern w:val="0"/>
                <w:sz w:val="24"/>
                <w:highlight w:val="none"/>
              </w:rPr>
              <w:t>2</w:t>
            </w:r>
            <w:r>
              <w:rPr>
                <w:rFonts w:ascii="Times New Roman" w:hAnsi="Times New Roman" w:cs="Times New Roman"/>
                <w:kern w:val="0"/>
                <w:sz w:val="24"/>
                <w:highlight w:val="none"/>
              </w:rPr>
              <w:t>5日出具的报告编号</w:t>
            </w:r>
            <w:r>
              <w:rPr>
                <w:rFonts w:ascii="Times New Roman" w:hAnsi="Times New Roman" w:cs="Times New Roman"/>
                <w:sz w:val="24"/>
                <w:highlight w:val="none"/>
              </w:rPr>
              <w:t>XKJC20221013的</w:t>
            </w:r>
            <w:r>
              <w:rPr>
                <w:rFonts w:ascii="Times New Roman" w:hAnsi="Times New Roman" w:cs="Times New Roman"/>
                <w:kern w:val="0"/>
                <w:sz w:val="24"/>
                <w:highlight w:val="none"/>
              </w:rPr>
              <w:t>检测报告，详见附件</w:t>
            </w:r>
            <w:r>
              <w:rPr>
                <w:rFonts w:ascii="Times New Roman" w:hAnsi="Times New Roman" w:cs="Times New Roman"/>
                <w:kern w:val="0"/>
                <w:sz w:val="24"/>
                <w:highlight w:val="none"/>
                <w:lang w:val="zh-CN"/>
              </w:rPr>
              <w:t>。</w:t>
            </w:r>
          </w:p>
          <w:p>
            <w:pPr>
              <w:spacing w:line="360" w:lineRule="auto"/>
              <w:ind w:firstLine="480" w:firstLineChars="200"/>
              <w:rPr>
                <w:kern w:val="0"/>
                <w:sz w:val="24"/>
                <w:highlight w:val="none"/>
                <w:lang w:val="zh-CN"/>
              </w:rPr>
            </w:pPr>
            <w:r>
              <w:rPr>
                <w:kern w:val="0"/>
                <w:sz w:val="24"/>
                <w:highlight w:val="none"/>
                <w:lang w:val="zh-CN"/>
              </w:rPr>
              <w:t>①监测项目</w:t>
            </w:r>
          </w:p>
          <w:p>
            <w:pPr>
              <w:adjustRightInd w:val="0"/>
              <w:snapToGrid w:val="0"/>
              <w:spacing w:line="360" w:lineRule="auto"/>
              <w:ind w:firstLine="480" w:firstLineChars="200"/>
              <w:rPr>
                <w:kern w:val="0"/>
                <w:sz w:val="24"/>
                <w:highlight w:val="none"/>
                <w:lang w:val="zh-CN"/>
              </w:rPr>
            </w:pPr>
            <w:r>
              <w:rPr>
                <w:kern w:val="0"/>
                <w:sz w:val="24"/>
                <w:highlight w:val="none"/>
                <w:lang w:val="zh-CN"/>
              </w:rPr>
              <w:t>氨、硫化氢、TSP</w:t>
            </w:r>
            <w:r>
              <w:rPr>
                <w:rFonts w:hint="eastAsia"/>
                <w:kern w:val="0"/>
                <w:sz w:val="24"/>
                <w:highlight w:val="none"/>
                <w:lang w:val="zh-CN"/>
              </w:rPr>
              <w:t>。</w:t>
            </w:r>
          </w:p>
          <w:p>
            <w:pPr>
              <w:spacing w:line="360" w:lineRule="auto"/>
              <w:ind w:firstLine="480" w:firstLineChars="200"/>
              <w:rPr>
                <w:kern w:val="0"/>
                <w:sz w:val="24"/>
                <w:highlight w:val="none"/>
                <w:lang w:val="zh-CN"/>
              </w:rPr>
            </w:pPr>
            <w:r>
              <w:rPr>
                <w:kern w:val="0"/>
                <w:sz w:val="24"/>
                <w:highlight w:val="none"/>
                <w:lang w:val="zh-CN"/>
              </w:rPr>
              <w:t>②监测时间</w:t>
            </w:r>
          </w:p>
          <w:p>
            <w:pPr>
              <w:spacing w:line="360" w:lineRule="auto"/>
              <w:ind w:firstLine="480" w:firstLineChars="200"/>
              <w:rPr>
                <w:kern w:val="0"/>
                <w:sz w:val="24"/>
                <w:highlight w:val="none"/>
                <w:lang w:val="zh-CN"/>
              </w:rPr>
            </w:pPr>
            <w:r>
              <w:rPr>
                <w:kern w:val="0"/>
                <w:sz w:val="24"/>
                <w:highlight w:val="none"/>
                <w:lang w:val="zh-CN"/>
              </w:rPr>
              <w:t>监测时间：20</w:t>
            </w:r>
            <w:r>
              <w:rPr>
                <w:kern w:val="0"/>
                <w:sz w:val="24"/>
                <w:highlight w:val="none"/>
              </w:rPr>
              <w:t>2</w:t>
            </w:r>
            <w:r>
              <w:rPr>
                <w:rFonts w:hint="eastAsia"/>
                <w:kern w:val="0"/>
                <w:sz w:val="24"/>
                <w:highlight w:val="none"/>
              </w:rPr>
              <w:t>2</w:t>
            </w:r>
            <w:r>
              <w:rPr>
                <w:kern w:val="0"/>
                <w:sz w:val="24"/>
                <w:highlight w:val="none"/>
                <w:lang w:val="zh-CN"/>
              </w:rPr>
              <w:t>年</w:t>
            </w:r>
            <w:r>
              <w:rPr>
                <w:kern w:val="0"/>
                <w:sz w:val="24"/>
                <w:highlight w:val="none"/>
              </w:rPr>
              <w:t>06</w:t>
            </w:r>
            <w:r>
              <w:rPr>
                <w:kern w:val="0"/>
                <w:sz w:val="24"/>
                <w:highlight w:val="none"/>
                <w:lang w:val="zh-CN"/>
              </w:rPr>
              <w:t>月</w:t>
            </w:r>
            <w:r>
              <w:rPr>
                <w:rFonts w:hint="eastAsia"/>
                <w:kern w:val="0"/>
                <w:sz w:val="24"/>
                <w:highlight w:val="none"/>
              </w:rPr>
              <w:t>2</w:t>
            </w:r>
            <w:r>
              <w:rPr>
                <w:kern w:val="0"/>
                <w:sz w:val="24"/>
                <w:highlight w:val="none"/>
              </w:rPr>
              <w:t>4</w:t>
            </w:r>
            <w:r>
              <w:rPr>
                <w:kern w:val="0"/>
                <w:sz w:val="24"/>
                <w:highlight w:val="none"/>
                <w:lang w:val="zh-CN"/>
              </w:rPr>
              <w:t>~</w:t>
            </w:r>
            <w:r>
              <w:rPr>
                <w:rFonts w:hint="eastAsia"/>
                <w:kern w:val="0"/>
                <w:sz w:val="24"/>
                <w:highlight w:val="none"/>
              </w:rPr>
              <w:t>2</w:t>
            </w:r>
            <w:r>
              <w:rPr>
                <w:kern w:val="0"/>
                <w:sz w:val="24"/>
                <w:highlight w:val="none"/>
              </w:rPr>
              <w:t>6</w:t>
            </w:r>
            <w:r>
              <w:rPr>
                <w:kern w:val="0"/>
                <w:sz w:val="24"/>
                <w:highlight w:val="none"/>
                <w:lang w:val="zh-CN"/>
              </w:rPr>
              <w:t>日，连续监测</w:t>
            </w:r>
            <w:r>
              <w:rPr>
                <w:rFonts w:hint="eastAsia"/>
                <w:kern w:val="0"/>
                <w:sz w:val="24"/>
                <w:highlight w:val="none"/>
              </w:rPr>
              <w:t>3天</w:t>
            </w:r>
            <w:r>
              <w:rPr>
                <w:kern w:val="0"/>
                <w:sz w:val="24"/>
                <w:highlight w:val="none"/>
                <w:lang w:val="zh-CN"/>
              </w:rPr>
              <w:t>。</w:t>
            </w:r>
          </w:p>
          <w:p>
            <w:pPr>
              <w:spacing w:line="360" w:lineRule="auto"/>
              <w:ind w:firstLine="480" w:firstLineChars="200"/>
              <w:rPr>
                <w:kern w:val="0"/>
                <w:sz w:val="24"/>
                <w:highlight w:val="none"/>
                <w:lang w:val="zh-CN"/>
              </w:rPr>
            </w:pPr>
            <w:r>
              <w:rPr>
                <w:kern w:val="0"/>
                <w:sz w:val="24"/>
                <w:highlight w:val="none"/>
                <w:lang w:val="zh-CN"/>
              </w:rPr>
              <w:fldChar w:fldCharType="begin"/>
            </w:r>
            <w:r>
              <w:rPr>
                <w:kern w:val="0"/>
                <w:sz w:val="24"/>
                <w:highlight w:val="none"/>
                <w:lang w:val="zh-CN"/>
              </w:rPr>
              <w:instrText xml:space="preserve"> = 3 \* GB3 \* MERGEFORMAT </w:instrText>
            </w:r>
            <w:r>
              <w:rPr>
                <w:kern w:val="0"/>
                <w:sz w:val="24"/>
                <w:highlight w:val="none"/>
                <w:lang w:val="zh-CN"/>
              </w:rPr>
              <w:fldChar w:fldCharType="separate"/>
            </w:r>
            <w:r>
              <w:rPr>
                <w:highlight w:val="none"/>
              </w:rPr>
              <w:t>③</w:t>
            </w:r>
            <w:r>
              <w:rPr>
                <w:kern w:val="0"/>
                <w:sz w:val="24"/>
                <w:highlight w:val="none"/>
                <w:lang w:val="zh-CN"/>
              </w:rPr>
              <w:fldChar w:fldCharType="end"/>
            </w:r>
            <w:r>
              <w:rPr>
                <w:kern w:val="0"/>
                <w:sz w:val="24"/>
                <w:highlight w:val="none"/>
                <w:lang w:val="zh-CN"/>
              </w:rPr>
              <w:t>监测点位</w:t>
            </w:r>
          </w:p>
          <w:p>
            <w:pPr>
              <w:spacing w:line="360" w:lineRule="auto"/>
              <w:ind w:firstLine="480" w:firstLineChars="200"/>
              <w:rPr>
                <w:kern w:val="0"/>
                <w:sz w:val="24"/>
                <w:highlight w:val="none"/>
                <w:lang w:val="zh-CN"/>
              </w:rPr>
            </w:pPr>
            <w:r>
              <w:rPr>
                <w:kern w:val="0"/>
                <w:sz w:val="24"/>
                <w:highlight w:val="none"/>
                <w:lang w:val="zh-CN"/>
              </w:rPr>
              <w:t>监测点位置具体见表</w:t>
            </w:r>
            <w:r>
              <w:rPr>
                <w:kern w:val="0"/>
                <w:sz w:val="24"/>
                <w:highlight w:val="none"/>
              </w:rPr>
              <w:t>3</w:t>
            </w:r>
            <w:r>
              <w:rPr>
                <w:kern w:val="0"/>
                <w:sz w:val="24"/>
                <w:highlight w:val="none"/>
                <w:lang w:val="zh-CN"/>
              </w:rPr>
              <w:t>-2和图</w:t>
            </w:r>
            <w:r>
              <w:rPr>
                <w:kern w:val="0"/>
                <w:sz w:val="24"/>
                <w:highlight w:val="none"/>
              </w:rPr>
              <w:t>3</w:t>
            </w:r>
            <w:r>
              <w:rPr>
                <w:kern w:val="0"/>
                <w:sz w:val="24"/>
                <w:highlight w:val="none"/>
                <w:lang w:val="zh-CN"/>
              </w:rPr>
              <w:t>-1。</w:t>
            </w:r>
          </w:p>
          <w:p>
            <w:pPr>
              <w:jc w:val="center"/>
              <w:rPr>
                <w:b/>
                <w:szCs w:val="21"/>
                <w:highlight w:val="none"/>
              </w:rPr>
            </w:pPr>
            <w:r>
              <w:rPr>
                <w:b/>
                <w:szCs w:val="21"/>
                <w:highlight w:val="none"/>
              </w:rPr>
              <w:t>表3-2 项目环境空气现状监测布点一览表</w:t>
            </w:r>
          </w:p>
          <w:tbl>
            <w:tblPr>
              <w:tblStyle w:val="2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1394"/>
              <w:gridCol w:w="1246"/>
              <w:gridCol w:w="1313"/>
              <w:gridCol w:w="1744"/>
              <w:gridCol w:w="996"/>
              <w:gridCol w:w="12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vMerge w:val="restart"/>
                  <w:tcBorders>
                    <w:tl2br w:val="nil"/>
                    <w:tr2bl w:val="nil"/>
                  </w:tcBorders>
                  <w:vAlign w:val="center"/>
                </w:tcPr>
                <w:p>
                  <w:pPr>
                    <w:jc w:val="center"/>
                    <w:rPr>
                      <w:szCs w:val="21"/>
                      <w:highlight w:val="none"/>
                    </w:rPr>
                  </w:pPr>
                  <w:r>
                    <w:rPr>
                      <w:szCs w:val="21"/>
                      <w:highlight w:val="none"/>
                    </w:rPr>
                    <w:t>编号</w:t>
                  </w:r>
                </w:p>
              </w:tc>
              <w:tc>
                <w:tcPr>
                  <w:tcW w:w="808" w:type="pct"/>
                  <w:vMerge w:val="restart"/>
                  <w:tcBorders>
                    <w:tl2br w:val="nil"/>
                    <w:tr2bl w:val="nil"/>
                  </w:tcBorders>
                  <w:vAlign w:val="center"/>
                </w:tcPr>
                <w:p>
                  <w:pPr>
                    <w:jc w:val="center"/>
                    <w:rPr>
                      <w:szCs w:val="21"/>
                      <w:highlight w:val="none"/>
                    </w:rPr>
                  </w:pPr>
                  <w:r>
                    <w:rPr>
                      <w:szCs w:val="21"/>
                      <w:highlight w:val="none"/>
                    </w:rPr>
                    <w:t>监测点名称</w:t>
                  </w:r>
                </w:p>
              </w:tc>
              <w:tc>
                <w:tcPr>
                  <w:tcW w:w="1483" w:type="pct"/>
                  <w:gridSpan w:val="2"/>
                  <w:tcBorders>
                    <w:tl2br w:val="nil"/>
                    <w:tr2bl w:val="nil"/>
                  </w:tcBorders>
                  <w:vAlign w:val="center"/>
                </w:tcPr>
                <w:p>
                  <w:pPr>
                    <w:jc w:val="center"/>
                    <w:rPr>
                      <w:szCs w:val="21"/>
                      <w:highlight w:val="none"/>
                    </w:rPr>
                  </w:pPr>
                  <w:r>
                    <w:rPr>
                      <w:szCs w:val="21"/>
                      <w:highlight w:val="none"/>
                    </w:rPr>
                    <w:t>监测点坐标/°</w:t>
                  </w:r>
                </w:p>
              </w:tc>
              <w:tc>
                <w:tcPr>
                  <w:tcW w:w="1011" w:type="pct"/>
                  <w:vMerge w:val="restart"/>
                  <w:tcBorders>
                    <w:tl2br w:val="nil"/>
                    <w:tr2bl w:val="nil"/>
                  </w:tcBorders>
                  <w:vAlign w:val="center"/>
                </w:tcPr>
                <w:p>
                  <w:pPr>
                    <w:jc w:val="center"/>
                    <w:rPr>
                      <w:szCs w:val="21"/>
                      <w:highlight w:val="none"/>
                    </w:rPr>
                  </w:pPr>
                  <w:r>
                    <w:rPr>
                      <w:szCs w:val="21"/>
                      <w:highlight w:val="none"/>
                    </w:rPr>
                    <w:t>监测因子</w:t>
                  </w:r>
                </w:p>
              </w:tc>
              <w:tc>
                <w:tcPr>
                  <w:tcW w:w="578" w:type="pct"/>
                  <w:vMerge w:val="restart"/>
                  <w:tcBorders>
                    <w:tl2br w:val="nil"/>
                    <w:tr2bl w:val="nil"/>
                  </w:tcBorders>
                  <w:vAlign w:val="center"/>
                </w:tcPr>
                <w:p>
                  <w:pPr>
                    <w:jc w:val="center"/>
                    <w:rPr>
                      <w:szCs w:val="21"/>
                      <w:highlight w:val="none"/>
                    </w:rPr>
                  </w:pPr>
                  <w:r>
                    <w:rPr>
                      <w:szCs w:val="21"/>
                      <w:highlight w:val="none"/>
                    </w:rPr>
                    <w:t>相对厂址方位</w:t>
                  </w:r>
                </w:p>
              </w:tc>
              <w:tc>
                <w:tcPr>
                  <w:tcW w:w="719" w:type="pct"/>
                  <w:vMerge w:val="restart"/>
                  <w:tcBorders>
                    <w:tl2br w:val="nil"/>
                    <w:tr2bl w:val="nil"/>
                  </w:tcBorders>
                  <w:vAlign w:val="center"/>
                </w:tcPr>
                <w:p>
                  <w:pPr>
                    <w:jc w:val="center"/>
                    <w:rPr>
                      <w:szCs w:val="21"/>
                      <w:highlight w:val="none"/>
                    </w:rPr>
                  </w:pPr>
                  <w:r>
                    <w:rPr>
                      <w:szCs w:val="21"/>
                      <w:highlight w:val="none"/>
                    </w:rPr>
                    <w:t>相对厂界</w:t>
                  </w:r>
                </w:p>
                <w:p>
                  <w:pPr>
                    <w:jc w:val="center"/>
                    <w:rPr>
                      <w:szCs w:val="21"/>
                      <w:highlight w:val="none"/>
                    </w:rPr>
                  </w:pPr>
                  <w:r>
                    <w:rPr>
                      <w:szCs w:val="21"/>
                      <w:highlight w:val="none"/>
                    </w:rPr>
                    <w:t>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vMerge w:val="continue"/>
                  <w:tcBorders>
                    <w:tl2br w:val="nil"/>
                    <w:tr2bl w:val="nil"/>
                  </w:tcBorders>
                  <w:vAlign w:val="center"/>
                </w:tcPr>
                <w:p>
                  <w:pPr>
                    <w:jc w:val="center"/>
                    <w:rPr>
                      <w:szCs w:val="21"/>
                      <w:highlight w:val="none"/>
                    </w:rPr>
                  </w:pPr>
                </w:p>
              </w:tc>
              <w:tc>
                <w:tcPr>
                  <w:tcW w:w="808" w:type="pct"/>
                  <w:vMerge w:val="continue"/>
                  <w:tcBorders>
                    <w:tl2br w:val="nil"/>
                    <w:tr2bl w:val="nil"/>
                  </w:tcBorders>
                  <w:vAlign w:val="center"/>
                </w:tcPr>
                <w:p>
                  <w:pPr>
                    <w:jc w:val="center"/>
                    <w:rPr>
                      <w:szCs w:val="21"/>
                      <w:highlight w:val="none"/>
                    </w:rPr>
                  </w:pPr>
                </w:p>
              </w:tc>
              <w:tc>
                <w:tcPr>
                  <w:tcW w:w="722" w:type="pct"/>
                  <w:tcBorders>
                    <w:tl2br w:val="nil"/>
                    <w:tr2bl w:val="nil"/>
                  </w:tcBorders>
                  <w:vAlign w:val="center"/>
                </w:tcPr>
                <w:p>
                  <w:pPr>
                    <w:jc w:val="center"/>
                    <w:rPr>
                      <w:szCs w:val="21"/>
                      <w:highlight w:val="none"/>
                    </w:rPr>
                  </w:pPr>
                  <w:r>
                    <w:rPr>
                      <w:szCs w:val="21"/>
                      <w:highlight w:val="none"/>
                    </w:rPr>
                    <w:t>经度</w:t>
                  </w:r>
                </w:p>
              </w:tc>
              <w:tc>
                <w:tcPr>
                  <w:tcW w:w="760" w:type="pct"/>
                  <w:tcBorders>
                    <w:tl2br w:val="nil"/>
                    <w:tr2bl w:val="nil"/>
                  </w:tcBorders>
                  <w:vAlign w:val="center"/>
                </w:tcPr>
                <w:p>
                  <w:pPr>
                    <w:jc w:val="center"/>
                    <w:rPr>
                      <w:szCs w:val="21"/>
                      <w:highlight w:val="none"/>
                    </w:rPr>
                  </w:pPr>
                  <w:r>
                    <w:rPr>
                      <w:szCs w:val="21"/>
                      <w:highlight w:val="none"/>
                    </w:rPr>
                    <w:t>纬度</w:t>
                  </w:r>
                </w:p>
              </w:tc>
              <w:tc>
                <w:tcPr>
                  <w:tcW w:w="1011" w:type="pct"/>
                  <w:vMerge w:val="continue"/>
                  <w:tcBorders>
                    <w:tl2br w:val="nil"/>
                    <w:tr2bl w:val="nil"/>
                  </w:tcBorders>
                  <w:vAlign w:val="center"/>
                </w:tcPr>
                <w:p>
                  <w:pPr>
                    <w:jc w:val="center"/>
                    <w:rPr>
                      <w:szCs w:val="21"/>
                      <w:highlight w:val="none"/>
                    </w:rPr>
                  </w:pPr>
                </w:p>
              </w:tc>
              <w:tc>
                <w:tcPr>
                  <w:tcW w:w="578" w:type="pct"/>
                  <w:vMerge w:val="continue"/>
                  <w:tcBorders>
                    <w:tl2br w:val="nil"/>
                    <w:tr2bl w:val="nil"/>
                  </w:tcBorders>
                  <w:vAlign w:val="center"/>
                </w:tcPr>
                <w:p>
                  <w:pPr>
                    <w:jc w:val="center"/>
                    <w:rPr>
                      <w:szCs w:val="21"/>
                      <w:highlight w:val="none"/>
                    </w:rPr>
                  </w:pPr>
                </w:p>
              </w:tc>
              <w:tc>
                <w:tcPr>
                  <w:tcW w:w="719" w:type="pct"/>
                  <w:vMerge w:val="continue"/>
                  <w:tcBorders>
                    <w:tl2br w:val="nil"/>
                    <w:tr2bl w:val="nil"/>
                  </w:tcBorders>
                  <w:vAlign w:val="center"/>
                </w:tcPr>
                <w:p>
                  <w:pPr>
                    <w:jc w:val="center"/>
                    <w:rPr>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98" w:type="pct"/>
                  <w:tcBorders>
                    <w:tl2br w:val="nil"/>
                    <w:tr2bl w:val="nil"/>
                  </w:tcBorders>
                  <w:vAlign w:val="center"/>
                </w:tcPr>
                <w:p>
                  <w:pPr>
                    <w:jc w:val="center"/>
                    <w:rPr>
                      <w:szCs w:val="21"/>
                      <w:highlight w:val="none"/>
                    </w:rPr>
                  </w:pPr>
                  <w:r>
                    <w:rPr>
                      <w:szCs w:val="21"/>
                      <w:highlight w:val="none"/>
                    </w:rPr>
                    <w:t>G1</w:t>
                  </w:r>
                </w:p>
              </w:tc>
              <w:tc>
                <w:tcPr>
                  <w:tcW w:w="808" w:type="pct"/>
                  <w:tcBorders>
                    <w:tl2br w:val="nil"/>
                    <w:tr2bl w:val="nil"/>
                  </w:tcBorders>
                  <w:vAlign w:val="center"/>
                </w:tcPr>
                <w:p>
                  <w:pPr>
                    <w:jc w:val="center"/>
                    <w:rPr>
                      <w:szCs w:val="21"/>
                      <w:highlight w:val="none"/>
                    </w:rPr>
                  </w:pPr>
                  <w:r>
                    <w:rPr>
                      <w:szCs w:val="21"/>
                      <w:highlight w:val="none"/>
                    </w:rPr>
                    <w:t>项目东北侧</w:t>
                  </w:r>
                </w:p>
              </w:tc>
              <w:tc>
                <w:tcPr>
                  <w:tcW w:w="722" w:type="pct"/>
                  <w:tcBorders>
                    <w:tl2br w:val="nil"/>
                    <w:tr2bl w:val="nil"/>
                  </w:tcBorders>
                  <w:vAlign w:val="center"/>
                </w:tcPr>
                <w:p>
                  <w:pPr>
                    <w:jc w:val="center"/>
                    <w:rPr>
                      <w:szCs w:val="21"/>
                      <w:highlight w:val="none"/>
                    </w:rPr>
                  </w:pPr>
                  <w:r>
                    <w:rPr>
                      <w:szCs w:val="21"/>
                      <w:highlight w:val="none"/>
                    </w:rPr>
                    <w:t>131.34516299</w:t>
                  </w:r>
                </w:p>
              </w:tc>
              <w:tc>
                <w:tcPr>
                  <w:tcW w:w="760" w:type="pct"/>
                  <w:tcBorders>
                    <w:tl2br w:val="nil"/>
                    <w:tr2bl w:val="nil"/>
                  </w:tcBorders>
                  <w:vAlign w:val="center"/>
                </w:tcPr>
                <w:p>
                  <w:pPr>
                    <w:jc w:val="center"/>
                    <w:rPr>
                      <w:szCs w:val="21"/>
                      <w:highlight w:val="none"/>
                    </w:rPr>
                  </w:pPr>
                  <w:r>
                    <w:rPr>
                      <w:szCs w:val="21"/>
                      <w:highlight w:val="none"/>
                    </w:rPr>
                    <w:t>46.65425997</w:t>
                  </w:r>
                </w:p>
              </w:tc>
              <w:tc>
                <w:tcPr>
                  <w:tcW w:w="1011" w:type="pct"/>
                  <w:tcBorders>
                    <w:tl2br w:val="nil"/>
                    <w:tr2bl w:val="nil"/>
                  </w:tcBorders>
                  <w:vAlign w:val="center"/>
                </w:tcPr>
                <w:p>
                  <w:pPr>
                    <w:jc w:val="center"/>
                    <w:rPr>
                      <w:szCs w:val="21"/>
                      <w:highlight w:val="none"/>
                    </w:rPr>
                  </w:pPr>
                  <w:r>
                    <w:rPr>
                      <w:szCs w:val="21"/>
                      <w:highlight w:val="none"/>
                    </w:rPr>
                    <w:t>氨、硫化氢、TSP</w:t>
                  </w:r>
                </w:p>
              </w:tc>
              <w:tc>
                <w:tcPr>
                  <w:tcW w:w="578" w:type="pct"/>
                  <w:tcBorders>
                    <w:tl2br w:val="nil"/>
                    <w:tr2bl w:val="nil"/>
                  </w:tcBorders>
                  <w:vAlign w:val="center"/>
                </w:tcPr>
                <w:p>
                  <w:pPr>
                    <w:jc w:val="center"/>
                    <w:rPr>
                      <w:szCs w:val="21"/>
                      <w:highlight w:val="none"/>
                    </w:rPr>
                  </w:pPr>
                  <w:r>
                    <w:rPr>
                      <w:szCs w:val="21"/>
                      <w:highlight w:val="none"/>
                    </w:rPr>
                    <w:t>东北</w:t>
                  </w:r>
                </w:p>
              </w:tc>
              <w:tc>
                <w:tcPr>
                  <w:tcW w:w="719" w:type="pct"/>
                  <w:tcBorders>
                    <w:tl2br w:val="nil"/>
                    <w:tr2bl w:val="nil"/>
                  </w:tcBorders>
                  <w:vAlign w:val="center"/>
                </w:tcPr>
                <w:p>
                  <w:pPr>
                    <w:jc w:val="center"/>
                    <w:rPr>
                      <w:szCs w:val="21"/>
                      <w:highlight w:val="none"/>
                    </w:rPr>
                  </w:pPr>
                  <w:r>
                    <w:rPr>
                      <w:rFonts w:hint="eastAsia"/>
                      <w:szCs w:val="21"/>
                      <w:highlight w:val="none"/>
                    </w:rPr>
                    <w:t>40</w:t>
                  </w:r>
                </w:p>
              </w:tc>
            </w:tr>
          </w:tbl>
          <w:p>
            <w:pPr>
              <w:pStyle w:val="27"/>
              <w:adjustRightInd w:val="0"/>
              <w:spacing w:before="0" w:after="0" w:line="360" w:lineRule="auto"/>
              <w:ind w:right="0" w:firstLine="0" w:firstLineChars="0"/>
              <w:jc w:val="center"/>
              <w:rPr>
                <w:highlight w:val="none"/>
              </w:rPr>
            </w:pPr>
          </w:p>
          <w:p>
            <w:pPr>
              <w:pStyle w:val="27"/>
              <w:adjustRightInd w:val="0"/>
              <w:spacing w:before="0" w:after="0" w:line="360" w:lineRule="auto"/>
              <w:ind w:right="0" w:firstLine="0" w:firstLineChars="0"/>
              <w:jc w:val="center"/>
              <w:rPr>
                <w:sz w:val="24"/>
                <w:szCs w:val="24"/>
                <w:highlight w:val="none"/>
                <w:lang w:val="zh-CN"/>
              </w:rPr>
            </w:pPr>
            <w:r>
              <w:rPr>
                <w:highlight w:val="none"/>
              </w:rPr>
              <w:drawing>
                <wp:inline distT="0" distB="0" distL="0" distR="0">
                  <wp:extent cx="3790950" cy="27813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a:stretch>
                            <a:fillRect/>
                          </a:stretch>
                        </pic:blipFill>
                        <pic:spPr>
                          <a:xfrm>
                            <a:off x="0" y="0"/>
                            <a:ext cx="3790950" cy="2781300"/>
                          </a:xfrm>
                          <a:prstGeom prst="rect">
                            <a:avLst/>
                          </a:prstGeom>
                        </pic:spPr>
                      </pic:pic>
                    </a:graphicData>
                  </a:graphic>
                </wp:inline>
              </w:drawing>
            </w:r>
          </w:p>
          <w:p>
            <w:pPr>
              <w:adjustRightInd w:val="0"/>
              <w:snapToGrid w:val="0"/>
              <w:jc w:val="center"/>
              <w:rPr>
                <w:sz w:val="24"/>
                <w:highlight w:val="none"/>
                <w:lang w:val="zh-CN"/>
              </w:rPr>
            </w:pPr>
            <w:r>
              <w:rPr>
                <w:b/>
                <w:szCs w:val="21"/>
                <w:highlight w:val="none"/>
              </w:rPr>
              <w:t>图3-1  项目环境空气现状监测布点图</w:t>
            </w:r>
          </w:p>
          <w:p>
            <w:pPr>
              <w:spacing w:line="360" w:lineRule="auto"/>
              <w:ind w:firstLine="480" w:firstLineChars="200"/>
              <w:rPr>
                <w:sz w:val="24"/>
                <w:highlight w:val="none"/>
              </w:rPr>
            </w:pPr>
            <w:r>
              <w:rPr>
                <w:sz w:val="24"/>
                <w:highlight w:val="none"/>
              </w:rPr>
              <w:t>⑤监测结果</w:t>
            </w:r>
          </w:p>
          <w:p>
            <w:pPr>
              <w:spacing w:line="360" w:lineRule="auto"/>
              <w:ind w:firstLine="480" w:firstLineChars="200"/>
              <w:rPr>
                <w:sz w:val="24"/>
                <w:highlight w:val="none"/>
              </w:rPr>
            </w:pPr>
            <w:r>
              <w:rPr>
                <w:sz w:val="24"/>
                <w:highlight w:val="none"/>
              </w:rPr>
              <w:t>本次环境空气质量现状监测结果见表3-3。</w:t>
            </w:r>
          </w:p>
          <w:p>
            <w:pPr>
              <w:jc w:val="center"/>
              <w:rPr>
                <w:b/>
                <w:kern w:val="0"/>
                <w:szCs w:val="21"/>
                <w:highlight w:val="none"/>
              </w:rPr>
            </w:pPr>
            <w:r>
              <w:rPr>
                <w:b/>
                <w:kern w:val="0"/>
                <w:szCs w:val="21"/>
                <w:highlight w:val="none"/>
              </w:rPr>
              <w:t>表3-3  环境空气质量现状监测结果</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64"/>
              <w:gridCol w:w="652"/>
              <w:gridCol w:w="691"/>
              <w:gridCol w:w="1058"/>
              <w:gridCol w:w="910"/>
              <w:gridCol w:w="1092"/>
              <w:gridCol w:w="1077"/>
              <w:gridCol w:w="932"/>
              <w:gridCol w:w="789"/>
              <w:gridCol w:w="7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386" w:type="pct"/>
                  <w:vMerge w:val="restart"/>
                  <w:vAlign w:val="center"/>
                </w:tcPr>
                <w:p>
                  <w:pPr>
                    <w:pStyle w:val="108"/>
                    <w:jc w:val="center"/>
                    <w:rPr>
                      <w:rFonts w:ascii="Times New Roman" w:hAnsi="Times New Roman"/>
                      <w:szCs w:val="21"/>
                      <w:highlight w:val="none"/>
                    </w:rPr>
                  </w:pPr>
                  <w:r>
                    <w:rPr>
                      <w:rFonts w:ascii="Times New Roman" w:hAnsi="Times New Roman"/>
                      <w:szCs w:val="21"/>
                      <w:highlight w:val="none"/>
                    </w:rPr>
                    <w:t>监测</w:t>
                  </w:r>
                </w:p>
                <w:p>
                  <w:pPr>
                    <w:pStyle w:val="108"/>
                    <w:jc w:val="center"/>
                    <w:rPr>
                      <w:rFonts w:ascii="Times New Roman" w:hAnsi="Times New Roman"/>
                      <w:szCs w:val="21"/>
                      <w:highlight w:val="none"/>
                    </w:rPr>
                  </w:pPr>
                  <w:r>
                    <w:rPr>
                      <w:rFonts w:ascii="Times New Roman" w:hAnsi="Times New Roman"/>
                      <w:szCs w:val="21"/>
                      <w:highlight w:val="none"/>
                    </w:rPr>
                    <w:t>点位</w:t>
                  </w:r>
                </w:p>
              </w:tc>
              <w:tc>
                <w:tcPr>
                  <w:tcW w:w="780" w:type="pct"/>
                  <w:gridSpan w:val="2"/>
                  <w:vAlign w:val="center"/>
                </w:tcPr>
                <w:p>
                  <w:pPr>
                    <w:jc w:val="center"/>
                    <w:rPr>
                      <w:szCs w:val="21"/>
                      <w:highlight w:val="none"/>
                    </w:rPr>
                  </w:pPr>
                  <w:r>
                    <w:rPr>
                      <w:szCs w:val="21"/>
                      <w:highlight w:val="none"/>
                    </w:rPr>
                    <w:t>监测点坐标/°</w:t>
                  </w:r>
                </w:p>
              </w:tc>
              <w:tc>
                <w:tcPr>
                  <w:tcW w:w="613" w:type="pct"/>
                  <w:vMerge w:val="restart"/>
                  <w:vAlign w:val="center"/>
                </w:tcPr>
                <w:p>
                  <w:pPr>
                    <w:pStyle w:val="108"/>
                    <w:jc w:val="center"/>
                    <w:rPr>
                      <w:rFonts w:ascii="Times New Roman" w:hAnsi="Times New Roman"/>
                      <w:szCs w:val="21"/>
                      <w:highlight w:val="none"/>
                    </w:rPr>
                  </w:pPr>
                  <w:r>
                    <w:rPr>
                      <w:rFonts w:ascii="Times New Roman" w:hAnsi="Times New Roman"/>
                      <w:szCs w:val="21"/>
                      <w:highlight w:val="none"/>
                    </w:rPr>
                    <w:t>污染物</w:t>
                  </w:r>
                </w:p>
              </w:tc>
              <w:tc>
                <w:tcPr>
                  <w:tcW w:w="527" w:type="pct"/>
                  <w:vMerge w:val="restart"/>
                  <w:vAlign w:val="center"/>
                </w:tcPr>
                <w:p>
                  <w:pPr>
                    <w:pStyle w:val="108"/>
                    <w:jc w:val="center"/>
                    <w:rPr>
                      <w:rFonts w:ascii="Times New Roman" w:hAnsi="Times New Roman"/>
                      <w:szCs w:val="21"/>
                      <w:highlight w:val="none"/>
                    </w:rPr>
                  </w:pPr>
                  <w:r>
                    <w:rPr>
                      <w:rFonts w:ascii="Times New Roman" w:hAnsi="Times New Roman"/>
                      <w:szCs w:val="21"/>
                      <w:highlight w:val="none"/>
                    </w:rPr>
                    <w:t>平均时间</w:t>
                  </w:r>
                </w:p>
              </w:tc>
              <w:tc>
                <w:tcPr>
                  <w:tcW w:w="633" w:type="pct"/>
                  <w:vMerge w:val="restart"/>
                  <w:vAlign w:val="center"/>
                </w:tcPr>
                <w:p>
                  <w:pPr>
                    <w:pStyle w:val="108"/>
                    <w:jc w:val="center"/>
                    <w:rPr>
                      <w:rFonts w:ascii="Times New Roman" w:hAnsi="Times New Roman"/>
                      <w:szCs w:val="21"/>
                      <w:highlight w:val="none"/>
                    </w:rPr>
                  </w:pPr>
                  <w:r>
                    <w:rPr>
                      <w:rFonts w:ascii="Times New Roman" w:hAnsi="Times New Roman"/>
                      <w:szCs w:val="21"/>
                      <w:highlight w:val="none"/>
                    </w:rPr>
                    <w:t>评价标准</w:t>
                  </w:r>
                </w:p>
                <w:p>
                  <w:pPr>
                    <w:pStyle w:val="108"/>
                    <w:jc w:val="center"/>
                    <w:rPr>
                      <w:rFonts w:ascii="Times New Roman" w:hAnsi="Times New Roman"/>
                      <w:szCs w:val="21"/>
                      <w:highlight w:val="none"/>
                    </w:rPr>
                  </w:pPr>
                  <w:r>
                    <w:rPr>
                      <w:rFonts w:ascii="Times New Roman" w:hAnsi="Times New Roman"/>
                      <w:szCs w:val="21"/>
                      <w:highlight w:val="none"/>
                    </w:rPr>
                    <w:t>（μg/m</w:t>
                  </w:r>
                  <w:r>
                    <w:rPr>
                      <w:rFonts w:ascii="Times New Roman" w:hAnsi="Times New Roman"/>
                      <w:szCs w:val="21"/>
                      <w:highlight w:val="none"/>
                      <w:vertAlign w:val="superscript"/>
                    </w:rPr>
                    <w:t>3</w:t>
                  </w:r>
                  <w:r>
                    <w:rPr>
                      <w:rFonts w:ascii="Times New Roman" w:hAnsi="Times New Roman"/>
                      <w:szCs w:val="21"/>
                      <w:highlight w:val="none"/>
                    </w:rPr>
                    <w:t>）</w:t>
                  </w:r>
                </w:p>
              </w:tc>
              <w:tc>
                <w:tcPr>
                  <w:tcW w:w="624" w:type="pct"/>
                  <w:vMerge w:val="restart"/>
                  <w:vAlign w:val="center"/>
                </w:tcPr>
                <w:p>
                  <w:pPr>
                    <w:pStyle w:val="108"/>
                    <w:jc w:val="center"/>
                    <w:rPr>
                      <w:rFonts w:ascii="Times New Roman" w:hAnsi="Times New Roman"/>
                      <w:szCs w:val="21"/>
                      <w:highlight w:val="none"/>
                    </w:rPr>
                  </w:pPr>
                  <w:r>
                    <w:rPr>
                      <w:rFonts w:ascii="Times New Roman" w:hAnsi="Times New Roman"/>
                      <w:szCs w:val="21"/>
                      <w:highlight w:val="none"/>
                    </w:rPr>
                    <w:t>监测浓度范围（μg/m</w:t>
                  </w:r>
                  <w:r>
                    <w:rPr>
                      <w:rFonts w:ascii="Times New Roman" w:hAnsi="Times New Roman"/>
                      <w:szCs w:val="21"/>
                      <w:highlight w:val="none"/>
                      <w:vertAlign w:val="superscript"/>
                    </w:rPr>
                    <w:t>3</w:t>
                  </w:r>
                  <w:r>
                    <w:rPr>
                      <w:rFonts w:ascii="Times New Roman" w:hAnsi="Times New Roman"/>
                      <w:szCs w:val="21"/>
                      <w:highlight w:val="none"/>
                    </w:rPr>
                    <w:t>）</w:t>
                  </w:r>
                </w:p>
              </w:tc>
              <w:tc>
                <w:tcPr>
                  <w:tcW w:w="540" w:type="pct"/>
                  <w:vMerge w:val="restart"/>
                  <w:vAlign w:val="center"/>
                </w:tcPr>
                <w:p>
                  <w:pPr>
                    <w:pStyle w:val="108"/>
                    <w:jc w:val="center"/>
                    <w:rPr>
                      <w:rFonts w:ascii="Times New Roman" w:hAnsi="Times New Roman"/>
                      <w:szCs w:val="21"/>
                      <w:highlight w:val="none"/>
                    </w:rPr>
                  </w:pPr>
                  <w:r>
                    <w:rPr>
                      <w:rFonts w:ascii="Times New Roman" w:hAnsi="Times New Roman"/>
                      <w:szCs w:val="21"/>
                      <w:highlight w:val="none"/>
                    </w:rPr>
                    <w:t>最大浓度占标比（%）</w:t>
                  </w:r>
                </w:p>
              </w:tc>
              <w:tc>
                <w:tcPr>
                  <w:tcW w:w="458" w:type="pct"/>
                  <w:vMerge w:val="restart"/>
                  <w:vAlign w:val="center"/>
                </w:tcPr>
                <w:p>
                  <w:pPr>
                    <w:pStyle w:val="108"/>
                    <w:jc w:val="center"/>
                    <w:rPr>
                      <w:rFonts w:ascii="Times New Roman" w:hAnsi="Times New Roman"/>
                      <w:szCs w:val="21"/>
                      <w:highlight w:val="none"/>
                    </w:rPr>
                  </w:pPr>
                  <w:r>
                    <w:rPr>
                      <w:rFonts w:ascii="Times New Roman" w:hAnsi="Times New Roman"/>
                      <w:szCs w:val="21"/>
                      <w:highlight w:val="none"/>
                    </w:rPr>
                    <w:t>超标率（%）</w:t>
                  </w:r>
                </w:p>
              </w:tc>
              <w:tc>
                <w:tcPr>
                  <w:tcW w:w="434" w:type="pct"/>
                  <w:vMerge w:val="restart"/>
                  <w:vAlign w:val="center"/>
                </w:tcPr>
                <w:p>
                  <w:pPr>
                    <w:pStyle w:val="108"/>
                    <w:jc w:val="center"/>
                    <w:rPr>
                      <w:rFonts w:ascii="Times New Roman" w:hAnsi="Times New Roman"/>
                      <w:szCs w:val="21"/>
                      <w:highlight w:val="none"/>
                    </w:rPr>
                  </w:pPr>
                  <w:r>
                    <w:rPr>
                      <w:rFonts w:ascii="Times New Roman" w:hAnsi="Times New Roman"/>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386" w:type="pct"/>
                  <w:vMerge w:val="continue"/>
                  <w:vAlign w:val="center"/>
                </w:tcPr>
                <w:p>
                  <w:pPr>
                    <w:pStyle w:val="108"/>
                    <w:jc w:val="center"/>
                    <w:rPr>
                      <w:rFonts w:ascii="Times New Roman" w:hAnsi="Times New Roman"/>
                      <w:szCs w:val="21"/>
                      <w:highlight w:val="none"/>
                    </w:rPr>
                  </w:pPr>
                </w:p>
              </w:tc>
              <w:tc>
                <w:tcPr>
                  <w:tcW w:w="379" w:type="pct"/>
                  <w:vAlign w:val="center"/>
                </w:tcPr>
                <w:p>
                  <w:pPr>
                    <w:jc w:val="center"/>
                    <w:rPr>
                      <w:szCs w:val="21"/>
                      <w:highlight w:val="none"/>
                    </w:rPr>
                  </w:pPr>
                  <w:r>
                    <w:rPr>
                      <w:szCs w:val="21"/>
                      <w:highlight w:val="none"/>
                    </w:rPr>
                    <w:t>经度</w:t>
                  </w:r>
                </w:p>
              </w:tc>
              <w:tc>
                <w:tcPr>
                  <w:tcW w:w="400" w:type="pct"/>
                  <w:vAlign w:val="center"/>
                </w:tcPr>
                <w:p>
                  <w:pPr>
                    <w:jc w:val="center"/>
                    <w:rPr>
                      <w:szCs w:val="21"/>
                      <w:highlight w:val="none"/>
                    </w:rPr>
                  </w:pPr>
                  <w:r>
                    <w:rPr>
                      <w:szCs w:val="21"/>
                      <w:highlight w:val="none"/>
                    </w:rPr>
                    <w:t>纬度</w:t>
                  </w:r>
                </w:p>
              </w:tc>
              <w:tc>
                <w:tcPr>
                  <w:tcW w:w="613" w:type="pct"/>
                  <w:vMerge w:val="continue"/>
                  <w:vAlign w:val="center"/>
                </w:tcPr>
                <w:p>
                  <w:pPr>
                    <w:pStyle w:val="108"/>
                    <w:jc w:val="center"/>
                    <w:rPr>
                      <w:rFonts w:ascii="Times New Roman" w:hAnsi="Times New Roman"/>
                      <w:szCs w:val="21"/>
                      <w:highlight w:val="none"/>
                    </w:rPr>
                  </w:pPr>
                </w:p>
              </w:tc>
              <w:tc>
                <w:tcPr>
                  <w:tcW w:w="527" w:type="pct"/>
                  <w:vMerge w:val="continue"/>
                  <w:vAlign w:val="center"/>
                </w:tcPr>
                <w:p>
                  <w:pPr>
                    <w:pStyle w:val="108"/>
                    <w:jc w:val="center"/>
                    <w:rPr>
                      <w:rFonts w:ascii="Times New Roman" w:hAnsi="Times New Roman"/>
                      <w:szCs w:val="21"/>
                      <w:highlight w:val="none"/>
                    </w:rPr>
                  </w:pPr>
                </w:p>
              </w:tc>
              <w:tc>
                <w:tcPr>
                  <w:tcW w:w="633" w:type="pct"/>
                  <w:vMerge w:val="continue"/>
                  <w:vAlign w:val="center"/>
                </w:tcPr>
                <w:p>
                  <w:pPr>
                    <w:pStyle w:val="108"/>
                    <w:jc w:val="center"/>
                    <w:rPr>
                      <w:rFonts w:ascii="Times New Roman" w:hAnsi="Times New Roman"/>
                      <w:szCs w:val="21"/>
                      <w:highlight w:val="none"/>
                    </w:rPr>
                  </w:pPr>
                </w:p>
              </w:tc>
              <w:tc>
                <w:tcPr>
                  <w:tcW w:w="624" w:type="pct"/>
                  <w:vMerge w:val="continue"/>
                  <w:vAlign w:val="center"/>
                </w:tcPr>
                <w:p>
                  <w:pPr>
                    <w:pStyle w:val="108"/>
                    <w:jc w:val="center"/>
                    <w:rPr>
                      <w:rFonts w:ascii="Times New Roman" w:hAnsi="Times New Roman"/>
                      <w:szCs w:val="21"/>
                      <w:highlight w:val="none"/>
                    </w:rPr>
                  </w:pPr>
                </w:p>
              </w:tc>
              <w:tc>
                <w:tcPr>
                  <w:tcW w:w="540" w:type="pct"/>
                  <w:vMerge w:val="continue"/>
                  <w:vAlign w:val="center"/>
                </w:tcPr>
                <w:p>
                  <w:pPr>
                    <w:pStyle w:val="108"/>
                    <w:jc w:val="center"/>
                    <w:rPr>
                      <w:rFonts w:ascii="Times New Roman" w:hAnsi="Times New Roman"/>
                      <w:szCs w:val="21"/>
                      <w:highlight w:val="none"/>
                    </w:rPr>
                  </w:pPr>
                </w:p>
              </w:tc>
              <w:tc>
                <w:tcPr>
                  <w:tcW w:w="458" w:type="pct"/>
                  <w:vMerge w:val="continue"/>
                  <w:vAlign w:val="center"/>
                </w:tcPr>
                <w:p>
                  <w:pPr>
                    <w:pStyle w:val="108"/>
                    <w:jc w:val="center"/>
                    <w:rPr>
                      <w:rFonts w:ascii="Times New Roman" w:hAnsi="Times New Roman"/>
                      <w:szCs w:val="21"/>
                      <w:highlight w:val="none"/>
                    </w:rPr>
                  </w:pPr>
                </w:p>
              </w:tc>
              <w:tc>
                <w:tcPr>
                  <w:tcW w:w="434" w:type="pct"/>
                  <w:vMerge w:val="continue"/>
                  <w:vAlign w:val="center"/>
                </w:tcPr>
                <w:p>
                  <w:pPr>
                    <w:pStyle w:val="108"/>
                    <w:jc w:val="center"/>
                    <w:rPr>
                      <w:rFonts w:ascii="Times New Roman" w:hAnsi="Times New Roman"/>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6" w:type="pct"/>
                  <w:vMerge w:val="restart"/>
                  <w:vAlign w:val="center"/>
                </w:tcPr>
                <w:p>
                  <w:pPr>
                    <w:jc w:val="center"/>
                    <w:rPr>
                      <w:szCs w:val="21"/>
                      <w:highlight w:val="none"/>
                    </w:rPr>
                  </w:pPr>
                  <w:r>
                    <w:rPr>
                      <w:szCs w:val="21"/>
                      <w:highlight w:val="none"/>
                    </w:rPr>
                    <w:t>项目东北侧</w:t>
                  </w:r>
                </w:p>
              </w:tc>
              <w:tc>
                <w:tcPr>
                  <w:tcW w:w="379" w:type="pct"/>
                  <w:vMerge w:val="restart"/>
                  <w:vAlign w:val="center"/>
                </w:tcPr>
                <w:p>
                  <w:pPr>
                    <w:jc w:val="center"/>
                    <w:rPr>
                      <w:szCs w:val="21"/>
                      <w:highlight w:val="none"/>
                    </w:rPr>
                  </w:pPr>
                  <w:r>
                    <w:rPr>
                      <w:szCs w:val="21"/>
                      <w:highlight w:val="none"/>
                    </w:rPr>
                    <w:t>131.34516299</w:t>
                  </w:r>
                </w:p>
              </w:tc>
              <w:tc>
                <w:tcPr>
                  <w:tcW w:w="400" w:type="pct"/>
                  <w:vMerge w:val="restart"/>
                  <w:vAlign w:val="center"/>
                </w:tcPr>
                <w:p>
                  <w:pPr>
                    <w:jc w:val="center"/>
                    <w:rPr>
                      <w:szCs w:val="21"/>
                      <w:highlight w:val="none"/>
                    </w:rPr>
                  </w:pPr>
                  <w:r>
                    <w:rPr>
                      <w:szCs w:val="21"/>
                      <w:highlight w:val="none"/>
                    </w:rPr>
                    <w:t>46.65425997</w:t>
                  </w:r>
                </w:p>
              </w:tc>
              <w:tc>
                <w:tcPr>
                  <w:tcW w:w="613" w:type="pct"/>
                  <w:vAlign w:val="center"/>
                </w:tcPr>
                <w:p>
                  <w:pPr>
                    <w:jc w:val="center"/>
                    <w:rPr>
                      <w:kern w:val="0"/>
                      <w:szCs w:val="21"/>
                      <w:highlight w:val="none"/>
                    </w:rPr>
                  </w:pPr>
                  <w:r>
                    <w:rPr>
                      <w:kern w:val="0"/>
                      <w:szCs w:val="21"/>
                      <w:highlight w:val="none"/>
                    </w:rPr>
                    <w:t>TSP</w:t>
                  </w:r>
                </w:p>
              </w:tc>
              <w:tc>
                <w:tcPr>
                  <w:tcW w:w="527" w:type="pct"/>
                  <w:vAlign w:val="center"/>
                </w:tcPr>
                <w:p>
                  <w:pPr>
                    <w:pStyle w:val="108"/>
                    <w:jc w:val="center"/>
                    <w:rPr>
                      <w:rFonts w:ascii="Times New Roman" w:hAnsi="Times New Roman"/>
                      <w:szCs w:val="21"/>
                      <w:highlight w:val="none"/>
                    </w:rPr>
                  </w:pPr>
                  <w:r>
                    <w:rPr>
                      <w:rFonts w:ascii="Times New Roman" w:hAnsi="Times New Roman"/>
                      <w:szCs w:val="21"/>
                      <w:highlight w:val="none"/>
                    </w:rPr>
                    <w:t>日均</w:t>
                  </w:r>
                </w:p>
              </w:tc>
              <w:tc>
                <w:tcPr>
                  <w:tcW w:w="633" w:type="pct"/>
                  <w:vAlign w:val="center"/>
                </w:tcPr>
                <w:p>
                  <w:pPr>
                    <w:pStyle w:val="108"/>
                    <w:jc w:val="center"/>
                    <w:rPr>
                      <w:rFonts w:ascii="Times New Roman" w:hAnsi="Times New Roman"/>
                      <w:szCs w:val="21"/>
                      <w:highlight w:val="none"/>
                    </w:rPr>
                  </w:pPr>
                  <w:r>
                    <w:rPr>
                      <w:rFonts w:ascii="Times New Roman" w:hAnsi="Times New Roman"/>
                      <w:szCs w:val="21"/>
                      <w:highlight w:val="none"/>
                    </w:rPr>
                    <w:t>300</w:t>
                  </w:r>
                </w:p>
              </w:tc>
              <w:tc>
                <w:tcPr>
                  <w:tcW w:w="624" w:type="pct"/>
                  <w:vAlign w:val="center"/>
                </w:tcPr>
                <w:p>
                  <w:pPr>
                    <w:pStyle w:val="108"/>
                    <w:jc w:val="center"/>
                    <w:rPr>
                      <w:rFonts w:ascii="Times New Roman" w:hAnsi="Times New Roman"/>
                      <w:szCs w:val="21"/>
                      <w:highlight w:val="none"/>
                    </w:rPr>
                  </w:pPr>
                  <w:r>
                    <w:rPr>
                      <w:rFonts w:ascii="Times New Roman" w:hAnsi="Times New Roman"/>
                      <w:szCs w:val="21"/>
                      <w:highlight w:val="none"/>
                    </w:rPr>
                    <w:t>79~84</w:t>
                  </w:r>
                </w:p>
              </w:tc>
              <w:tc>
                <w:tcPr>
                  <w:tcW w:w="540" w:type="pct"/>
                  <w:vAlign w:val="center"/>
                </w:tcPr>
                <w:p>
                  <w:pPr>
                    <w:pStyle w:val="108"/>
                    <w:jc w:val="center"/>
                    <w:rPr>
                      <w:rFonts w:ascii="Times New Roman" w:hAnsi="Times New Roman"/>
                      <w:szCs w:val="21"/>
                      <w:highlight w:val="none"/>
                    </w:rPr>
                  </w:pPr>
                  <w:r>
                    <w:rPr>
                      <w:rFonts w:ascii="Times New Roman" w:hAnsi="Times New Roman"/>
                      <w:szCs w:val="21"/>
                      <w:highlight w:val="none"/>
                    </w:rPr>
                    <w:t>28</w:t>
                  </w:r>
                </w:p>
              </w:tc>
              <w:tc>
                <w:tcPr>
                  <w:tcW w:w="458" w:type="pct"/>
                  <w:vAlign w:val="center"/>
                </w:tcPr>
                <w:p>
                  <w:pPr>
                    <w:pStyle w:val="108"/>
                    <w:jc w:val="center"/>
                    <w:rPr>
                      <w:rFonts w:ascii="Times New Roman" w:hAnsi="Times New Roman"/>
                      <w:szCs w:val="21"/>
                      <w:highlight w:val="none"/>
                    </w:rPr>
                  </w:pPr>
                  <w:r>
                    <w:rPr>
                      <w:rFonts w:ascii="Times New Roman" w:hAnsi="Times New Roman"/>
                      <w:szCs w:val="21"/>
                      <w:highlight w:val="none"/>
                    </w:rPr>
                    <w:t>0</w:t>
                  </w:r>
                </w:p>
              </w:tc>
              <w:tc>
                <w:tcPr>
                  <w:tcW w:w="434" w:type="pct"/>
                  <w:vAlign w:val="center"/>
                </w:tcPr>
                <w:p>
                  <w:pPr>
                    <w:pStyle w:val="108"/>
                    <w:jc w:val="center"/>
                    <w:rPr>
                      <w:rFonts w:ascii="Times New Roman" w:hAnsi="Times New Roman"/>
                      <w:szCs w:val="21"/>
                      <w:highlight w:val="none"/>
                    </w:rPr>
                  </w:pPr>
                  <w:r>
                    <w:rPr>
                      <w:rFonts w:ascii="Times New Roman" w:hAnsi="Times New Roman"/>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6" w:type="pct"/>
                  <w:vMerge w:val="continue"/>
                  <w:vAlign w:val="center"/>
                </w:tcPr>
                <w:p>
                  <w:pPr>
                    <w:jc w:val="center"/>
                    <w:rPr>
                      <w:szCs w:val="21"/>
                      <w:highlight w:val="none"/>
                    </w:rPr>
                  </w:pPr>
                </w:p>
              </w:tc>
              <w:tc>
                <w:tcPr>
                  <w:tcW w:w="379" w:type="pct"/>
                  <w:vMerge w:val="continue"/>
                  <w:vAlign w:val="center"/>
                </w:tcPr>
                <w:p>
                  <w:pPr>
                    <w:jc w:val="center"/>
                    <w:rPr>
                      <w:szCs w:val="21"/>
                      <w:highlight w:val="none"/>
                    </w:rPr>
                  </w:pPr>
                </w:p>
              </w:tc>
              <w:tc>
                <w:tcPr>
                  <w:tcW w:w="400" w:type="pct"/>
                  <w:vMerge w:val="continue"/>
                  <w:vAlign w:val="center"/>
                </w:tcPr>
                <w:p>
                  <w:pPr>
                    <w:jc w:val="center"/>
                    <w:rPr>
                      <w:szCs w:val="21"/>
                      <w:highlight w:val="none"/>
                    </w:rPr>
                  </w:pPr>
                </w:p>
              </w:tc>
              <w:tc>
                <w:tcPr>
                  <w:tcW w:w="613" w:type="pct"/>
                  <w:vAlign w:val="center"/>
                </w:tcPr>
                <w:p>
                  <w:pPr>
                    <w:jc w:val="center"/>
                    <w:rPr>
                      <w:kern w:val="0"/>
                      <w:szCs w:val="21"/>
                      <w:highlight w:val="none"/>
                    </w:rPr>
                  </w:pPr>
                  <w:r>
                    <w:rPr>
                      <w:szCs w:val="21"/>
                      <w:highlight w:val="none"/>
                    </w:rPr>
                    <w:t>氨</w:t>
                  </w:r>
                </w:p>
              </w:tc>
              <w:tc>
                <w:tcPr>
                  <w:tcW w:w="527" w:type="pct"/>
                  <w:vAlign w:val="center"/>
                </w:tcPr>
                <w:p>
                  <w:pPr>
                    <w:jc w:val="center"/>
                    <w:rPr>
                      <w:szCs w:val="21"/>
                      <w:highlight w:val="none"/>
                    </w:rPr>
                  </w:pPr>
                  <w:r>
                    <w:rPr>
                      <w:szCs w:val="21"/>
                      <w:highlight w:val="none"/>
                    </w:rPr>
                    <w:t>小时值</w:t>
                  </w:r>
                </w:p>
              </w:tc>
              <w:tc>
                <w:tcPr>
                  <w:tcW w:w="633" w:type="pct"/>
                  <w:vAlign w:val="center"/>
                </w:tcPr>
                <w:p>
                  <w:pPr>
                    <w:pStyle w:val="108"/>
                    <w:jc w:val="center"/>
                    <w:rPr>
                      <w:rFonts w:ascii="Times New Roman" w:hAnsi="Times New Roman"/>
                      <w:szCs w:val="21"/>
                      <w:highlight w:val="none"/>
                    </w:rPr>
                  </w:pPr>
                  <w:r>
                    <w:rPr>
                      <w:rFonts w:ascii="Times New Roman" w:hAnsi="Times New Roman"/>
                      <w:szCs w:val="21"/>
                      <w:highlight w:val="none"/>
                    </w:rPr>
                    <w:t>200</w:t>
                  </w:r>
                </w:p>
              </w:tc>
              <w:tc>
                <w:tcPr>
                  <w:tcW w:w="624" w:type="pct"/>
                  <w:vAlign w:val="center"/>
                </w:tcPr>
                <w:p>
                  <w:pPr>
                    <w:spacing w:line="0" w:lineRule="atLeast"/>
                    <w:jc w:val="center"/>
                    <w:rPr>
                      <w:szCs w:val="21"/>
                      <w:highlight w:val="none"/>
                    </w:rPr>
                  </w:pPr>
                  <w:r>
                    <w:rPr>
                      <w:szCs w:val="21"/>
                      <w:highlight w:val="none"/>
                    </w:rPr>
                    <w:t>70~90</w:t>
                  </w:r>
                </w:p>
              </w:tc>
              <w:tc>
                <w:tcPr>
                  <w:tcW w:w="540" w:type="pct"/>
                  <w:vAlign w:val="center"/>
                </w:tcPr>
                <w:p>
                  <w:pPr>
                    <w:pStyle w:val="108"/>
                    <w:jc w:val="center"/>
                    <w:rPr>
                      <w:rFonts w:ascii="Times New Roman" w:hAnsi="Times New Roman"/>
                      <w:szCs w:val="21"/>
                      <w:highlight w:val="none"/>
                    </w:rPr>
                  </w:pPr>
                  <w:r>
                    <w:rPr>
                      <w:rFonts w:ascii="Times New Roman" w:hAnsi="Times New Roman"/>
                      <w:szCs w:val="21"/>
                      <w:highlight w:val="none"/>
                    </w:rPr>
                    <w:t>48</w:t>
                  </w:r>
                </w:p>
              </w:tc>
              <w:tc>
                <w:tcPr>
                  <w:tcW w:w="458" w:type="pct"/>
                  <w:vAlign w:val="center"/>
                </w:tcPr>
                <w:p>
                  <w:pPr>
                    <w:pStyle w:val="108"/>
                    <w:jc w:val="center"/>
                    <w:rPr>
                      <w:rFonts w:ascii="Times New Roman" w:hAnsi="Times New Roman"/>
                      <w:szCs w:val="21"/>
                      <w:highlight w:val="none"/>
                    </w:rPr>
                  </w:pPr>
                  <w:r>
                    <w:rPr>
                      <w:rFonts w:ascii="Times New Roman" w:hAnsi="Times New Roman"/>
                      <w:szCs w:val="21"/>
                      <w:highlight w:val="none"/>
                    </w:rPr>
                    <w:t>0</w:t>
                  </w:r>
                </w:p>
              </w:tc>
              <w:tc>
                <w:tcPr>
                  <w:tcW w:w="434" w:type="pct"/>
                  <w:vAlign w:val="center"/>
                </w:tcPr>
                <w:p>
                  <w:pPr>
                    <w:pStyle w:val="108"/>
                    <w:jc w:val="center"/>
                    <w:rPr>
                      <w:rFonts w:ascii="Times New Roman" w:hAnsi="Times New Roman"/>
                      <w:szCs w:val="21"/>
                      <w:highlight w:val="none"/>
                    </w:rPr>
                  </w:pPr>
                  <w:r>
                    <w:rPr>
                      <w:rFonts w:ascii="Times New Roman" w:hAnsi="Times New Roman"/>
                      <w:szCs w:val="21"/>
                      <w:highlight w:val="non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6" w:type="pct"/>
                  <w:vMerge w:val="continue"/>
                  <w:vAlign w:val="center"/>
                </w:tcPr>
                <w:p>
                  <w:pPr>
                    <w:jc w:val="center"/>
                    <w:rPr>
                      <w:szCs w:val="21"/>
                      <w:highlight w:val="none"/>
                    </w:rPr>
                  </w:pPr>
                </w:p>
              </w:tc>
              <w:tc>
                <w:tcPr>
                  <w:tcW w:w="379" w:type="pct"/>
                  <w:vMerge w:val="continue"/>
                  <w:vAlign w:val="center"/>
                </w:tcPr>
                <w:p>
                  <w:pPr>
                    <w:jc w:val="center"/>
                    <w:rPr>
                      <w:szCs w:val="21"/>
                      <w:highlight w:val="none"/>
                    </w:rPr>
                  </w:pPr>
                </w:p>
              </w:tc>
              <w:tc>
                <w:tcPr>
                  <w:tcW w:w="400" w:type="pct"/>
                  <w:vMerge w:val="continue"/>
                  <w:vAlign w:val="center"/>
                </w:tcPr>
                <w:p>
                  <w:pPr>
                    <w:jc w:val="center"/>
                    <w:rPr>
                      <w:szCs w:val="21"/>
                      <w:highlight w:val="none"/>
                    </w:rPr>
                  </w:pPr>
                </w:p>
              </w:tc>
              <w:tc>
                <w:tcPr>
                  <w:tcW w:w="613" w:type="pct"/>
                  <w:vAlign w:val="center"/>
                </w:tcPr>
                <w:p>
                  <w:pPr>
                    <w:jc w:val="center"/>
                    <w:rPr>
                      <w:kern w:val="0"/>
                      <w:szCs w:val="21"/>
                      <w:highlight w:val="none"/>
                    </w:rPr>
                  </w:pPr>
                  <w:r>
                    <w:rPr>
                      <w:szCs w:val="21"/>
                      <w:highlight w:val="none"/>
                    </w:rPr>
                    <w:t>硫化氢</w:t>
                  </w:r>
                </w:p>
              </w:tc>
              <w:tc>
                <w:tcPr>
                  <w:tcW w:w="527" w:type="pct"/>
                  <w:vAlign w:val="center"/>
                </w:tcPr>
                <w:p>
                  <w:pPr>
                    <w:jc w:val="center"/>
                    <w:rPr>
                      <w:szCs w:val="21"/>
                      <w:highlight w:val="none"/>
                    </w:rPr>
                  </w:pPr>
                  <w:r>
                    <w:rPr>
                      <w:szCs w:val="21"/>
                      <w:highlight w:val="none"/>
                    </w:rPr>
                    <w:t>小时值</w:t>
                  </w:r>
                </w:p>
              </w:tc>
              <w:tc>
                <w:tcPr>
                  <w:tcW w:w="633" w:type="pct"/>
                  <w:vAlign w:val="center"/>
                </w:tcPr>
                <w:p>
                  <w:pPr>
                    <w:pStyle w:val="108"/>
                    <w:jc w:val="center"/>
                    <w:rPr>
                      <w:rFonts w:ascii="Times New Roman" w:hAnsi="Times New Roman"/>
                      <w:szCs w:val="21"/>
                      <w:highlight w:val="none"/>
                    </w:rPr>
                  </w:pPr>
                  <w:r>
                    <w:rPr>
                      <w:rFonts w:ascii="Times New Roman" w:hAnsi="Times New Roman"/>
                      <w:szCs w:val="21"/>
                      <w:highlight w:val="none"/>
                    </w:rPr>
                    <w:t>10</w:t>
                  </w:r>
                </w:p>
              </w:tc>
              <w:tc>
                <w:tcPr>
                  <w:tcW w:w="624" w:type="pct"/>
                  <w:vAlign w:val="center"/>
                </w:tcPr>
                <w:p>
                  <w:pPr>
                    <w:pStyle w:val="108"/>
                    <w:jc w:val="center"/>
                    <w:rPr>
                      <w:rFonts w:ascii="Times New Roman" w:hAnsi="Times New Roman"/>
                      <w:szCs w:val="21"/>
                      <w:highlight w:val="none"/>
                    </w:rPr>
                  </w:pPr>
                  <w:r>
                    <w:rPr>
                      <w:rFonts w:ascii="Times New Roman" w:hAnsi="Times New Roman"/>
                      <w:szCs w:val="21"/>
                      <w:highlight w:val="none"/>
                    </w:rPr>
                    <w:t>0.001L</w:t>
                  </w:r>
                </w:p>
              </w:tc>
              <w:tc>
                <w:tcPr>
                  <w:tcW w:w="540" w:type="pct"/>
                  <w:vAlign w:val="center"/>
                </w:tcPr>
                <w:p>
                  <w:pPr>
                    <w:pStyle w:val="108"/>
                    <w:jc w:val="center"/>
                    <w:rPr>
                      <w:rFonts w:ascii="Times New Roman" w:hAnsi="Times New Roman"/>
                      <w:szCs w:val="21"/>
                      <w:highlight w:val="none"/>
                    </w:rPr>
                  </w:pPr>
                  <w:r>
                    <w:rPr>
                      <w:rFonts w:ascii="Times New Roman" w:hAnsi="Times New Roman"/>
                      <w:szCs w:val="21"/>
                      <w:highlight w:val="none"/>
                    </w:rPr>
                    <w:t>0</w:t>
                  </w:r>
                </w:p>
              </w:tc>
              <w:tc>
                <w:tcPr>
                  <w:tcW w:w="458" w:type="pct"/>
                  <w:vAlign w:val="center"/>
                </w:tcPr>
                <w:p>
                  <w:pPr>
                    <w:pStyle w:val="108"/>
                    <w:jc w:val="center"/>
                    <w:rPr>
                      <w:rFonts w:ascii="Times New Roman" w:hAnsi="Times New Roman"/>
                      <w:szCs w:val="21"/>
                      <w:highlight w:val="none"/>
                    </w:rPr>
                  </w:pPr>
                  <w:r>
                    <w:rPr>
                      <w:rFonts w:ascii="Times New Roman" w:hAnsi="Times New Roman"/>
                      <w:szCs w:val="21"/>
                      <w:highlight w:val="none"/>
                    </w:rPr>
                    <w:t>0</w:t>
                  </w:r>
                </w:p>
              </w:tc>
              <w:tc>
                <w:tcPr>
                  <w:tcW w:w="434" w:type="pct"/>
                  <w:vAlign w:val="center"/>
                </w:tcPr>
                <w:p>
                  <w:pPr>
                    <w:pStyle w:val="108"/>
                    <w:jc w:val="center"/>
                    <w:rPr>
                      <w:rFonts w:ascii="Times New Roman" w:hAnsi="Times New Roman"/>
                      <w:szCs w:val="21"/>
                      <w:highlight w:val="none"/>
                    </w:rPr>
                  </w:pPr>
                  <w:r>
                    <w:rPr>
                      <w:rFonts w:ascii="Times New Roman" w:hAnsi="Times New Roman"/>
                      <w:szCs w:val="21"/>
                      <w:highlight w:val="none"/>
                    </w:rPr>
                    <w:t>达标</w:t>
                  </w:r>
                </w:p>
              </w:tc>
            </w:tr>
          </w:tbl>
          <w:p>
            <w:pPr>
              <w:pStyle w:val="27"/>
              <w:widowControl w:val="0"/>
              <w:snapToGrid/>
              <w:spacing w:before="0" w:after="0" w:line="360" w:lineRule="auto"/>
              <w:ind w:firstLine="480" w:firstLineChars="200"/>
              <w:rPr>
                <w:b/>
                <w:bCs/>
                <w:sz w:val="24"/>
                <w:szCs w:val="24"/>
                <w:highlight w:val="none"/>
              </w:rPr>
            </w:pPr>
            <w:r>
              <w:rPr>
                <w:sz w:val="24"/>
                <w:szCs w:val="24"/>
                <w:highlight w:val="none"/>
              </w:rPr>
              <w:t>由表3-3可知，本项目所在区域在监测时段内TSP的24小时浓度满足《环境空气质量标准》（GB3095-2012）中的二级标准限值要求</w:t>
            </w:r>
            <w:r>
              <w:rPr>
                <w:rFonts w:hint="eastAsia"/>
                <w:sz w:val="24"/>
                <w:szCs w:val="24"/>
                <w:highlight w:val="none"/>
              </w:rPr>
              <w:t>、</w:t>
            </w:r>
            <w:r>
              <w:rPr>
                <w:sz w:val="24"/>
                <w:szCs w:val="24"/>
                <w:highlight w:val="none"/>
              </w:rPr>
              <w:t>NH</w:t>
            </w:r>
            <w:r>
              <w:rPr>
                <w:sz w:val="24"/>
                <w:szCs w:val="24"/>
                <w:highlight w:val="none"/>
                <w:vertAlign w:val="subscript"/>
              </w:rPr>
              <w:t>3</w:t>
            </w:r>
            <w:r>
              <w:rPr>
                <w:sz w:val="24"/>
                <w:szCs w:val="24"/>
                <w:highlight w:val="none"/>
              </w:rPr>
              <w:t>和H</w:t>
            </w:r>
            <w:r>
              <w:rPr>
                <w:sz w:val="24"/>
                <w:szCs w:val="24"/>
                <w:highlight w:val="none"/>
                <w:vertAlign w:val="subscript"/>
              </w:rPr>
              <w:t>2</w:t>
            </w:r>
            <w:r>
              <w:rPr>
                <w:sz w:val="24"/>
                <w:szCs w:val="24"/>
                <w:highlight w:val="none"/>
              </w:rPr>
              <w:t>S 1小时平均值满足《环境影响评价技术导则 大气环境》（HJ2.2-2018）附录D其他污染物空气质量浓度参考限值</w:t>
            </w:r>
            <w:r>
              <w:rPr>
                <w:rFonts w:hint="eastAsia"/>
                <w:sz w:val="24"/>
                <w:szCs w:val="24"/>
                <w:highlight w:val="none"/>
              </w:rPr>
              <w:t>。</w:t>
            </w:r>
          </w:p>
          <w:p>
            <w:pPr>
              <w:pStyle w:val="27"/>
              <w:widowControl w:val="0"/>
              <w:snapToGrid/>
              <w:spacing w:before="0" w:after="0" w:line="360" w:lineRule="auto"/>
              <w:ind w:firstLine="0" w:firstLineChars="0"/>
              <w:rPr>
                <w:b/>
                <w:bCs/>
                <w:sz w:val="24"/>
                <w:szCs w:val="24"/>
                <w:highlight w:val="none"/>
              </w:rPr>
            </w:pPr>
            <w:r>
              <w:rPr>
                <w:b/>
                <w:bCs/>
                <w:sz w:val="24"/>
                <w:szCs w:val="24"/>
                <w:highlight w:val="none"/>
              </w:rPr>
              <w:t>2、地表水环境</w:t>
            </w:r>
          </w:p>
          <w:p>
            <w:pPr>
              <w:adjustRightInd w:val="0"/>
              <w:snapToGrid w:val="0"/>
              <w:spacing w:line="360" w:lineRule="auto"/>
              <w:ind w:firstLine="480" w:firstLineChars="200"/>
              <w:rPr>
                <w:kern w:val="0"/>
                <w:sz w:val="24"/>
                <w:highlight w:val="none"/>
              </w:rPr>
            </w:pPr>
            <w:bookmarkStart w:id="41" w:name="_Toc218321831"/>
            <w:bookmarkStart w:id="42" w:name="_Toc301514512"/>
            <w:bookmarkStart w:id="43" w:name="_Toc318898968"/>
            <w:bookmarkStart w:id="44" w:name="_Toc207005094"/>
            <w:r>
              <w:rPr>
                <w:kern w:val="0"/>
                <w:sz w:val="24"/>
                <w:highlight w:val="none"/>
              </w:rPr>
              <w:t>水环境质量现状调查优先采用生态环境保护主管部门统一发布的水环境状况信息。</w:t>
            </w:r>
            <w:r>
              <w:rPr>
                <w:rFonts w:hint="eastAsia"/>
                <w:kern w:val="0"/>
                <w:sz w:val="24"/>
                <w:highlight w:val="none"/>
              </w:rPr>
              <w:t>本项目污水自行拉运至</w:t>
            </w:r>
            <w:r>
              <w:rPr>
                <w:rFonts w:hint="eastAsia"/>
                <w:bCs/>
                <w:sz w:val="24"/>
                <w:highlight w:val="none"/>
                <w:lang w:eastAsia="zh-CN"/>
              </w:rPr>
              <w:t>双鸭山市四洁水处理有限责任公司（四洁污水处理厂）</w:t>
            </w:r>
            <w:r>
              <w:rPr>
                <w:rFonts w:hint="eastAsia"/>
                <w:bCs/>
                <w:sz w:val="24"/>
                <w:highlight w:val="none"/>
              </w:rPr>
              <w:t>，双鸭山污水处理厂污水排入</w:t>
            </w:r>
            <w:r>
              <w:rPr>
                <w:rFonts w:hint="eastAsia"/>
                <w:kern w:val="0"/>
                <w:sz w:val="24"/>
                <w:highlight w:val="none"/>
              </w:rPr>
              <w:t>扁石河，扁石河汇入</w:t>
            </w:r>
            <w:r>
              <w:rPr>
                <w:kern w:val="0"/>
                <w:sz w:val="24"/>
                <w:highlight w:val="none"/>
              </w:rPr>
              <w:t>七星河，七星河汇入挠力河，</w:t>
            </w:r>
            <w:r>
              <w:rPr>
                <w:rFonts w:hint="eastAsia"/>
                <w:kern w:val="0"/>
                <w:sz w:val="24"/>
                <w:highlight w:val="none"/>
              </w:rPr>
              <w:t>距本项目最近的国控断面为挠力河口内，</w:t>
            </w:r>
            <w:r>
              <w:rPr>
                <w:kern w:val="0"/>
                <w:sz w:val="24"/>
                <w:highlight w:val="none"/>
              </w:rPr>
              <w:t>因此地表水环境现状数据来自于双鸭山市</w:t>
            </w:r>
            <w:r>
              <w:rPr>
                <w:rFonts w:hint="eastAsia"/>
                <w:kern w:val="0"/>
                <w:sz w:val="24"/>
                <w:highlight w:val="none"/>
              </w:rPr>
              <w:t>2021</w:t>
            </w:r>
            <w:r>
              <w:rPr>
                <w:kern w:val="0"/>
                <w:sz w:val="24"/>
                <w:highlight w:val="none"/>
              </w:rPr>
              <w:t>年四个季度水质环境质量报告，双鸭山市</w:t>
            </w:r>
            <w:r>
              <w:rPr>
                <w:rFonts w:hint="eastAsia"/>
                <w:kern w:val="0"/>
                <w:sz w:val="24"/>
                <w:highlight w:val="none"/>
              </w:rPr>
              <w:t>2021</w:t>
            </w:r>
            <w:r>
              <w:rPr>
                <w:kern w:val="0"/>
                <w:sz w:val="24"/>
                <w:highlight w:val="none"/>
              </w:rPr>
              <w:t>年水质环境质量见表4</w:t>
            </w:r>
            <w:r>
              <w:rPr>
                <w:rFonts w:hint="eastAsia"/>
                <w:kern w:val="0"/>
                <w:sz w:val="24"/>
                <w:highlight w:val="none"/>
              </w:rPr>
              <w:t>.2</w:t>
            </w:r>
            <w:r>
              <w:rPr>
                <w:kern w:val="0"/>
                <w:sz w:val="24"/>
                <w:highlight w:val="none"/>
              </w:rPr>
              <w:t>-</w:t>
            </w:r>
            <w:r>
              <w:rPr>
                <w:rFonts w:hint="eastAsia"/>
                <w:kern w:val="0"/>
                <w:sz w:val="24"/>
                <w:highlight w:val="none"/>
              </w:rPr>
              <w:t>6</w:t>
            </w:r>
            <w:r>
              <w:rPr>
                <w:kern w:val="0"/>
                <w:sz w:val="24"/>
                <w:highlight w:val="none"/>
              </w:rPr>
              <w:t>。</w:t>
            </w:r>
          </w:p>
          <w:p>
            <w:pPr>
              <w:pStyle w:val="119"/>
              <w:spacing w:line="240" w:lineRule="auto"/>
              <w:rPr>
                <w:rFonts w:eastAsia="宋体" w:cs="Times New Roman"/>
                <w:b/>
                <w:bCs/>
                <w:sz w:val="24"/>
                <w:szCs w:val="24"/>
                <w:highlight w:val="none"/>
              </w:rPr>
            </w:pPr>
            <w:r>
              <w:rPr>
                <w:rFonts w:eastAsia="宋体" w:cs="Times New Roman"/>
                <w:b/>
                <w:bCs/>
                <w:sz w:val="24"/>
                <w:szCs w:val="24"/>
                <w:highlight w:val="none"/>
              </w:rPr>
              <w:t>表</w:t>
            </w:r>
            <w:r>
              <w:rPr>
                <w:rFonts w:hint="eastAsia" w:eastAsia="宋体" w:cs="Times New Roman"/>
                <w:b/>
                <w:bCs/>
                <w:sz w:val="24"/>
                <w:szCs w:val="24"/>
                <w:highlight w:val="none"/>
              </w:rPr>
              <w:t xml:space="preserve">3-4  </w:t>
            </w:r>
            <w:r>
              <w:rPr>
                <w:rFonts w:eastAsia="宋体" w:cs="Times New Roman"/>
                <w:b/>
                <w:bCs/>
                <w:sz w:val="24"/>
                <w:szCs w:val="24"/>
                <w:highlight w:val="none"/>
              </w:rPr>
              <w:t>双鸭山市</w:t>
            </w:r>
            <w:r>
              <w:rPr>
                <w:rFonts w:hint="eastAsia" w:eastAsia="宋体" w:cs="Times New Roman"/>
                <w:b/>
                <w:bCs/>
                <w:sz w:val="24"/>
                <w:szCs w:val="24"/>
                <w:highlight w:val="none"/>
              </w:rPr>
              <w:t>2021</w:t>
            </w:r>
            <w:r>
              <w:rPr>
                <w:rFonts w:eastAsia="宋体" w:cs="Times New Roman"/>
                <w:b/>
                <w:bCs/>
                <w:sz w:val="24"/>
                <w:szCs w:val="24"/>
                <w:highlight w:val="none"/>
              </w:rPr>
              <w:t>年水质环境质量（截取）</w:t>
            </w:r>
          </w:p>
          <w:tbl>
            <w:tblPr>
              <w:tblStyle w:val="29"/>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0"/>
              <w:gridCol w:w="449"/>
              <w:gridCol w:w="452"/>
              <w:gridCol w:w="723"/>
              <w:gridCol w:w="655"/>
              <w:gridCol w:w="723"/>
              <w:gridCol w:w="546"/>
              <w:gridCol w:w="546"/>
              <w:gridCol w:w="546"/>
              <w:gridCol w:w="546"/>
              <w:gridCol w:w="546"/>
              <w:gridCol w:w="22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pPr>
                    <w:autoSpaceDE w:val="0"/>
                    <w:autoSpaceDN w:val="0"/>
                    <w:adjustRightInd w:val="0"/>
                    <w:snapToGrid w:val="0"/>
                    <w:jc w:val="center"/>
                    <w:textAlignment w:val="bottom"/>
                    <w:rPr>
                      <w:kern w:val="0"/>
                      <w:sz w:val="24"/>
                      <w:highlight w:val="none"/>
                    </w:rPr>
                  </w:pPr>
                  <w:r>
                    <w:rPr>
                      <w:kern w:val="0"/>
                      <w:sz w:val="24"/>
                      <w:highlight w:val="none"/>
                    </w:rPr>
                    <w:t>时间</w:t>
                  </w:r>
                </w:p>
              </w:tc>
              <w:tc>
                <w:tcPr>
                  <w:tcW w:w="260" w:type="pct"/>
                  <w:vAlign w:val="center"/>
                </w:tcPr>
                <w:p>
                  <w:pPr>
                    <w:autoSpaceDE w:val="0"/>
                    <w:autoSpaceDN w:val="0"/>
                    <w:adjustRightInd w:val="0"/>
                    <w:snapToGrid w:val="0"/>
                    <w:jc w:val="center"/>
                    <w:textAlignment w:val="bottom"/>
                    <w:rPr>
                      <w:kern w:val="0"/>
                      <w:sz w:val="24"/>
                      <w:highlight w:val="none"/>
                    </w:rPr>
                  </w:pPr>
                  <w:r>
                    <w:rPr>
                      <w:kern w:val="0"/>
                      <w:sz w:val="24"/>
                      <w:highlight w:val="none"/>
                    </w:rPr>
                    <w:t>断面性质</w:t>
                  </w:r>
                </w:p>
              </w:tc>
              <w:tc>
                <w:tcPr>
                  <w:tcW w:w="262" w:type="pct"/>
                  <w:vAlign w:val="center"/>
                </w:tcPr>
                <w:p>
                  <w:pPr>
                    <w:autoSpaceDE w:val="0"/>
                    <w:autoSpaceDN w:val="0"/>
                    <w:adjustRightInd w:val="0"/>
                    <w:snapToGrid w:val="0"/>
                    <w:jc w:val="center"/>
                    <w:textAlignment w:val="bottom"/>
                    <w:rPr>
                      <w:kern w:val="0"/>
                      <w:sz w:val="24"/>
                      <w:highlight w:val="none"/>
                    </w:rPr>
                  </w:pPr>
                  <w:r>
                    <w:rPr>
                      <w:kern w:val="0"/>
                      <w:sz w:val="24"/>
                      <w:highlight w:val="none"/>
                    </w:rPr>
                    <w:t>点位名称</w:t>
                  </w:r>
                </w:p>
              </w:tc>
              <w:tc>
                <w:tcPr>
                  <w:tcW w:w="418" w:type="pct"/>
                  <w:vAlign w:val="center"/>
                </w:tcPr>
                <w:p>
                  <w:pPr>
                    <w:autoSpaceDE w:val="0"/>
                    <w:autoSpaceDN w:val="0"/>
                    <w:adjustRightInd w:val="0"/>
                    <w:snapToGrid w:val="0"/>
                    <w:jc w:val="center"/>
                    <w:textAlignment w:val="bottom"/>
                    <w:rPr>
                      <w:kern w:val="0"/>
                      <w:sz w:val="24"/>
                      <w:highlight w:val="none"/>
                    </w:rPr>
                  </w:pPr>
                  <w:r>
                    <w:rPr>
                      <w:kern w:val="0"/>
                      <w:sz w:val="24"/>
                      <w:highlight w:val="none"/>
                    </w:rPr>
                    <w:t>水</w:t>
                  </w:r>
                  <w:r>
                    <w:rPr>
                      <w:rFonts w:hint="eastAsia"/>
                      <w:kern w:val="0"/>
                      <w:sz w:val="24"/>
                      <w:highlight w:val="none"/>
                    </w:rPr>
                    <w:t>质监</w:t>
                  </w:r>
                  <w:r>
                    <w:rPr>
                      <w:kern w:val="0"/>
                      <w:sz w:val="24"/>
                      <w:highlight w:val="none"/>
                    </w:rPr>
                    <w:t>测项目</w:t>
                  </w:r>
                </w:p>
              </w:tc>
              <w:tc>
                <w:tcPr>
                  <w:tcW w:w="380" w:type="pct"/>
                  <w:vAlign w:val="center"/>
                </w:tcPr>
                <w:p>
                  <w:pPr>
                    <w:autoSpaceDE w:val="0"/>
                    <w:autoSpaceDN w:val="0"/>
                    <w:adjustRightInd w:val="0"/>
                    <w:snapToGrid w:val="0"/>
                    <w:jc w:val="center"/>
                    <w:textAlignment w:val="bottom"/>
                    <w:rPr>
                      <w:kern w:val="0"/>
                      <w:sz w:val="24"/>
                      <w:highlight w:val="none"/>
                    </w:rPr>
                  </w:pPr>
                  <w:r>
                    <w:rPr>
                      <w:kern w:val="0"/>
                      <w:sz w:val="24"/>
                      <w:highlight w:val="none"/>
                    </w:rPr>
                    <w:t>达标项目个数</w:t>
                  </w:r>
                </w:p>
              </w:tc>
              <w:tc>
                <w:tcPr>
                  <w:tcW w:w="419" w:type="pct"/>
                  <w:vAlign w:val="center"/>
                </w:tcPr>
                <w:p>
                  <w:pPr>
                    <w:autoSpaceDE w:val="0"/>
                    <w:autoSpaceDN w:val="0"/>
                    <w:adjustRightInd w:val="0"/>
                    <w:snapToGrid w:val="0"/>
                    <w:jc w:val="center"/>
                    <w:textAlignment w:val="bottom"/>
                    <w:rPr>
                      <w:kern w:val="0"/>
                      <w:sz w:val="24"/>
                      <w:highlight w:val="none"/>
                    </w:rPr>
                  </w:pPr>
                  <w:r>
                    <w:rPr>
                      <w:kern w:val="0"/>
                      <w:sz w:val="24"/>
                      <w:highlight w:val="none"/>
                    </w:rPr>
                    <w:t>达标率</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功能区标准</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本季度</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超标项目</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超标倍数</w:t>
                  </w:r>
                </w:p>
              </w:tc>
              <w:tc>
                <w:tcPr>
                  <w:tcW w:w="317" w:type="pct"/>
                  <w:vAlign w:val="center"/>
                </w:tcPr>
                <w:p>
                  <w:pPr>
                    <w:autoSpaceDE w:val="0"/>
                    <w:autoSpaceDN w:val="0"/>
                    <w:adjustRightInd w:val="0"/>
                    <w:snapToGrid w:val="0"/>
                    <w:jc w:val="center"/>
                    <w:textAlignment w:val="bottom"/>
                    <w:rPr>
                      <w:kern w:val="0"/>
                      <w:sz w:val="24"/>
                      <w:highlight w:val="none"/>
                    </w:rPr>
                  </w:pPr>
                  <w:r>
                    <w:rPr>
                      <w:kern w:val="0"/>
                      <w:sz w:val="24"/>
                      <w:highlight w:val="none"/>
                    </w:rPr>
                    <w:t>监测频次</w:t>
                  </w:r>
                </w:p>
              </w:tc>
              <w:tc>
                <w:tcPr>
                  <w:tcW w:w="1293" w:type="pct"/>
                  <w:vAlign w:val="center"/>
                </w:tcPr>
                <w:p>
                  <w:pPr>
                    <w:autoSpaceDE w:val="0"/>
                    <w:autoSpaceDN w:val="0"/>
                    <w:adjustRightInd w:val="0"/>
                    <w:snapToGrid w:val="0"/>
                    <w:jc w:val="center"/>
                    <w:textAlignment w:val="bottom"/>
                    <w:rPr>
                      <w:kern w:val="0"/>
                      <w:sz w:val="24"/>
                      <w:highlight w:val="none"/>
                    </w:rPr>
                  </w:pPr>
                  <w:r>
                    <w:rPr>
                      <w:kern w:val="0"/>
                      <w:sz w:val="24"/>
                      <w:highlight w:val="none"/>
                    </w:rPr>
                    <w:t>监测项目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pPr>
                    <w:autoSpaceDE w:val="0"/>
                    <w:autoSpaceDN w:val="0"/>
                    <w:adjustRightInd w:val="0"/>
                    <w:snapToGrid w:val="0"/>
                    <w:jc w:val="center"/>
                    <w:textAlignment w:val="bottom"/>
                    <w:rPr>
                      <w:kern w:val="0"/>
                      <w:sz w:val="24"/>
                      <w:highlight w:val="none"/>
                    </w:rPr>
                  </w:pPr>
                  <w:r>
                    <w:rPr>
                      <w:kern w:val="0"/>
                      <w:sz w:val="24"/>
                      <w:highlight w:val="none"/>
                    </w:rPr>
                    <w:t>20</w:t>
                  </w:r>
                  <w:r>
                    <w:rPr>
                      <w:rFonts w:hint="eastAsia"/>
                      <w:kern w:val="0"/>
                      <w:sz w:val="24"/>
                      <w:highlight w:val="none"/>
                    </w:rPr>
                    <w:t>21</w:t>
                  </w:r>
                  <w:r>
                    <w:rPr>
                      <w:kern w:val="0"/>
                      <w:sz w:val="24"/>
                      <w:highlight w:val="none"/>
                    </w:rPr>
                    <w:t>年一季度</w:t>
                  </w:r>
                </w:p>
              </w:tc>
              <w:tc>
                <w:tcPr>
                  <w:tcW w:w="260" w:type="pct"/>
                  <w:vMerge w:val="restart"/>
                  <w:vAlign w:val="center"/>
                </w:tcPr>
                <w:p>
                  <w:pPr>
                    <w:autoSpaceDE w:val="0"/>
                    <w:autoSpaceDN w:val="0"/>
                    <w:adjustRightInd w:val="0"/>
                    <w:snapToGrid w:val="0"/>
                    <w:jc w:val="center"/>
                    <w:textAlignment w:val="bottom"/>
                    <w:rPr>
                      <w:kern w:val="0"/>
                      <w:sz w:val="24"/>
                      <w:highlight w:val="none"/>
                    </w:rPr>
                  </w:pPr>
                  <w:r>
                    <w:rPr>
                      <w:kern w:val="0"/>
                      <w:sz w:val="24"/>
                      <w:highlight w:val="none"/>
                    </w:rPr>
                    <w:t>国控断面</w:t>
                  </w:r>
                </w:p>
              </w:tc>
              <w:tc>
                <w:tcPr>
                  <w:tcW w:w="262" w:type="pct"/>
                  <w:vMerge w:val="restart"/>
                  <w:vAlign w:val="center"/>
                </w:tcPr>
                <w:p>
                  <w:pPr>
                    <w:autoSpaceDE w:val="0"/>
                    <w:autoSpaceDN w:val="0"/>
                    <w:adjustRightInd w:val="0"/>
                    <w:snapToGrid w:val="0"/>
                    <w:jc w:val="center"/>
                    <w:textAlignment w:val="bottom"/>
                    <w:rPr>
                      <w:kern w:val="0"/>
                      <w:sz w:val="24"/>
                      <w:highlight w:val="none"/>
                    </w:rPr>
                  </w:pPr>
                  <w:r>
                    <w:rPr>
                      <w:kern w:val="0"/>
                      <w:sz w:val="24"/>
                      <w:highlight w:val="none"/>
                    </w:rPr>
                    <w:t>挠力河口内</w:t>
                  </w:r>
                </w:p>
              </w:tc>
              <w:tc>
                <w:tcPr>
                  <w:tcW w:w="418"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24</w:t>
                  </w:r>
                </w:p>
              </w:tc>
              <w:tc>
                <w:tcPr>
                  <w:tcW w:w="380"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23</w:t>
                  </w:r>
                </w:p>
              </w:tc>
              <w:tc>
                <w:tcPr>
                  <w:tcW w:w="419"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95.8</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fldChar w:fldCharType="begin"/>
                  </w:r>
                  <w:r>
                    <w:rPr>
                      <w:rFonts w:hint="eastAsia"/>
                      <w:kern w:val="0"/>
                      <w:sz w:val="24"/>
                      <w:highlight w:val="none"/>
                    </w:rPr>
                    <w:instrText xml:space="preserve"> = 3 \* ROMAN \* MERGEFORMAT </w:instrText>
                  </w:r>
                  <w:r>
                    <w:rPr>
                      <w:rFonts w:hint="eastAsia"/>
                      <w:kern w:val="0"/>
                      <w:sz w:val="24"/>
                      <w:highlight w:val="none"/>
                    </w:rPr>
                    <w:fldChar w:fldCharType="separate"/>
                  </w:r>
                  <w:r>
                    <w:rPr>
                      <w:kern w:val="0"/>
                      <w:sz w:val="24"/>
                      <w:highlight w:val="none"/>
                    </w:rPr>
                    <w:t>III</w:t>
                  </w:r>
                  <w:r>
                    <w:rPr>
                      <w:rFonts w:hint="eastAsia"/>
                      <w:kern w:val="0"/>
                      <w:sz w:val="24"/>
                      <w:highlight w:val="none"/>
                    </w:rPr>
                    <w:fldChar w:fldCharType="end"/>
                  </w:r>
                  <w:r>
                    <w:rPr>
                      <w:rFonts w:hint="eastAsia"/>
                      <w:kern w:val="0"/>
                      <w:sz w:val="24"/>
                      <w:highlight w:val="none"/>
                    </w:rPr>
                    <w:t>类</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fldChar w:fldCharType="begin"/>
                  </w:r>
                  <w:r>
                    <w:rPr>
                      <w:rFonts w:hint="eastAsia"/>
                      <w:kern w:val="0"/>
                      <w:sz w:val="24"/>
                      <w:highlight w:val="none"/>
                    </w:rPr>
                    <w:instrText xml:space="preserve"> = 4 \* ROMAN \* MERGEFORMAT </w:instrText>
                  </w:r>
                  <w:r>
                    <w:rPr>
                      <w:rFonts w:hint="eastAsia"/>
                      <w:kern w:val="0"/>
                      <w:sz w:val="24"/>
                      <w:highlight w:val="none"/>
                    </w:rPr>
                    <w:fldChar w:fldCharType="separate"/>
                  </w:r>
                  <w:r>
                    <w:rPr>
                      <w:kern w:val="0"/>
                      <w:sz w:val="24"/>
                      <w:highlight w:val="none"/>
                    </w:rPr>
                    <w:t>IV</w:t>
                  </w:r>
                  <w:r>
                    <w:rPr>
                      <w:rFonts w:hint="eastAsia"/>
                      <w:kern w:val="0"/>
                      <w:sz w:val="24"/>
                      <w:highlight w:val="none"/>
                    </w:rPr>
                    <w:fldChar w:fldCharType="end"/>
                  </w:r>
                  <w:r>
                    <w:rPr>
                      <w:rFonts w:hint="eastAsia"/>
                      <w:kern w:val="0"/>
                      <w:sz w:val="24"/>
                      <w:highlight w:val="none"/>
                    </w:rPr>
                    <w:t>类</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化学需氧量</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0.1</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3</w:t>
                  </w:r>
                  <w:r>
                    <w:rPr>
                      <w:kern w:val="0"/>
                      <w:sz w:val="24"/>
                      <w:highlight w:val="none"/>
                    </w:rPr>
                    <w:t>次/季</w:t>
                  </w:r>
                </w:p>
              </w:tc>
              <w:tc>
                <w:tcPr>
                  <w:tcW w:w="1293" w:type="pct"/>
                  <w:vAlign w:val="center"/>
                </w:tcPr>
                <w:p>
                  <w:pPr>
                    <w:autoSpaceDE w:val="0"/>
                    <w:autoSpaceDN w:val="0"/>
                    <w:adjustRightInd w:val="0"/>
                    <w:snapToGrid w:val="0"/>
                    <w:jc w:val="center"/>
                    <w:textAlignment w:val="bottom"/>
                    <w:rPr>
                      <w:kern w:val="0"/>
                      <w:sz w:val="24"/>
                      <w:highlight w:val="none"/>
                    </w:rPr>
                  </w:pPr>
                  <w:r>
                    <w:rPr>
                      <w:kern w:val="0"/>
                      <w:sz w:val="24"/>
                      <w:highlight w:val="none"/>
                    </w:rPr>
                    <w:t>水温、pH、溶解氧、电导率、浊度、高锰酸盐指数、化学需氧量、五日生化需氧量、氨氮、总磷、铜、锌、氟化物、硒、砷、汞、镉、六价铬、铅、氰化物、挥发酚、石油类、阴离子表面活性剂和硫化物。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pPr>
                    <w:autoSpaceDE w:val="0"/>
                    <w:autoSpaceDN w:val="0"/>
                    <w:adjustRightInd w:val="0"/>
                    <w:snapToGrid w:val="0"/>
                    <w:jc w:val="center"/>
                    <w:textAlignment w:val="bottom"/>
                    <w:rPr>
                      <w:kern w:val="0"/>
                      <w:sz w:val="24"/>
                      <w:highlight w:val="none"/>
                    </w:rPr>
                  </w:pPr>
                  <w:r>
                    <w:rPr>
                      <w:kern w:val="0"/>
                      <w:sz w:val="24"/>
                      <w:highlight w:val="none"/>
                    </w:rPr>
                    <w:t>20</w:t>
                  </w:r>
                  <w:r>
                    <w:rPr>
                      <w:rFonts w:hint="eastAsia"/>
                      <w:kern w:val="0"/>
                      <w:sz w:val="24"/>
                      <w:highlight w:val="none"/>
                    </w:rPr>
                    <w:t>21</w:t>
                  </w:r>
                  <w:r>
                    <w:rPr>
                      <w:kern w:val="0"/>
                      <w:sz w:val="24"/>
                      <w:highlight w:val="none"/>
                    </w:rPr>
                    <w:t>年二季度</w:t>
                  </w:r>
                </w:p>
              </w:tc>
              <w:tc>
                <w:tcPr>
                  <w:tcW w:w="260" w:type="pct"/>
                  <w:vMerge w:val="continue"/>
                  <w:vAlign w:val="center"/>
                </w:tcPr>
                <w:p>
                  <w:pPr>
                    <w:autoSpaceDE w:val="0"/>
                    <w:autoSpaceDN w:val="0"/>
                    <w:adjustRightInd w:val="0"/>
                    <w:snapToGrid w:val="0"/>
                    <w:jc w:val="center"/>
                    <w:textAlignment w:val="bottom"/>
                    <w:rPr>
                      <w:kern w:val="0"/>
                      <w:sz w:val="24"/>
                      <w:highlight w:val="none"/>
                    </w:rPr>
                  </w:pPr>
                </w:p>
              </w:tc>
              <w:tc>
                <w:tcPr>
                  <w:tcW w:w="262" w:type="pct"/>
                  <w:vMerge w:val="continue"/>
                  <w:vAlign w:val="center"/>
                </w:tcPr>
                <w:p>
                  <w:pPr>
                    <w:autoSpaceDE w:val="0"/>
                    <w:autoSpaceDN w:val="0"/>
                    <w:adjustRightInd w:val="0"/>
                    <w:snapToGrid w:val="0"/>
                    <w:jc w:val="center"/>
                    <w:textAlignment w:val="bottom"/>
                    <w:rPr>
                      <w:kern w:val="0"/>
                      <w:sz w:val="24"/>
                      <w:highlight w:val="none"/>
                    </w:rPr>
                  </w:pPr>
                </w:p>
              </w:tc>
              <w:tc>
                <w:tcPr>
                  <w:tcW w:w="418"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10</w:t>
                  </w:r>
                </w:p>
              </w:tc>
              <w:tc>
                <w:tcPr>
                  <w:tcW w:w="380"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10</w:t>
                  </w:r>
                </w:p>
              </w:tc>
              <w:tc>
                <w:tcPr>
                  <w:tcW w:w="419" w:type="pct"/>
                  <w:vAlign w:val="center"/>
                </w:tcPr>
                <w:p>
                  <w:pPr>
                    <w:autoSpaceDE w:val="0"/>
                    <w:autoSpaceDN w:val="0"/>
                    <w:adjustRightInd w:val="0"/>
                    <w:snapToGrid w:val="0"/>
                    <w:jc w:val="center"/>
                    <w:textAlignment w:val="bottom"/>
                    <w:rPr>
                      <w:kern w:val="0"/>
                      <w:sz w:val="24"/>
                      <w:highlight w:val="none"/>
                    </w:rPr>
                  </w:pPr>
                  <w:r>
                    <w:rPr>
                      <w:kern w:val="0"/>
                      <w:sz w:val="24"/>
                      <w:highlight w:val="none"/>
                    </w:rPr>
                    <w:t>100%</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fldChar w:fldCharType="begin"/>
                  </w:r>
                  <w:r>
                    <w:rPr>
                      <w:rFonts w:hint="eastAsia"/>
                      <w:kern w:val="0"/>
                      <w:sz w:val="24"/>
                      <w:highlight w:val="none"/>
                    </w:rPr>
                    <w:instrText xml:space="preserve"> = 3 \* ROMAN \* MERGEFORMAT </w:instrText>
                  </w:r>
                  <w:r>
                    <w:rPr>
                      <w:rFonts w:hint="eastAsia"/>
                      <w:kern w:val="0"/>
                      <w:sz w:val="24"/>
                      <w:highlight w:val="none"/>
                    </w:rPr>
                    <w:fldChar w:fldCharType="separate"/>
                  </w:r>
                  <w:r>
                    <w:rPr>
                      <w:kern w:val="0"/>
                      <w:sz w:val="24"/>
                      <w:highlight w:val="none"/>
                    </w:rPr>
                    <w:t>III</w:t>
                  </w:r>
                  <w:r>
                    <w:rPr>
                      <w:rFonts w:hint="eastAsia"/>
                      <w:kern w:val="0"/>
                      <w:sz w:val="24"/>
                      <w:highlight w:val="none"/>
                    </w:rPr>
                    <w:fldChar w:fldCharType="end"/>
                  </w:r>
                  <w:r>
                    <w:rPr>
                      <w:rFonts w:hint="eastAsia"/>
                      <w:kern w:val="0"/>
                      <w:sz w:val="24"/>
                      <w:highlight w:val="none"/>
                    </w:rPr>
                    <w:t>类</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fldChar w:fldCharType="begin"/>
                  </w:r>
                  <w:r>
                    <w:rPr>
                      <w:rFonts w:hint="eastAsia"/>
                      <w:kern w:val="0"/>
                      <w:sz w:val="24"/>
                      <w:highlight w:val="none"/>
                    </w:rPr>
                    <w:instrText xml:space="preserve"> = 3 \* ROMAN \* MERGEFORMAT </w:instrText>
                  </w:r>
                  <w:r>
                    <w:rPr>
                      <w:rFonts w:hint="eastAsia"/>
                      <w:kern w:val="0"/>
                      <w:sz w:val="24"/>
                      <w:highlight w:val="none"/>
                    </w:rPr>
                    <w:fldChar w:fldCharType="separate"/>
                  </w:r>
                  <w:r>
                    <w:rPr>
                      <w:kern w:val="0"/>
                      <w:sz w:val="24"/>
                      <w:highlight w:val="none"/>
                    </w:rPr>
                    <w:t>III</w:t>
                  </w:r>
                  <w:r>
                    <w:rPr>
                      <w:rFonts w:hint="eastAsia"/>
                      <w:kern w:val="0"/>
                      <w:sz w:val="24"/>
                      <w:highlight w:val="none"/>
                    </w:rPr>
                    <w:fldChar w:fldCharType="end"/>
                  </w:r>
                  <w:r>
                    <w:rPr>
                      <w:rFonts w:hint="eastAsia"/>
                      <w:kern w:val="0"/>
                      <w:sz w:val="24"/>
                      <w:highlight w:val="none"/>
                    </w:rPr>
                    <w:t>类</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3</w:t>
                  </w:r>
                  <w:r>
                    <w:rPr>
                      <w:kern w:val="0"/>
                      <w:sz w:val="24"/>
                      <w:highlight w:val="none"/>
                    </w:rPr>
                    <w:t>次/季</w:t>
                  </w:r>
                </w:p>
              </w:tc>
              <w:tc>
                <w:tcPr>
                  <w:tcW w:w="1293" w:type="pct"/>
                  <w:vAlign w:val="center"/>
                </w:tcPr>
                <w:p>
                  <w:pPr>
                    <w:autoSpaceDE w:val="0"/>
                    <w:autoSpaceDN w:val="0"/>
                    <w:adjustRightInd w:val="0"/>
                    <w:snapToGrid w:val="0"/>
                    <w:jc w:val="center"/>
                    <w:textAlignment w:val="bottom"/>
                    <w:rPr>
                      <w:kern w:val="0"/>
                      <w:sz w:val="24"/>
                      <w:highlight w:val="none"/>
                    </w:rPr>
                  </w:pPr>
                  <w:r>
                    <w:rPr>
                      <w:kern w:val="0"/>
                      <w:sz w:val="24"/>
                      <w:highlight w:val="none"/>
                    </w:rPr>
                    <w:t>水温、pH、溶解氧、电导率、高锰酸盐指数、化学需氧量、五日生化需氧量、氨氮、总磷、总氮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pPr>
                    <w:autoSpaceDE w:val="0"/>
                    <w:autoSpaceDN w:val="0"/>
                    <w:adjustRightInd w:val="0"/>
                    <w:snapToGrid w:val="0"/>
                    <w:jc w:val="center"/>
                    <w:textAlignment w:val="bottom"/>
                    <w:rPr>
                      <w:kern w:val="0"/>
                      <w:sz w:val="24"/>
                      <w:highlight w:val="none"/>
                    </w:rPr>
                  </w:pPr>
                  <w:r>
                    <w:rPr>
                      <w:kern w:val="0"/>
                      <w:sz w:val="24"/>
                      <w:highlight w:val="none"/>
                    </w:rPr>
                    <w:t>20</w:t>
                  </w:r>
                  <w:r>
                    <w:rPr>
                      <w:rFonts w:hint="eastAsia"/>
                      <w:kern w:val="0"/>
                      <w:sz w:val="24"/>
                      <w:highlight w:val="none"/>
                    </w:rPr>
                    <w:t>21</w:t>
                  </w:r>
                  <w:r>
                    <w:rPr>
                      <w:kern w:val="0"/>
                      <w:sz w:val="24"/>
                      <w:highlight w:val="none"/>
                    </w:rPr>
                    <w:t>年三季度</w:t>
                  </w:r>
                </w:p>
              </w:tc>
              <w:tc>
                <w:tcPr>
                  <w:tcW w:w="260" w:type="pct"/>
                  <w:vMerge w:val="continue"/>
                  <w:vAlign w:val="center"/>
                </w:tcPr>
                <w:p>
                  <w:pPr>
                    <w:autoSpaceDE w:val="0"/>
                    <w:autoSpaceDN w:val="0"/>
                    <w:adjustRightInd w:val="0"/>
                    <w:snapToGrid w:val="0"/>
                    <w:jc w:val="center"/>
                    <w:textAlignment w:val="bottom"/>
                    <w:rPr>
                      <w:kern w:val="0"/>
                      <w:sz w:val="24"/>
                      <w:highlight w:val="none"/>
                    </w:rPr>
                  </w:pPr>
                </w:p>
              </w:tc>
              <w:tc>
                <w:tcPr>
                  <w:tcW w:w="262" w:type="pct"/>
                  <w:vMerge w:val="continue"/>
                  <w:vAlign w:val="center"/>
                </w:tcPr>
                <w:p>
                  <w:pPr>
                    <w:autoSpaceDE w:val="0"/>
                    <w:autoSpaceDN w:val="0"/>
                    <w:adjustRightInd w:val="0"/>
                    <w:snapToGrid w:val="0"/>
                    <w:jc w:val="center"/>
                    <w:textAlignment w:val="bottom"/>
                    <w:rPr>
                      <w:kern w:val="0"/>
                      <w:sz w:val="24"/>
                      <w:highlight w:val="none"/>
                    </w:rPr>
                  </w:pPr>
                </w:p>
              </w:tc>
              <w:tc>
                <w:tcPr>
                  <w:tcW w:w="418"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11</w:t>
                  </w:r>
                </w:p>
              </w:tc>
              <w:tc>
                <w:tcPr>
                  <w:tcW w:w="380"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11</w:t>
                  </w:r>
                </w:p>
              </w:tc>
              <w:tc>
                <w:tcPr>
                  <w:tcW w:w="419" w:type="pct"/>
                  <w:vAlign w:val="center"/>
                </w:tcPr>
                <w:p>
                  <w:pPr>
                    <w:autoSpaceDE w:val="0"/>
                    <w:autoSpaceDN w:val="0"/>
                    <w:adjustRightInd w:val="0"/>
                    <w:snapToGrid w:val="0"/>
                    <w:jc w:val="center"/>
                    <w:textAlignment w:val="bottom"/>
                    <w:rPr>
                      <w:kern w:val="0"/>
                      <w:sz w:val="24"/>
                      <w:highlight w:val="none"/>
                    </w:rPr>
                  </w:pPr>
                  <w:r>
                    <w:rPr>
                      <w:kern w:val="0"/>
                      <w:sz w:val="24"/>
                      <w:highlight w:val="none"/>
                    </w:rPr>
                    <w:t>100%</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fldChar w:fldCharType="begin"/>
                  </w:r>
                  <w:r>
                    <w:rPr>
                      <w:rFonts w:hint="eastAsia"/>
                      <w:kern w:val="0"/>
                      <w:sz w:val="24"/>
                      <w:highlight w:val="none"/>
                    </w:rPr>
                    <w:instrText xml:space="preserve"> = 3 \* ROMAN \* MERGEFORMAT </w:instrText>
                  </w:r>
                  <w:r>
                    <w:rPr>
                      <w:rFonts w:hint="eastAsia"/>
                      <w:kern w:val="0"/>
                      <w:sz w:val="24"/>
                      <w:highlight w:val="none"/>
                    </w:rPr>
                    <w:fldChar w:fldCharType="separate"/>
                  </w:r>
                  <w:r>
                    <w:rPr>
                      <w:kern w:val="0"/>
                      <w:sz w:val="24"/>
                      <w:highlight w:val="none"/>
                    </w:rPr>
                    <w:t>III</w:t>
                  </w:r>
                  <w:r>
                    <w:rPr>
                      <w:rFonts w:hint="eastAsia"/>
                      <w:kern w:val="0"/>
                      <w:sz w:val="24"/>
                      <w:highlight w:val="none"/>
                    </w:rPr>
                    <w:fldChar w:fldCharType="end"/>
                  </w:r>
                  <w:r>
                    <w:rPr>
                      <w:rFonts w:hint="eastAsia"/>
                      <w:kern w:val="0"/>
                      <w:sz w:val="24"/>
                      <w:highlight w:val="none"/>
                    </w:rPr>
                    <w:t>类</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fldChar w:fldCharType="begin"/>
                  </w:r>
                  <w:r>
                    <w:rPr>
                      <w:rFonts w:hint="eastAsia"/>
                      <w:kern w:val="0"/>
                      <w:sz w:val="24"/>
                      <w:highlight w:val="none"/>
                    </w:rPr>
                    <w:instrText xml:space="preserve"> = 3 \* ROMAN \* MERGEFORMAT </w:instrText>
                  </w:r>
                  <w:r>
                    <w:rPr>
                      <w:rFonts w:hint="eastAsia"/>
                      <w:kern w:val="0"/>
                      <w:sz w:val="24"/>
                      <w:highlight w:val="none"/>
                    </w:rPr>
                    <w:fldChar w:fldCharType="separate"/>
                  </w:r>
                  <w:r>
                    <w:rPr>
                      <w:kern w:val="0"/>
                      <w:sz w:val="24"/>
                      <w:highlight w:val="none"/>
                    </w:rPr>
                    <w:t>III</w:t>
                  </w:r>
                  <w:r>
                    <w:rPr>
                      <w:rFonts w:hint="eastAsia"/>
                      <w:kern w:val="0"/>
                      <w:sz w:val="24"/>
                      <w:highlight w:val="none"/>
                    </w:rPr>
                    <w:fldChar w:fldCharType="end"/>
                  </w:r>
                  <w:r>
                    <w:rPr>
                      <w:rFonts w:hint="eastAsia"/>
                      <w:kern w:val="0"/>
                      <w:sz w:val="24"/>
                      <w:highlight w:val="none"/>
                    </w:rPr>
                    <w:t>类</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w:t>
                  </w:r>
                </w:p>
              </w:tc>
              <w:tc>
                <w:tcPr>
                  <w:tcW w:w="317" w:type="pct"/>
                  <w:vAlign w:val="center"/>
                </w:tcPr>
                <w:p>
                  <w:pPr>
                    <w:autoSpaceDE w:val="0"/>
                    <w:autoSpaceDN w:val="0"/>
                    <w:adjustRightInd w:val="0"/>
                    <w:snapToGrid w:val="0"/>
                    <w:jc w:val="center"/>
                    <w:textAlignment w:val="bottom"/>
                    <w:rPr>
                      <w:kern w:val="0"/>
                      <w:sz w:val="24"/>
                      <w:highlight w:val="none"/>
                    </w:rPr>
                  </w:pPr>
                  <w:r>
                    <w:rPr>
                      <w:kern w:val="0"/>
                      <w:sz w:val="24"/>
                      <w:highlight w:val="none"/>
                    </w:rPr>
                    <w:t>3次/季</w:t>
                  </w:r>
                </w:p>
              </w:tc>
              <w:tc>
                <w:tcPr>
                  <w:tcW w:w="1293" w:type="pct"/>
                  <w:vMerge w:val="restart"/>
                  <w:vAlign w:val="center"/>
                </w:tcPr>
                <w:p>
                  <w:pPr>
                    <w:autoSpaceDE w:val="0"/>
                    <w:autoSpaceDN w:val="0"/>
                    <w:adjustRightInd w:val="0"/>
                    <w:snapToGrid w:val="0"/>
                    <w:jc w:val="center"/>
                    <w:textAlignment w:val="bottom"/>
                    <w:rPr>
                      <w:kern w:val="0"/>
                      <w:sz w:val="24"/>
                      <w:highlight w:val="none"/>
                    </w:rPr>
                  </w:pPr>
                  <w:r>
                    <w:rPr>
                      <w:kern w:val="0"/>
                      <w:sz w:val="24"/>
                      <w:highlight w:val="none"/>
                    </w:rPr>
                    <w:t>水温、pH、溶解氧、电导率、高锰酸盐指数、化学需氧量、五日生化需氧量、氨氮、总磷、总氮、浊度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77" w:type="pct"/>
                  <w:vAlign w:val="center"/>
                </w:tcPr>
                <w:p>
                  <w:pPr>
                    <w:autoSpaceDE w:val="0"/>
                    <w:autoSpaceDN w:val="0"/>
                    <w:adjustRightInd w:val="0"/>
                    <w:snapToGrid w:val="0"/>
                    <w:jc w:val="center"/>
                    <w:textAlignment w:val="bottom"/>
                    <w:rPr>
                      <w:kern w:val="0"/>
                      <w:sz w:val="24"/>
                      <w:highlight w:val="none"/>
                    </w:rPr>
                  </w:pPr>
                  <w:r>
                    <w:rPr>
                      <w:kern w:val="0"/>
                      <w:sz w:val="24"/>
                      <w:highlight w:val="none"/>
                    </w:rPr>
                    <w:t>20</w:t>
                  </w:r>
                  <w:r>
                    <w:rPr>
                      <w:rFonts w:hint="eastAsia"/>
                      <w:kern w:val="0"/>
                      <w:sz w:val="24"/>
                      <w:highlight w:val="none"/>
                    </w:rPr>
                    <w:t>21</w:t>
                  </w:r>
                  <w:r>
                    <w:rPr>
                      <w:kern w:val="0"/>
                      <w:sz w:val="24"/>
                      <w:highlight w:val="none"/>
                    </w:rPr>
                    <w:t>年四季度</w:t>
                  </w:r>
                </w:p>
              </w:tc>
              <w:tc>
                <w:tcPr>
                  <w:tcW w:w="260" w:type="pct"/>
                  <w:vMerge w:val="continue"/>
                  <w:vAlign w:val="center"/>
                </w:tcPr>
                <w:p>
                  <w:pPr>
                    <w:autoSpaceDE w:val="0"/>
                    <w:autoSpaceDN w:val="0"/>
                    <w:adjustRightInd w:val="0"/>
                    <w:snapToGrid w:val="0"/>
                    <w:jc w:val="center"/>
                    <w:textAlignment w:val="bottom"/>
                    <w:rPr>
                      <w:kern w:val="0"/>
                      <w:sz w:val="24"/>
                      <w:highlight w:val="none"/>
                    </w:rPr>
                  </w:pPr>
                </w:p>
              </w:tc>
              <w:tc>
                <w:tcPr>
                  <w:tcW w:w="262" w:type="pct"/>
                  <w:vMerge w:val="continue"/>
                  <w:vAlign w:val="center"/>
                </w:tcPr>
                <w:p>
                  <w:pPr>
                    <w:autoSpaceDE w:val="0"/>
                    <w:autoSpaceDN w:val="0"/>
                    <w:adjustRightInd w:val="0"/>
                    <w:snapToGrid w:val="0"/>
                    <w:jc w:val="center"/>
                    <w:textAlignment w:val="bottom"/>
                    <w:rPr>
                      <w:kern w:val="0"/>
                      <w:sz w:val="24"/>
                      <w:highlight w:val="none"/>
                    </w:rPr>
                  </w:pPr>
                </w:p>
              </w:tc>
              <w:tc>
                <w:tcPr>
                  <w:tcW w:w="418"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11</w:t>
                  </w:r>
                </w:p>
              </w:tc>
              <w:tc>
                <w:tcPr>
                  <w:tcW w:w="380"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11</w:t>
                  </w:r>
                </w:p>
              </w:tc>
              <w:tc>
                <w:tcPr>
                  <w:tcW w:w="419" w:type="pct"/>
                  <w:vAlign w:val="center"/>
                </w:tcPr>
                <w:p>
                  <w:pPr>
                    <w:autoSpaceDE w:val="0"/>
                    <w:autoSpaceDN w:val="0"/>
                    <w:adjustRightInd w:val="0"/>
                    <w:snapToGrid w:val="0"/>
                    <w:jc w:val="center"/>
                    <w:textAlignment w:val="bottom"/>
                    <w:rPr>
                      <w:kern w:val="0"/>
                      <w:sz w:val="24"/>
                      <w:highlight w:val="none"/>
                    </w:rPr>
                  </w:pPr>
                  <w:r>
                    <w:rPr>
                      <w:kern w:val="0"/>
                      <w:sz w:val="24"/>
                      <w:highlight w:val="none"/>
                    </w:rPr>
                    <w:t>100%</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fldChar w:fldCharType="begin"/>
                  </w:r>
                  <w:r>
                    <w:rPr>
                      <w:rFonts w:hint="eastAsia"/>
                      <w:kern w:val="0"/>
                      <w:sz w:val="24"/>
                      <w:highlight w:val="none"/>
                    </w:rPr>
                    <w:instrText xml:space="preserve"> = 3 \* ROMAN \* MERGEFORMAT </w:instrText>
                  </w:r>
                  <w:r>
                    <w:rPr>
                      <w:rFonts w:hint="eastAsia"/>
                      <w:kern w:val="0"/>
                      <w:sz w:val="24"/>
                      <w:highlight w:val="none"/>
                    </w:rPr>
                    <w:fldChar w:fldCharType="separate"/>
                  </w:r>
                  <w:r>
                    <w:rPr>
                      <w:kern w:val="0"/>
                      <w:sz w:val="24"/>
                      <w:highlight w:val="none"/>
                    </w:rPr>
                    <w:t>III</w:t>
                  </w:r>
                  <w:r>
                    <w:rPr>
                      <w:rFonts w:hint="eastAsia"/>
                      <w:kern w:val="0"/>
                      <w:sz w:val="24"/>
                      <w:highlight w:val="none"/>
                    </w:rPr>
                    <w:fldChar w:fldCharType="end"/>
                  </w:r>
                  <w:r>
                    <w:rPr>
                      <w:rFonts w:hint="eastAsia"/>
                      <w:kern w:val="0"/>
                      <w:sz w:val="24"/>
                      <w:highlight w:val="none"/>
                    </w:rPr>
                    <w:t>类</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fldChar w:fldCharType="begin"/>
                  </w:r>
                  <w:r>
                    <w:rPr>
                      <w:rFonts w:hint="eastAsia"/>
                      <w:kern w:val="0"/>
                      <w:sz w:val="24"/>
                      <w:highlight w:val="none"/>
                    </w:rPr>
                    <w:instrText xml:space="preserve"> = 3 \* ROMAN \* MERGEFORMAT </w:instrText>
                  </w:r>
                  <w:r>
                    <w:rPr>
                      <w:rFonts w:hint="eastAsia"/>
                      <w:kern w:val="0"/>
                      <w:sz w:val="24"/>
                      <w:highlight w:val="none"/>
                    </w:rPr>
                    <w:fldChar w:fldCharType="separate"/>
                  </w:r>
                  <w:r>
                    <w:rPr>
                      <w:kern w:val="0"/>
                      <w:sz w:val="24"/>
                      <w:highlight w:val="none"/>
                    </w:rPr>
                    <w:t>III</w:t>
                  </w:r>
                  <w:r>
                    <w:rPr>
                      <w:rFonts w:hint="eastAsia"/>
                      <w:kern w:val="0"/>
                      <w:sz w:val="24"/>
                      <w:highlight w:val="none"/>
                    </w:rPr>
                    <w:fldChar w:fldCharType="end"/>
                  </w:r>
                  <w:r>
                    <w:rPr>
                      <w:rFonts w:hint="eastAsia"/>
                      <w:kern w:val="0"/>
                      <w:sz w:val="24"/>
                      <w:highlight w:val="none"/>
                    </w:rPr>
                    <w:t>类</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w:t>
                  </w:r>
                </w:p>
              </w:tc>
              <w:tc>
                <w:tcPr>
                  <w:tcW w:w="317" w:type="pct"/>
                  <w:vAlign w:val="center"/>
                </w:tcPr>
                <w:p>
                  <w:pPr>
                    <w:autoSpaceDE w:val="0"/>
                    <w:autoSpaceDN w:val="0"/>
                    <w:adjustRightInd w:val="0"/>
                    <w:snapToGrid w:val="0"/>
                    <w:jc w:val="center"/>
                    <w:textAlignment w:val="bottom"/>
                    <w:rPr>
                      <w:kern w:val="0"/>
                      <w:sz w:val="24"/>
                      <w:highlight w:val="none"/>
                    </w:rPr>
                  </w:pPr>
                  <w:r>
                    <w:rPr>
                      <w:rFonts w:hint="eastAsia"/>
                      <w:kern w:val="0"/>
                      <w:sz w:val="24"/>
                      <w:highlight w:val="none"/>
                    </w:rPr>
                    <w:t>/</w:t>
                  </w:r>
                </w:p>
              </w:tc>
              <w:tc>
                <w:tcPr>
                  <w:tcW w:w="317" w:type="pct"/>
                  <w:vAlign w:val="center"/>
                </w:tcPr>
                <w:p>
                  <w:pPr>
                    <w:autoSpaceDE w:val="0"/>
                    <w:autoSpaceDN w:val="0"/>
                    <w:adjustRightInd w:val="0"/>
                    <w:snapToGrid w:val="0"/>
                    <w:jc w:val="center"/>
                    <w:textAlignment w:val="bottom"/>
                    <w:rPr>
                      <w:kern w:val="0"/>
                      <w:sz w:val="24"/>
                      <w:highlight w:val="none"/>
                    </w:rPr>
                  </w:pPr>
                  <w:r>
                    <w:rPr>
                      <w:kern w:val="0"/>
                      <w:sz w:val="24"/>
                      <w:highlight w:val="none"/>
                    </w:rPr>
                    <w:t>3次/季</w:t>
                  </w:r>
                </w:p>
              </w:tc>
              <w:tc>
                <w:tcPr>
                  <w:tcW w:w="1293" w:type="pct"/>
                  <w:vMerge w:val="continue"/>
                  <w:vAlign w:val="center"/>
                </w:tcPr>
                <w:p>
                  <w:pPr>
                    <w:autoSpaceDE w:val="0"/>
                    <w:autoSpaceDN w:val="0"/>
                    <w:adjustRightInd w:val="0"/>
                    <w:snapToGrid w:val="0"/>
                    <w:jc w:val="center"/>
                    <w:textAlignment w:val="bottom"/>
                    <w:rPr>
                      <w:kern w:val="0"/>
                      <w:sz w:val="24"/>
                      <w:highlight w:val="none"/>
                    </w:rPr>
                  </w:pPr>
                </w:p>
              </w:tc>
            </w:tr>
          </w:tbl>
          <w:p>
            <w:pPr>
              <w:spacing w:line="360" w:lineRule="auto"/>
              <w:ind w:firstLine="480" w:firstLineChars="200"/>
              <w:rPr>
                <w:kern w:val="0"/>
                <w:sz w:val="24"/>
                <w:highlight w:val="none"/>
              </w:rPr>
            </w:pPr>
            <w:r>
              <w:rPr>
                <w:kern w:val="0"/>
                <w:sz w:val="24"/>
                <w:highlight w:val="none"/>
              </w:rPr>
              <w:t>由上表可知，挠力河挠力河口内断面水体能够到达《地表水环境质量标准》（GB3838-2002）Ⅲ类标准。</w:t>
            </w:r>
          </w:p>
          <w:bookmarkEnd w:id="41"/>
          <w:bookmarkEnd w:id="42"/>
          <w:bookmarkEnd w:id="43"/>
          <w:bookmarkEnd w:id="44"/>
          <w:p>
            <w:pPr>
              <w:pStyle w:val="27"/>
              <w:widowControl w:val="0"/>
              <w:snapToGrid/>
              <w:spacing w:before="0" w:after="0" w:line="360" w:lineRule="auto"/>
              <w:ind w:firstLine="0" w:firstLineChars="0"/>
              <w:rPr>
                <w:b/>
                <w:bCs/>
                <w:sz w:val="24"/>
                <w:szCs w:val="24"/>
                <w:highlight w:val="none"/>
              </w:rPr>
            </w:pPr>
            <w:r>
              <w:rPr>
                <w:b/>
                <w:bCs/>
                <w:sz w:val="24"/>
                <w:szCs w:val="24"/>
                <w:highlight w:val="none"/>
              </w:rPr>
              <w:t>3、声环境</w:t>
            </w:r>
          </w:p>
          <w:p>
            <w:pPr>
              <w:spacing w:line="360" w:lineRule="auto"/>
              <w:ind w:firstLine="480" w:firstLineChars="200"/>
              <w:rPr>
                <w:sz w:val="24"/>
                <w:highlight w:val="none"/>
              </w:rPr>
            </w:pPr>
            <w:r>
              <w:rPr>
                <w:rFonts w:hint="eastAsia"/>
                <w:sz w:val="24"/>
                <w:highlight w:val="none"/>
                <w:lang w:val="zh-TW" w:eastAsia="zh-TW"/>
              </w:rPr>
              <w:t>本项目</w:t>
            </w:r>
            <w:r>
              <w:rPr>
                <w:rFonts w:hint="eastAsia"/>
                <w:sz w:val="24"/>
                <w:highlight w:val="none"/>
                <w:lang w:val="zh-TW"/>
              </w:rPr>
              <w:t>位于</w:t>
            </w:r>
            <w:r>
              <w:rPr>
                <w:rFonts w:hint="eastAsia"/>
                <w:sz w:val="24"/>
                <w:highlight w:val="none"/>
              </w:rPr>
              <w:t>双鸭山市四方台区太保镇开源村，区域声环境质量良好。</w:t>
            </w:r>
          </w:p>
          <w:p>
            <w:pPr>
              <w:adjustRightInd w:val="0"/>
              <w:snapToGrid w:val="0"/>
              <w:spacing w:line="360" w:lineRule="auto"/>
              <w:ind w:firstLine="480" w:firstLineChars="200"/>
              <w:rPr>
                <w:sz w:val="24"/>
                <w:highlight w:val="none"/>
              </w:rPr>
            </w:pPr>
            <w:r>
              <w:rPr>
                <w:kern w:val="0"/>
                <w:sz w:val="24"/>
                <w:highlight w:val="none"/>
              </w:rPr>
              <w:t>黑龙江省星科环境监测有限公司</w:t>
            </w:r>
            <w:r>
              <w:rPr>
                <w:sz w:val="24"/>
                <w:highlight w:val="none"/>
              </w:rPr>
              <w:t>于202</w:t>
            </w:r>
            <w:r>
              <w:rPr>
                <w:rFonts w:hint="eastAsia"/>
                <w:sz w:val="24"/>
                <w:highlight w:val="none"/>
              </w:rPr>
              <w:t>2</w:t>
            </w:r>
            <w:r>
              <w:rPr>
                <w:sz w:val="24"/>
                <w:highlight w:val="none"/>
              </w:rPr>
              <w:t>年</w:t>
            </w:r>
            <w:r>
              <w:rPr>
                <w:rFonts w:hint="eastAsia"/>
                <w:sz w:val="24"/>
                <w:highlight w:val="none"/>
              </w:rPr>
              <w:t>4</w:t>
            </w:r>
            <w:r>
              <w:rPr>
                <w:sz w:val="24"/>
                <w:highlight w:val="none"/>
              </w:rPr>
              <w:t>月</w:t>
            </w:r>
            <w:r>
              <w:rPr>
                <w:rFonts w:hint="eastAsia"/>
                <w:sz w:val="24"/>
                <w:highlight w:val="none"/>
              </w:rPr>
              <w:t>15</w:t>
            </w:r>
            <w:r>
              <w:rPr>
                <w:sz w:val="24"/>
                <w:highlight w:val="none"/>
              </w:rPr>
              <w:t>日对本项目</w:t>
            </w:r>
            <w:r>
              <w:rPr>
                <w:rFonts w:hint="eastAsia"/>
                <w:sz w:val="24"/>
                <w:highlight w:val="none"/>
              </w:rPr>
              <w:t>北侧、东侧、南侧</w:t>
            </w:r>
            <w:r>
              <w:rPr>
                <w:rFonts w:hint="eastAsia"/>
                <w:sz w:val="24"/>
                <w:highlight w:val="none"/>
                <w:lang w:eastAsia="zh-CN"/>
              </w:rPr>
              <w:t>、</w:t>
            </w:r>
            <w:r>
              <w:rPr>
                <w:rFonts w:hint="eastAsia"/>
                <w:sz w:val="24"/>
                <w:highlight w:val="none"/>
                <w:lang w:val="en-US" w:eastAsia="zh-CN"/>
              </w:rPr>
              <w:t>西侧</w:t>
            </w:r>
            <w:r>
              <w:rPr>
                <w:rFonts w:hint="eastAsia"/>
                <w:sz w:val="24"/>
                <w:highlight w:val="none"/>
              </w:rPr>
              <w:t>环境保护目标处</w:t>
            </w:r>
            <w:r>
              <w:rPr>
                <w:sz w:val="24"/>
                <w:highlight w:val="none"/>
              </w:rPr>
              <w:t>各设</w:t>
            </w:r>
            <w:r>
              <w:rPr>
                <w:rFonts w:hint="eastAsia"/>
                <w:sz w:val="24"/>
                <w:highlight w:val="none"/>
              </w:rPr>
              <w:t>1</w:t>
            </w:r>
            <w:r>
              <w:rPr>
                <w:sz w:val="24"/>
                <w:highlight w:val="none"/>
              </w:rPr>
              <w:t>个监测点，本次评价共设</w:t>
            </w:r>
            <w:r>
              <w:rPr>
                <w:rFonts w:hint="eastAsia"/>
                <w:sz w:val="24"/>
                <w:highlight w:val="none"/>
              </w:rPr>
              <w:t>4</w:t>
            </w:r>
            <w:r>
              <w:rPr>
                <w:sz w:val="24"/>
                <w:highlight w:val="none"/>
              </w:rPr>
              <w:t>个声环境监测点，监测结果见下表。</w:t>
            </w:r>
          </w:p>
          <w:p>
            <w:pPr>
              <w:jc w:val="center"/>
              <w:rPr>
                <w:b/>
                <w:szCs w:val="21"/>
                <w:highlight w:val="none"/>
              </w:rPr>
            </w:pPr>
            <w:r>
              <w:rPr>
                <w:b/>
                <w:szCs w:val="21"/>
                <w:highlight w:val="none"/>
              </w:rPr>
              <w:t>表3</w:t>
            </w:r>
            <w:r>
              <w:rPr>
                <w:rFonts w:eastAsia="Times New Roman"/>
                <w:b/>
                <w:szCs w:val="21"/>
                <w:highlight w:val="none"/>
              </w:rPr>
              <w:t>-</w:t>
            </w:r>
            <w:r>
              <w:rPr>
                <w:rFonts w:hint="eastAsia"/>
                <w:b/>
                <w:szCs w:val="21"/>
                <w:highlight w:val="none"/>
              </w:rPr>
              <w:t>5</w:t>
            </w:r>
            <w:r>
              <w:rPr>
                <w:rFonts w:eastAsia="Times New Roman"/>
                <w:b/>
                <w:szCs w:val="21"/>
                <w:highlight w:val="none"/>
              </w:rPr>
              <w:t xml:space="preserve"> </w:t>
            </w:r>
            <w:r>
              <w:rPr>
                <w:b/>
                <w:szCs w:val="21"/>
                <w:highlight w:val="none"/>
              </w:rPr>
              <w:t>声环境现状监测结果</w:t>
            </w:r>
          </w:p>
          <w:tbl>
            <w:tblPr>
              <w:tblStyle w:val="29"/>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85"/>
              <w:gridCol w:w="1593"/>
              <w:gridCol w:w="1460"/>
              <w:gridCol w:w="1447"/>
              <w:gridCol w:w="15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5" w:type="dxa"/>
                  <w:vMerge w:val="restart"/>
                  <w:vAlign w:val="center"/>
                </w:tcPr>
                <w:p>
                  <w:pPr>
                    <w:jc w:val="center"/>
                    <w:rPr>
                      <w:szCs w:val="21"/>
                      <w:highlight w:val="none"/>
                    </w:rPr>
                  </w:pPr>
                  <w:r>
                    <w:rPr>
                      <w:szCs w:val="21"/>
                      <w:highlight w:val="none"/>
                    </w:rPr>
                    <w:t>监测点位</w:t>
                  </w:r>
                </w:p>
              </w:tc>
              <w:tc>
                <w:tcPr>
                  <w:tcW w:w="6019" w:type="dxa"/>
                  <w:gridSpan w:val="4"/>
                  <w:vAlign w:val="center"/>
                </w:tcPr>
                <w:p>
                  <w:pPr>
                    <w:jc w:val="center"/>
                    <w:rPr>
                      <w:szCs w:val="21"/>
                      <w:highlight w:val="none"/>
                    </w:rPr>
                  </w:pPr>
                  <w:r>
                    <w:rPr>
                      <w:szCs w:val="21"/>
                      <w:highlight w:val="none"/>
                    </w:rPr>
                    <w:t>监测结果dB(A)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5" w:type="dxa"/>
                  <w:vMerge w:val="continue"/>
                  <w:vAlign w:val="center"/>
                </w:tcPr>
                <w:p>
                  <w:pPr>
                    <w:jc w:val="center"/>
                    <w:rPr>
                      <w:szCs w:val="21"/>
                      <w:highlight w:val="none"/>
                    </w:rPr>
                  </w:pPr>
                </w:p>
              </w:tc>
              <w:tc>
                <w:tcPr>
                  <w:tcW w:w="3053" w:type="dxa"/>
                  <w:gridSpan w:val="2"/>
                  <w:vAlign w:val="center"/>
                </w:tcPr>
                <w:p>
                  <w:pPr>
                    <w:jc w:val="center"/>
                    <w:rPr>
                      <w:szCs w:val="21"/>
                      <w:highlight w:val="none"/>
                    </w:rPr>
                  </w:pPr>
                  <w:r>
                    <w:rPr>
                      <w:szCs w:val="21"/>
                      <w:highlight w:val="none"/>
                    </w:rPr>
                    <w:t>202</w:t>
                  </w:r>
                  <w:r>
                    <w:rPr>
                      <w:rFonts w:hint="eastAsia"/>
                      <w:szCs w:val="21"/>
                      <w:highlight w:val="none"/>
                    </w:rPr>
                    <w:t>2</w:t>
                  </w:r>
                  <w:r>
                    <w:rPr>
                      <w:szCs w:val="21"/>
                      <w:highlight w:val="none"/>
                    </w:rPr>
                    <w:t>.6.24</w:t>
                  </w:r>
                </w:p>
              </w:tc>
              <w:tc>
                <w:tcPr>
                  <w:tcW w:w="2966" w:type="dxa"/>
                  <w:gridSpan w:val="2"/>
                  <w:vAlign w:val="center"/>
                </w:tcPr>
                <w:p>
                  <w:pPr>
                    <w:jc w:val="center"/>
                    <w:rPr>
                      <w:szCs w:val="21"/>
                      <w:highlight w:val="none"/>
                    </w:rPr>
                  </w:pPr>
                  <w:r>
                    <w:rPr>
                      <w:szCs w:val="21"/>
                      <w:highlight w:val="none"/>
                    </w:rPr>
                    <w:t>202</w:t>
                  </w:r>
                  <w:r>
                    <w:rPr>
                      <w:rFonts w:hint="eastAsia"/>
                      <w:szCs w:val="21"/>
                      <w:highlight w:val="none"/>
                    </w:rPr>
                    <w:t>2</w:t>
                  </w:r>
                  <w:r>
                    <w:rPr>
                      <w:szCs w:val="21"/>
                      <w:highlight w:val="none"/>
                    </w:rPr>
                    <w:t>.6.25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5" w:type="dxa"/>
                  <w:vMerge w:val="continue"/>
                  <w:vAlign w:val="center"/>
                </w:tcPr>
                <w:p>
                  <w:pPr>
                    <w:jc w:val="center"/>
                    <w:rPr>
                      <w:szCs w:val="21"/>
                      <w:highlight w:val="none"/>
                    </w:rPr>
                  </w:pPr>
                </w:p>
              </w:tc>
              <w:tc>
                <w:tcPr>
                  <w:tcW w:w="1593" w:type="dxa"/>
                  <w:vAlign w:val="center"/>
                </w:tcPr>
                <w:p>
                  <w:pPr>
                    <w:jc w:val="center"/>
                    <w:rPr>
                      <w:szCs w:val="21"/>
                      <w:highlight w:val="none"/>
                    </w:rPr>
                  </w:pPr>
                  <w:r>
                    <w:rPr>
                      <w:szCs w:val="21"/>
                      <w:highlight w:val="none"/>
                    </w:rPr>
                    <w:t>昼间</w:t>
                  </w:r>
                </w:p>
              </w:tc>
              <w:tc>
                <w:tcPr>
                  <w:tcW w:w="1460" w:type="dxa"/>
                  <w:vAlign w:val="center"/>
                </w:tcPr>
                <w:p>
                  <w:pPr>
                    <w:jc w:val="center"/>
                    <w:rPr>
                      <w:szCs w:val="21"/>
                      <w:highlight w:val="none"/>
                    </w:rPr>
                  </w:pPr>
                  <w:r>
                    <w:rPr>
                      <w:rFonts w:hint="eastAsia"/>
                      <w:szCs w:val="21"/>
                      <w:highlight w:val="none"/>
                    </w:rPr>
                    <w:t>夜间</w:t>
                  </w:r>
                </w:p>
              </w:tc>
              <w:tc>
                <w:tcPr>
                  <w:tcW w:w="1447" w:type="dxa"/>
                  <w:vAlign w:val="center"/>
                </w:tcPr>
                <w:p>
                  <w:pPr>
                    <w:jc w:val="center"/>
                    <w:rPr>
                      <w:szCs w:val="21"/>
                      <w:highlight w:val="none"/>
                    </w:rPr>
                  </w:pPr>
                  <w:r>
                    <w:rPr>
                      <w:szCs w:val="21"/>
                      <w:highlight w:val="none"/>
                    </w:rPr>
                    <w:t>昼间</w:t>
                  </w:r>
                </w:p>
              </w:tc>
              <w:tc>
                <w:tcPr>
                  <w:tcW w:w="1519" w:type="dxa"/>
                  <w:vAlign w:val="center"/>
                </w:tcPr>
                <w:p>
                  <w:pPr>
                    <w:jc w:val="center"/>
                    <w:rPr>
                      <w:szCs w:val="21"/>
                      <w:highlight w:val="none"/>
                    </w:rPr>
                  </w:pPr>
                  <w:r>
                    <w:rPr>
                      <w:rFonts w:hint="eastAsia"/>
                      <w:szCs w:val="21"/>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5" w:type="dxa"/>
                  <w:vAlign w:val="center"/>
                </w:tcPr>
                <w:p>
                  <w:pPr>
                    <w:jc w:val="center"/>
                    <w:rPr>
                      <w:szCs w:val="21"/>
                      <w:highlight w:val="none"/>
                    </w:rPr>
                  </w:pPr>
                  <w:r>
                    <w:rPr>
                      <w:rFonts w:hint="eastAsia"/>
                      <w:szCs w:val="21"/>
                      <w:highlight w:val="none"/>
                    </w:rPr>
                    <w:t>厂区北侧敏感点1</w:t>
                  </w:r>
                </w:p>
              </w:tc>
              <w:tc>
                <w:tcPr>
                  <w:tcW w:w="1593" w:type="dxa"/>
                  <w:vAlign w:val="center"/>
                </w:tcPr>
                <w:p>
                  <w:pPr>
                    <w:jc w:val="center"/>
                    <w:rPr>
                      <w:spacing w:val="16"/>
                      <w:kern w:val="0"/>
                      <w:szCs w:val="21"/>
                      <w:highlight w:val="none"/>
                    </w:rPr>
                  </w:pPr>
                  <w:r>
                    <w:rPr>
                      <w:rFonts w:hint="eastAsia"/>
                      <w:spacing w:val="16"/>
                      <w:kern w:val="0"/>
                      <w:szCs w:val="21"/>
                      <w:highlight w:val="none"/>
                    </w:rPr>
                    <w:t>52</w:t>
                  </w:r>
                </w:p>
              </w:tc>
              <w:tc>
                <w:tcPr>
                  <w:tcW w:w="1460" w:type="dxa"/>
                  <w:vAlign w:val="center"/>
                </w:tcPr>
                <w:p>
                  <w:pPr>
                    <w:jc w:val="center"/>
                    <w:rPr>
                      <w:spacing w:val="16"/>
                      <w:kern w:val="0"/>
                      <w:szCs w:val="21"/>
                      <w:highlight w:val="none"/>
                    </w:rPr>
                  </w:pPr>
                  <w:r>
                    <w:rPr>
                      <w:rFonts w:hint="eastAsia"/>
                      <w:spacing w:val="16"/>
                      <w:kern w:val="0"/>
                      <w:szCs w:val="21"/>
                      <w:highlight w:val="none"/>
                    </w:rPr>
                    <w:t>4</w:t>
                  </w:r>
                  <w:r>
                    <w:rPr>
                      <w:spacing w:val="16"/>
                      <w:kern w:val="0"/>
                      <w:szCs w:val="21"/>
                      <w:highlight w:val="none"/>
                    </w:rPr>
                    <w:t>0</w:t>
                  </w:r>
                </w:p>
              </w:tc>
              <w:tc>
                <w:tcPr>
                  <w:tcW w:w="1447" w:type="dxa"/>
                  <w:vAlign w:val="center"/>
                </w:tcPr>
                <w:p>
                  <w:pPr>
                    <w:jc w:val="center"/>
                    <w:rPr>
                      <w:spacing w:val="16"/>
                      <w:kern w:val="0"/>
                      <w:szCs w:val="21"/>
                      <w:highlight w:val="none"/>
                    </w:rPr>
                  </w:pPr>
                  <w:r>
                    <w:rPr>
                      <w:rFonts w:hint="eastAsia"/>
                      <w:spacing w:val="16"/>
                      <w:kern w:val="0"/>
                      <w:szCs w:val="21"/>
                      <w:highlight w:val="none"/>
                    </w:rPr>
                    <w:t>52</w:t>
                  </w:r>
                </w:p>
              </w:tc>
              <w:tc>
                <w:tcPr>
                  <w:tcW w:w="1519" w:type="dxa"/>
                  <w:vAlign w:val="center"/>
                </w:tcPr>
                <w:p>
                  <w:pPr>
                    <w:jc w:val="center"/>
                    <w:rPr>
                      <w:spacing w:val="16"/>
                      <w:kern w:val="0"/>
                      <w:szCs w:val="21"/>
                      <w:highlight w:val="none"/>
                    </w:rPr>
                  </w:pPr>
                  <w:r>
                    <w:rPr>
                      <w:spacing w:val="16"/>
                      <w:kern w:val="0"/>
                      <w:szCs w:val="21"/>
                      <w:highlight w:val="none"/>
                    </w:rPr>
                    <w:t>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485" w:type="dxa"/>
                  <w:vAlign w:val="center"/>
                </w:tcPr>
                <w:p>
                  <w:pPr>
                    <w:jc w:val="center"/>
                    <w:rPr>
                      <w:szCs w:val="21"/>
                      <w:highlight w:val="none"/>
                    </w:rPr>
                  </w:pPr>
                  <w:r>
                    <w:rPr>
                      <w:rFonts w:hint="eastAsia"/>
                      <w:szCs w:val="21"/>
                      <w:highlight w:val="none"/>
                    </w:rPr>
                    <w:t>厂区东侧敏感点</w:t>
                  </w:r>
                  <w:r>
                    <w:rPr>
                      <w:szCs w:val="21"/>
                      <w:highlight w:val="none"/>
                    </w:rPr>
                    <w:t>2</w:t>
                  </w:r>
                </w:p>
              </w:tc>
              <w:tc>
                <w:tcPr>
                  <w:tcW w:w="1593" w:type="dxa"/>
                  <w:vAlign w:val="center"/>
                </w:tcPr>
                <w:p>
                  <w:pPr>
                    <w:jc w:val="center"/>
                    <w:rPr>
                      <w:spacing w:val="16"/>
                      <w:kern w:val="0"/>
                      <w:szCs w:val="21"/>
                      <w:highlight w:val="none"/>
                    </w:rPr>
                  </w:pPr>
                  <w:r>
                    <w:rPr>
                      <w:spacing w:val="16"/>
                      <w:kern w:val="0"/>
                      <w:szCs w:val="21"/>
                      <w:highlight w:val="none"/>
                    </w:rPr>
                    <w:t>51</w:t>
                  </w:r>
                </w:p>
              </w:tc>
              <w:tc>
                <w:tcPr>
                  <w:tcW w:w="1460" w:type="dxa"/>
                  <w:vAlign w:val="center"/>
                </w:tcPr>
                <w:p>
                  <w:pPr>
                    <w:jc w:val="center"/>
                    <w:rPr>
                      <w:spacing w:val="16"/>
                      <w:kern w:val="0"/>
                      <w:szCs w:val="21"/>
                      <w:highlight w:val="none"/>
                    </w:rPr>
                  </w:pPr>
                  <w:r>
                    <w:rPr>
                      <w:spacing w:val="16"/>
                      <w:kern w:val="0"/>
                      <w:szCs w:val="21"/>
                      <w:highlight w:val="none"/>
                    </w:rPr>
                    <w:t>41</w:t>
                  </w:r>
                </w:p>
              </w:tc>
              <w:tc>
                <w:tcPr>
                  <w:tcW w:w="1447" w:type="dxa"/>
                  <w:vAlign w:val="center"/>
                </w:tcPr>
                <w:p>
                  <w:pPr>
                    <w:jc w:val="center"/>
                    <w:rPr>
                      <w:spacing w:val="16"/>
                      <w:kern w:val="0"/>
                      <w:szCs w:val="21"/>
                      <w:highlight w:val="none"/>
                    </w:rPr>
                  </w:pPr>
                  <w:r>
                    <w:rPr>
                      <w:spacing w:val="16"/>
                      <w:kern w:val="0"/>
                      <w:szCs w:val="21"/>
                      <w:highlight w:val="none"/>
                    </w:rPr>
                    <w:t>51</w:t>
                  </w:r>
                </w:p>
              </w:tc>
              <w:tc>
                <w:tcPr>
                  <w:tcW w:w="1519" w:type="dxa"/>
                  <w:vAlign w:val="center"/>
                </w:tcPr>
                <w:p>
                  <w:pPr>
                    <w:jc w:val="center"/>
                    <w:rPr>
                      <w:spacing w:val="16"/>
                      <w:kern w:val="0"/>
                      <w:szCs w:val="21"/>
                      <w:highlight w:val="none"/>
                    </w:rPr>
                  </w:pPr>
                  <w:r>
                    <w:rPr>
                      <w:rFonts w:hint="eastAsia"/>
                      <w:spacing w:val="16"/>
                      <w:kern w:val="0"/>
                      <w:szCs w:val="21"/>
                      <w:highlight w:val="none"/>
                    </w:rPr>
                    <w:t>4</w:t>
                  </w:r>
                  <w:r>
                    <w:rPr>
                      <w:spacing w:val="16"/>
                      <w:kern w:val="0"/>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485" w:type="dxa"/>
                  <w:vAlign w:val="center"/>
                </w:tcPr>
                <w:p>
                  <w:pPr>
                    <w:jc w:val="center"/>
                    <w:rPr>
                      <w:szCs w:val="21"/>
                      <w:highlight w:val="none"/>
                    </w:rPr>
                  </w:pPr>
                  <w:r>
                    <w:rPr>
                      <w:rFonts w:hint="eastAsia"/>
                      <w:szCs w:val="21"/>
                      <w:highlight w:val="none"/>
                    </w:rPr>
                    <w:t>厂区南侧敏感点3</w:t>
                  </w:r>
                </w:p>
              </w:tc>
              <w:tc>
                <w:tcPr>
                  <w:tcW w:w="1593" w:type="dxa"/>
                  <w:vAlign w:val="center"/>
                </w:tcPr>
                <w:p>
                  <w:pPr>
                    <w:jc w:val="center"/>
                    <w:rPr>
                      <w:spacing w:val="16"/>
                      <w:kern w:val="0"/>
                      <w:szCs w:val="21"/>
                      <w:highlight w:val="none"/>
                    </w:rPr>
                  </w:pPr>
                  <w:r>
                    <w:rPr>
                      <w:rFonts w:hint="eastAsia"/>
                      <w:spacing w:val="16"/>
                      <w:kern w:val="0"/>
                      <w:szCs w:val="21"/>
                      <w:highlight w:val="none"/>
                    </w:rPr>
                    <w:t>5</w:t>
                  </w:r>
                  <w:r>
                    <w:rPr>
                      <w:spacing w:val="16"/>
                      <w:kern w:val="0"/>
                      <w:szCs w:val="21"/>
                      <w:highlight w:val="none"/>
                    </w:rPr>
                    <w:t>1</w:t>
                  </w:r>
                </w:p>
              </w:tc>
              <w:tc>
                <w:tcPr>
                  <w:tcW w:w="1460" w:type="dxa"/>
                  <w:vAlign w:val="center"/>
                </w:tcPr>
                <w:p>
                  <w:pPr>
                    <w:jc w:val="center"/>
                    <w:rPr>
                      <w:spacing w:val="16"/>
                      <w:kern w:val="0"/>
                      <w:szCs w:val="21"/>
                      <w:highlight w:val="none"/>
                    </w:rPr>
                  </w:pPr>
                  <w:r>
                    <w:rPr>
                      <w:rFonts w:hint="eastAsia"/>
                      <w:spacing w:val="16"/>
                      <w:kern w:val="0"/>
                      <w:szCs w:val="21"/>
                      <w:highlight w:val="none"/>
                    </w:rPr>
                    <w:t>4</w:t>
                  </w:r>
                  <w:r>
                    <w:rPr>
                      <w:spacing w:val="16"/>
                      <w:kern w:val="0"/>
                      <w:szCs w:val="21"/>
                      <w:highlight w:val="none"/>
                    </w:rPr>
                    <w:t>1</w:t>
                  </w:r>
                </w:p>
              </w:tc>
              <w:tc>
                <w:tcPr>
                  <w:tcW w:w="1447" w:type="dxa"/>
                  <w:vAlign w:val="center"/>
                </w:tcPr>
                <w:p>
                  <w:pPr>
                    <w:jc w:val="center"/>
                    <w:rPr>
                      <w:spacing w:val="16"/>
                      <w:kern w:val="0"/>
                      <w:szCs w:val="21"/>
                      <w:highlight w:val="none"/>
                    </w:rPr>
                  </w:pPr>
                  <w:r>
                    <w:rPr>
                      <w:rFonts w:hint="eastAsia"/>
                      <w:spacing w:val="16"/>
                      <w:kern w:val="0"/>
                      <w:szCs w:val="21"/>
                      <w:highlight w:val="none"/>
                    </w:rPr>
                    <w:t>5</w:t>
                  </w:r>
                  <w:r>
                    <w:rPr>
                      <w:spacing w:val="16"/>
                      <w:kern w:val="0"/>
                      <w:szCs w:val="21"/>
                      <w:highlight w:val="none"/>
                    </w:rPr>
                    <w:t>2</w:t>
                  </w:r>
                </w:p>
              </w:tc>
              <w:tc>
                <w:tcPr>
                  <w:tcW w:w="1519" w:type="dxa"/>
                  <w:vAlign w:val="center"/>
                </w:tcPr>
                <w:p>
                  <w:pPr>
                    <w:jc w:val="center"/>
                    <w:rPr>
                      <w:spacing w:val="16"/>
                      <w:kern w:val="0"/>
                      <w:szCs w:val="21"/>
                      <w:highlight w:val="none"/>
                    </w:rPr>
                  </w:pPr>
                  <w:r>
                    <w:rPr>
                      <w:rFonts w:hint="eastAsia"/>
                      <w:spacing w:val="16"/>
                      <w:kern w:val="0"/>
                      <w:szCs w:val="21"/>
                      <w:highlight w:val="none"/>
                    </w:rPr>
                    <w:t>4</w:t>
                  </w:r>
                  <w:r>
                    <w:rPr>
                      <w:spacing w:val="16"/>
                      <w:kern w:val="0"/>
                      <w:szCs w:val="21"/>
                      <w:highlight w:val="non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2485" w:type="dxa"/>
                  <w:vAlign w:val="center"/>
                </w:tcPr>
                <w:p>
                  <w:pPr>
                    <w:jc w:val="center"/>
                    <w:rPr>
                      <w:szCs w:val="21"/>
                      <w:highlight w:val="none"/>
                    </w:rPr>
                  </w:pPr>
                  <w:r>
                    <w:rPr>
                      <w:rFonts w:hint="eastAsia"/>
                      <w:szCs w:val="21"/>
                      <w:highlight w:val="none"/>
                    </w:rPr>
                    <w:t>厂区西侧敏感点</w:t>
                  </w:r>
                  <w:r>
                    <w:rPr>
                      <w:szCs w:val="21"/>
                      <w:highlight w:val="none"/>
                    </w:rPr>
                    <w:t>4</w:t>
                  </w:r>
                </w:p>
              </w:tc>
              <w:tc>
                <w:tcPr>
                  <w:tcW w:w="1593" w:type="dxa"/>
                  <w:vAlign w:val="center"/>
                </w:tcPr>
                <w:p>
                  <w:pPr>
                    <w:jc w:val="center"/>
                    <w:rPr>
                      <w:spacing w:val="16"/>
                      <w:kern w:val="0"/>
                      <w:szCs w:val="21"/>
                      <w:highlight w:val="none"/>
                    </w:rPr>
                  </w:pPr>
                  <w:r>
                    <w:rPr>
                      <w:rFonts w:hint="eastAsia"/>
                      <w:spacing w:val="16"/>
                      <w:kern w:val="0"/>
                      <w:szCs w:val="21"/>
                      <w:highlight w:val="none"/>
                    </w:rPr>
                    <w:t>5</w:t>
                  </w:r>
                  <w:r>
                    <w:rPr>
                      <w:spacing w:val="16"/>
                      <w:kern w:val="0"/>
                      <w:szCs w:val="21"/>
                      <w:highlight w:val="none"/>
                    </w:rPr>
                    <w:t>0</w:t>
                  </w:r>
                </w:p>
              </w:tc>
              <w:tc>
                <w:tcPr>
                  <w:tcW w:w="1460" w:type="dxa"/>
                  <w:vAlign w:val="center"/>
                </w:tcPr>
                <w:p>
                  <w:pPr>
                    <w:jc w:val="center"/>
                    <w:rPr>
                      <w:spacing w:val="16"/>
                      <w:kern w:val="0"/>
                      <w:szCs w:val="21"/>
                      <w:highlight w:val="none"/>
                    </w:rPr>
                  </w:pPr>
                  <w:r>
                    <w:rPr>
                      <w:rFonts w:hint="eastAsia"/>
                      <w:spacing w:val="16"/>
                      <w:kern w:val="0"/>
                      <w:szCs w:val="21"/>
                      <w:highlight w:val="none"/>
                    </w:rPr>
                    <w:t>4</w:t>
                  </w:r>
                  <w:r>
                    <w:rPr>
                      <w:spacing w:val="16"/>
                      <w:kern w:val="0"/>
                      <w:szCs w:val="21"/>
                      <w:highlight w:val="none"/>
                    </w:rPr>
                    <w:t>1</w:t>
                  </w:r>
                </w:p>
              </w:tc>
              <w:tc>
                <w:tcPr>
                  <w:tcW w:w="1447" w:type="dxa"/>
                  <w:vAlign w:val="center"/>
                </w:tcPr>
                <w:p>
                  <w:pPr>
                    <w:jc w:val="center"/>
                    <w:rPr>
                      <w:spacing w:val="16"/>
                      <w:kern w:val="0"/>
                      <w:szCs w:val="21"/>
                      <w:highlight w:val="none"/>
                    </w:rPr>
                  </w:pPr>
                  <w:r>
                    <w:rPr>
                      <w:rFonts w:hint="eastAsia"/>
                      <w:spacing w:val="16"/>
                      <w:kern w:val="0"/>
                      <w:szCs w:val="21"/>
                      <w:highlight w:val="none"/>
                    </w:rPr>
                    <w:t>5</w:t>
                  </w:r>
                  <w:r>
                    <w:rPr>
                      <w:spacing w:val="16"/>
                      <w:kern w:val="0"/>
                      <w:szCs w:val="21"/>
                      <w:highlight w:val="none"/>
                    </w:rPr>
                    <w:t>1</w:t>
                  </w:r>
                </w:p>
              </w:tc>
              <w:tc>
                <w:tcPr>
                  <w:tcW w:w="1519" w:type="dxa"/>
                  <w:vAlign w:val="center"/>
                </w:tcPr>
                <w:p>
                  <w:pPr>
                    <w:jc w:val="center"/>
                    <w:rPr>
                      <w:spacing w:val="16"/>
                      <w:kern w:val="0"/>
                      <w:szCs w:val="21"/>
                      <w:highlight w:val="none"/>
                    </w:rPr>
                  </w:pPr>
                  <w:r>
                    <w:rPr>
                      <w:rFonts w:hint="eastAsia"/>
                      <w:spacing w:val="16"/>
                      <w:kern w:val="0"/>
                      <w:szCs w:val="21"/>
                      <w:highlight w:val="none"/>
                    </w:rPr>
                    <w:t>4</w:t>
                  </w:r>
                  <w:r>
                    <w:rPr>
                      <w:spacing w:val="16"/>
                      <w:kern w:val="0"/>
                      <w:szCs w:val="21"/>
                      <w:highlight w:val="none"/>
                    </w:rPr>
                    <w:t>0</w:t>
                  </w:r>
                </w:p>
              </w:tc>
            </w:tr>
          </w:tbl>
          <w:p>
            <w:pPr>
              <w:adjustRightInd w:val="0"/>
              <w:snapToGrid w:val="0"/>
              <w:spacing w:line="360" w:lineRule="auto"/>
              <w:ind w:firstLine="480" w:firstLineChars="200"/>
              <w:rPr>
                <w:highlight w:val="none"/>
              </w:rPr>
            </w:pPr>
            <w:r>
              <w:rPr>
                <w:sz w:val="24"/>
                <w:highlight w:val="none"/>
              </w:rPr>
              <w:t>由表可知，本项目厂界</w:t>
            </w:r>
            <w:r>
              <w:rPr>
                <w:rFonts w:hint="eastAsia"/>
                <w:sz w:val="24"/>
                <w:highlight w:val="none"/>
              </w:rPr>
              <w:t>外周边5</w:t>
            </w:r>
            <w:r>
              <w:rPr>
                <w:sz w:val="24"/>
                <w:highlight w:val="none"/>
              </w:rPr>
              <w:t>0m</w:t>
            </w:r>
            <w:r>
              <w:rPr>
                <w:rFonts w:hint="eastAsia"/>
                <w:sz w:val="24"/>
                <w:highlight w:val="none"/>
              </w:rPr>
              <w:t>范围内声环境保护目标环境质量现状</w:t>
            </w:r>
            <w:r>
              <w:rPr>
                <w:sz w:val="24"/>
                <w:highlight w:val="none"/>
              </w:rPr>
              <w:t>可以满足《声环境质量标准》（GB3096-2008）</w:t>
            </w:r>
            <w:r>
              <w:rPr>
                <w:rFonts w:hint="eastAsia"/>
                <w:sz w:val="24"/>
                <w:highlight w:val="none"/>
                <w:lang w:val="en-US" w:eastAsia="zh-CN"/>
              </w:rPr>
              <w:t>1</w:t>
            </w:r>
            <w:r>
              <w:rPr>
                <w:sz w:val="24"/>
                <w:highlight w:val="none"/>
              </w:rPr>
              <w:t>类标准要求，本项目所处区域的现状声环境质量总体较好。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21" w:hRule="atLeast"/>
          <w:jc w:val="center"/>
        </w:trPr>
        <w:tc>
          <w:tcPr>
            <w:tcW w:w="800" w:type="dxa"/>
            <w:vAlign w:val="center"/>
          </w:tcPr>
          <w:p>
            <w:pPr>
              <w:adjustRightInd w:val="0"/>
              <w:snapToGrid w:val="0"/>
              <w:jc w:val="center"/>
              <w:rPr>
                <w:kern w:val="0"/>
                <w:sz w:val="24"/>
                <w:highlight w:val="none"/>
              </w:rPr>
            </w:pPr>
            <w:r>
              <w:rPr>
                <w:kern w:val="0"/>
                <w:sz w:val="24"/>
                <w:highlight w:val="none"/>
              </w:rPr>
              <w:t>环境</w:t>
            </w:r>
          </w:p>
          <w:p>
            <w:pPr>
              <w:adjustRightInd w:val="0"/>
              <w:snapToGrid w:val="0"/>
              <w:jc w:val="center"/>
              <w:rPr>
                <w:kern w:val="0"/>
                <w:sz w:val="24"/>
                <w:highlight w:val="none"/>
              </w:rPr>
            </w:pPr>
            <w:r>
              <w:rPr>
                <w:kern w:val="0"/>
                <w:sz w:val="24"/>
                <w:highlight w:val="none"/>
              </w:rPr>
              <w:t>保护</w:t>
            </w:r>
          </w:p>
          <w:p>
            <w:pPr>
              <w:adjustRightInd w:val="0"/>
              <w:snapToGrid w:val="0"/>
              <w:jc w:val="center"/>
              <w:rPr>
                <w:kern w:val="0"/>
                <w:szCs w:val="21"/>
                <w:highlight w:val="none"/>
              </w:rPr>
            </w:pPr>
            <w:r>
              <w:rPr>
                <w:kern w:val="0"/>
                <w:sz w:val="24"/>
                <w:highlight w:val="none"/>
              </w:rPr>
              <w:t>目标</w:t>
            </w:r>
          </w:p>
        </w:tc>
        <w:tc>
          <w:tcPr>
            <w:tcW w:w="8833" w:type="dxa"/>
            <w:vAlign w:val="center"/>
          </w:tcPr>
          <w:p>
            <w:pPr>
              <w:adjustRightInd w:val="0"/>
              <w:snapToGrid w:val="0"/>
              <w:spacing w:line="360" w:lineRule="auto"/>
              <w:ind w:firstLine="480" w:firstLineChars="200"/>
              <w:rPr>
                <w:sz w:val="24"/>
                <w:highlight w:val="none"/>
              </w:rPr>
            </w:pPr>
            <w:bookmarkStart w:id="45" w:name="_Ref369164422"/>
            <w:r>
              <w:rPr>
                <w:sz w:val="24"/>
                <w:highlight w:val="none"/>
              </w:rPr>
              <w:t>据现场踏勘可知，</w:t>
            </w:r>
            <w:r>
              <w:rPr>
                <w:rFonts w:hint="eastAsia"/>
                <w:sz w:val="24"/>
                <w:highlight w:val="none"/>
              </w:rPr>
              <w:t>项目距开源村水源井（供水户数约100户，供水人口约300人，属于分散式水源地）400m，</w:t>
            </w:r>
            <w:r>
              <w:rPr>
                <w:sz w:val="24"/>
                <w:highlight w:val="none"/>
              </w:rPr>
              <w:t>本项目厂界外500米范围内无地下水集中式饮用水水源和热水、矿泉水、温泉等特殊地下水资源；无自然保护区、风景名胜区、居住区、文化区。</w:t>
            </w:r>
          </w:p>
          <w:p>
            <w:pPr>
              <w:pStyle w:val="66"/>
              <w:spacing w:line="360" w:lineRule="auto"/>
              <w:ind w:firstLine="480" w:firstLineChars="200"/>
              <w:jc w:val="both"/>
              <w:rPr>
                <w:rFonts w:ascii="Times New Roman" w:cs="Times New Roman"/>
                <w:color w:val="auto"/>
                <w:highlight w:val="none"/>
              </w:rPr>
            </w:pPr>
            <w:r>
              <w:rPr>
                <w:rFonts w:ascii="Times New Roman" w:cs="Times New Roman"/>
                <w:color w:val="auto"/>
                <w:highlight w:val="none"/>
              </w:rPr>
              <w:t>项目声环境敏感目标和大气环境敏感目标分布情况见下表3-6、3-7，环境敏感目标分布图3-2。</w:t>
            </w:r>
          </w:p>
          <w:p>
            <w:pPr>
              <w:jc w:val="center"/>
              <w:rPr>
                <w:b/>
                <w:bCs/>
                <w:highlight w:val="none"/>
              </w:rPr>
            </w:pPr>
            <w:r>
              <w:rPr>
                <w:b/>
                <w:bCs/>
                <w:highlight w:val="none"/>
              </w:rPr>
              <w:t>表3-</w:t>
            </w:r>
            <w:r>
              <w:rPr>
                <w:rFonts w:hint="eastAsia"/>
                <w:b/>
                <w:bCs/>
                <w:highlight w:val="none"/>
              </w:rPr>
              <w:t>6</w:t>
            </w:r>
            <w:r>
              <w:rPr>
                <w:b/>
                <w:bCs/>
                <w:highlight w:val="none"/>
              </w:rPr>
              <w:t xml:space="preserve">  声环境保护目标信息表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5"/>
              <w:gridCol w:w="1016"/>
              <w:gridCol w:w="1195"/>
              <w:gridCol w:w="1342"/>
              <w:gridCol w:w="1209"/>
              <w:gridCol w:w="686"/>
              <w:gridCol w:w="690"/>
              <w:gridCol w:w="18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386" w:type="pct"/>
                  <w:vAlign w:val="center"/>
                </w:tcPr>
                <w:p>
                  <w:pPr>
                    <w:widowControl/>
                    <w:snapToGrid w:val="0"/>
                    <w:jc w:val="center"/>
                    <w:rPr>
                      <w:highlight w:val="none"/>
                    </w:rPr>
                  </w:pPr>
                  <w:r>
                    <w:rPr>
                      <w:highlight w:val="none"/>
                    </w:rPr>
                    <w:t>环境</w:t>
                  </w:r>
                </w:p>
                <w:p>
                  <w:pPr>
                    <w:widowControl/>
                    <w:snapToGrid w:val="0"/>
                    <w:jc w:val="center"/>
                    <w:rPr>
                      <w:highlight w:val="none"/>
                    </w:rPr>
                  </w:pPr>
                  <w:r>
                    <w:rPr>
                      <w:highlight w:val="none"/>
                    </w:rPr>
                    <w:t>要素</w:t>
                  </w:r>
                </w:p>
              </w:tc>
              <w:tc>
                <w:tcPr>
                  <w:tcW w:w="588" w:type="pct"/>
                  <w:vAlign w:val="center"/>
                </w:tcPr>
                <w:p>
                  <w:pPr>
                    <w:widowControl/>
                    <w:snapToGrid w:val="0"/>
                    <w:jc w:val="center"/>
                    <w:rPr>
                      <w:highlight w:val="none"/>
                    </w:rPr>
                  </w:pPr>
                  <w:r>
                    <w:rPr>
                      <w:highlight w:val="none"/>
                    </w:rPr>
                    <w:t>名称</w:t>
                  </w:r>
                </w:p>
              </w:tc>
              <w:tc>
                <w:tcPr>
                  <w:tcW w:w="692" w:type="pct"/>
                  <w:vAlign w:val="center"/>
                </w:tcPr>
                <w:p>
                  <w:pPr>
                    <w:widowControl/>
                    <w:snapToGrid w:val="0"/>
                    <w:jc w:val="center"/>
                    <w:rPr>
                      <w:highlight w:val="none"/>
                    </w:rPr>
                  </w:pPr>
                  <w:r>
                    <w:rPr>
                      <w:highlight w:val="none"/>
                    </w:rPr>
                    <w:t>保护对象</w:t>
                  </w:r>
                </w:p>
              </w:tc>
              <w:tc>
                <w:tcPr>
                  <w:tcW w:w="777" w:type="pct"/>
                  <w:vAlign w:val="center"/>
                </w:tcPr>
                <w:p>
                  <w:pPr>
                    <w:widowControl/>
                    <w:snapToGrid w:val="0"/>
                    <w:jc w:val="center"/>
                    <w:rPr>
                      <w:highlight w:val="none"/>
                    </w:rPr>
                  </w:pPr>
                  <w:r>
                    <w:rPr>
                      <w:highlight w:val="none"/>
                    </w:rPr>
                    <w:t>相对厂址方位</w:t>
                  </w:r>
                </w:p>
              </w:tc>
              <w:tc>
                <w:tcPr>
                  <w:tcW w:w="700" w:type="pct"/>
                  <w:vAlign w:val="center"/>
                </w:tcPr>
                <w:p>
                  <w:pPr>
                    <w:widowControl/>
                    <w:snapToGrid w:val="0"/>
                    <w:jc w:val="center"/>
                    <w:rPr>
                      <w:highlight w:val="none"/>
                    </w:rPr>
                  </w:pPr>
                  <w:r>
                    <w:rPr>
                      <w:highlight w:val="none"/>
                    </w:rPr>
                    <w:t>与厂界最近距离（m）</w:t>
                  </w:r>
                </w:p>
              </w:tc>
              <w:tc>
                <w:tcPr>
                  <w:tcW w:w="398" w:type="pct"/>
                  <w:vAlign w:val="center"/>
                </w:tcPr>
                <w:p>
                  <w:pPr>
                    <w:widowControl/>
                    <w:snapToGrid w:val="0"/>
                    <w:jc w:val="center"/>
                    <w:rPr>
                      <w:highlight w:val="none"/>
                    </w:rPr>
                  </w:pPr>
                  <w:r>
                    <w:rPr>
                      <w:highlight w:val="none"/>
                    </w:rPr>
                    <w:t>保护内容</w:t>
                  </w:r>
                </w:p>
              </w:tc>
              <w:tc>
                <w:tcPr>
                  <w:tcW w:w="400" w:type="pct"/>
                  <w:vAlign w:val="center"/>
                </w:tcPr>
                <w:p>
                  <w:pPr>
                    <w:widowControl/>
                    <w:snapToGrid w:val="0"/>
                    <w:jc w:val="center"/>
                    <w:rPr>
                      <w:highlight w:val="none"/>
                    </w:rPr>
                  </w:pPr>
                  <w:r>
                    <w:rPr>
                      <w:highlight w:val="none"/>
                    </w:rPr>
                    <w:t>影响规模</w:t>
                  </w:r>
                </w:p>
              </w:tc>
              <w:tc>
                <w:tcPr>
                  <w:tcW w:w="1054" w:type="pct"/>
                  <w:vAlign w:val="center"/>
                </w:tcPr>
                <w:p>
                  <w:pPr>
                    <w:widowControl/>
                    <w:snapToGrid w:val="0"/>
                    <w:jc w:val="center"/>
                    <w:rPr>
                      <w:highlight w:val="none"/>
                    </w:rPr>
                  </w:pPr>
                  <w:r>
                    <w:rPr>
                      <w:highlight w:val="none"/>
                    </w:rPr>
                    <w:t>环</w:t>
                  </w:r>
                  <w:bookmarkStart w:id="46" w:name="OLE_LINK4"/>
                  <w:bookmarkStart w:id="47" w:name="OLE_LINK3"/>
                  <w:r>
                    <w:rPr>
                      <w:highlight w:val="none"/>
                    </w:rPr>
                    <w:t>境功</w:t>
                  </w:r>
                  <w:bookmarkEnd w:id="46"/>
                  <w:bookmarkEnd w:id="47"/>
                  <w:r>
                    <w:rPr>
                      <w:highlight w:val="none"/>
                    </w:rPr>
                    <w:t>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45" w:hRule="atLeast"/>
                <w:jc w:val="center"/>
              </w:trPr>
              <w:tc>
                <w:tcPr>
                  <w:tcW w:w="386" w:type="pct"/>
                  <w:vAlign w:val="center"/>
                </w:tcPr>
                <w:p>
                  <w:pPr>
                    <w:widowControl/>
                    <w:jc w:val="center"/>
                    <w:rPr>
                      <w:highlight w:val="none"/>
                    </w:rPr>
                  </w:pPr>
                  <w:r>
                    <w:rPr>
                      <w:highlight w:val="none"/>
                    </w:rPr>
                    <w:t>声环境</w:t>
                  </w:r>
                </w:p>
              </w:tc>
              <w:tc>
                <w:tcPr>
                  <w:tcW w:w="588" w:type="pct"/>
                  <w:vAlign w:val="center"/>
                </w:tcPr>
                <w:p>
                  <w:pPr>
                    <w:widowControl/>
                    <w:snapToGrid w:val="0"/>
                    <w:jc w:val="center"/>
                    <w:rPr>
                      <w:highlight w:val="none"/>
                    </w:rPr>
                  </w:pPr>
                  <w:r>
                    <w:rPr>
                      <w:rFonts w:hint="eastAsia"/>
                      <w:highlight w:val="none"/>
                    </w:rPr>
                    <w:t>开源村</w:t>
                  </w:r>
                </w:p>
              </w:tc>
              <w:tc>
                <w:tcPr>
                  <w:tcW w:w="692" w:type="pct"/>
                  <w:vAlign w:val="center"/>
                </w:tcPr>
                <w:p>
                  <w:pPr>
                    <w:widowControl/>
                    <w:jc w:val="center"/>
                    <w:rPr>
                      <w:highlight w:val="none"/>
                    </w:rPr>
                  </w:pPr>
                  <w:r>
                    <w:rPr>
                      <w:highlight w:val="none"/>
                    </w:rPr>
                    <w:t>居住区</w:t>
                  </w:r>
                </w:p>
              </w:tc>
              <w:tc>
                <w:tcPr>
                  <w:tcW w:w="777" w:type="pct"/>
                  <w:vAlign w:val="center"/>
                </w:tcPr>
                <w:p>
                  <w:pPr>
                    <w:widowControl/>
                    <w:snapToGrid w:val="0"/>
                    <w:jc w:val="center"/>
                    <w:rPr>
                      <w:rFonts w:hint="default" w:eastAsia="宋体"/>
                      <w:highlight w:val="none"/>
                      <w:lang w:val="en-US" w:eastAsia="zh-CN"/>
                    </w:rPr>
                  </w:pPr>
                  <w:r>
                    <w:rPr>
                      <w:rFonts w:hint="eastAsia"/>
                      <w:highlight w:val="none"/>
                      <w:lang w:val="en-US" w:eastAsia="zh-CN"/>
                    </w:rPr>
                    <w:t>E、S、W、N</w:t>
                  </w:r>
                </w:p>
              </w:tc>
              <w:tc>
                <w:tcPr>
                  <w:tcW w:w="700" w:type="pct"/>
                  <w:vAlign w:val="center"/>
                </w:tcPr>
                <w:p>
                  <w:pPr>
                    <w:widowControl/>
                    <w:snapToGrid w:val="0"/>
                    <w:jc w:val="center"/>
                    <w:rPr>
                      <w:highlight w:val="none"/>
                    </w:rPr>
                  </w:pPr>
                  <w:r>
                    <w:rPr>
                      <w:highlight w:val="none"/>
                    </w:rPr>
                    <w:t>5</w:t>
                  </w:r>
                </w:p>
              </w:tc>
              <w:tc>
                <w:tcPr>
                  <w:tcW w:w="398" w:type="pct"/>
                  <w:vAlign w:val="center"/>
                </w:tcPr>
                <w:p>
                  <w:pPr>
                    <w:jc w:val="center"/>
                    <w:rPr>
                      <w:highlight w:val="none"/>
                    </w:rPr>
                  </w:pPr>
                  <w:r>
                    <w:rPr>
                      <w:highlight w:val="none"/>
                    </w:rPr>
                    <w:t>人群</w:t>
                  </w:r>
                </w:p>
              </w:tc>
              <w:tc>
                <w:tcPr>
                  <w:tcW w:w="400" w:type="pct"/>
                  <w:vAlign w:val="center"/>
                </w:tcPr>
                <w:p>
                  <w:pPr>
                    <w:widowControl/>
                    <w:snapToGrid w:val="0"/>
                    <w:jc w:val="center"/>
                    <w:rPr>
                      <w:highlight w:val="none"/>
                    </w:rPr>
                  </w:pPr>
                  <w:r>
                    <w:rPr>
                      <w:rFonts w:hint="eastAsia"/>
                      <w:highlight w:val="none"/>
                    </w:rPr>
                    <w:t>150</w:t>
                  </w:r>
                  <w:r>
                    <w:rPr>
                      <w:highlight w:val="none"/>
                    </w:rPr>
                    <w:t>人</w:t>
                  </w:r>
                </w:p>
              </w:tc>
              <w:tc>
                <w:tcPr>
                  <w:tcW w:w="1054" w:type="pct"/>
                  <w:vAlign w:val="center"/>
                </w:tcPr>
                <w:p>
                  <w:pPr>
                    <w:widowControl/>
                    <w:snapToGrid w:val="0"/>
                    <w:jc w:val="center"/>
                    <w:rPr>
                      <w:highlight w:val="none"/>
                    </w:rPr>
                  </w:pPr>
                  <w:r>
                    <w:rPr>
                      <w:highlight w:val="none"/>
                    </w:rPr>
                    <w:t>《声环境质量标准》(GB3096-2008)中的</w:t>
                  </w:r>
                  <w:r>
                    <w:rPr>
                      <w:rFonts w:hint="eastAsia"/>
                      <w:highlight w:val="none"/>
                      <w:lang w:val="en-US" w:eastAsia="zh-CN"/>
                    </w:rPr>
                    <w:t>1</w:t>
                  </w:r>
                  <w:r>
                    <w:rPr>
                      <w:highlight w:val="none"/>
                    </w:rPr>
                    <w:t>类标准</w:t>
                  </w:r>
                </w:p>
              </w:tc>
            </w:tr>
          </w:tbl>
          <w:p>
            <w:pPr>
              <w:jc w:val="center"/>
              <w:rPr>
                <w:b/>
                <w:bCs/>
                <w:highlight w:val="none"/>
              </w:rPr>
            </w:pPr>
            <w:r>
              <w:rPr>
                <w:b/>
                <w:bCs/>
                <w:highlight w:val="none"/>
              </w:rPr>
              <w:t>表3-</w:t>
            </w:r>
            <w:r>
              <w:rPr>
                <w:rFonts w:hint="eastAsia"/>
                <w:b/>
                <w:bCs/>
                <w:highlight w:val="none"/>
              </w:rPr>
              <w:t>7</w:t>
            </w:r>
            <w:r>
              <w:rPr>
                <w:b/>
                <w:bCs/>
                <w:highlight w:val="none"/>
              </w:rPr>
              <w:t xml:space="preserve">  大气环境保护目标信息表</w:t>
            </w:r>
          </w:p>
          <w:bookmarkEnd w:id="45"/>
          <w:tbl>
            <w:tblPr>
              <w:tblStyle w:val="29"/>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25"/>
              <w:gridCol w:w="1566"/>
              <w:gridCol w:w="1307"/>
              <w:gridCol w:w="667"/>
              <w:gridCol w:w="810"/>
              <w:gridCol w:w="1270"/>
              <w:gridCol w:w="619"/>
              <w:gridCol w:w="17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03" w:hRule="atLeast"/>
                <w:jc w:val="center"/>
              </w:trPr>
              <w:tc>
                <w:tcPr>
                  <w:tcW w:w="362" w:type="pct"/>
                  <w:vMerge w:val="restart"/>
                  <w:vAlign w:val="center"/>
                </w:tcPr>
                <w:p>
                  <w:pPr>
                    <w:jc w:val="center"/>
                    <w:rPr>
                      <w:szCs w:val="21"/>
                      <w:highlight w:val="none"/>
                    </w:rPr>
                  </w:pPr>
                  <w:r>
                    <w:rPr>
                      <w:szCs w:val="21"/>
                      <w:highlight w:val="none"/>
                    </w:rPr>
                    <w:t>名称</w:t>
                  </w:r>
                </w:p>
              </w:tc>
              <w:tc>
                <w:tcPr>
                  <w:tcW w:w="1666" w:type="pct"/>
                  <w:gridSpan w:val="2"/>
                  <w:vAlign w:val="center"/>
                </w:tcPr>
                <w:p>
                  <w:pPr>
                    <w:jc w:val="center"/>
                    <w:rPr>
                      <w:szCs w:val="21"/>
                      <w:highlight w:val="none"/>
                    </w:rPr>
                  </w:pPr>
                  <w:r>
                    <w:rPr>
                      <w:szCs w:val="21"/>
                      <w:highlight w:val="none"/>
                    </w:rPr>
                    <w:t>坐标（°）</w:t>
                  </w:r>
                </w:p>
              </w:tc>
              <w:tc>
                <w:tcPr>
                  <w:tcW w:w="387" w:type="pct"/>
                  <w:vMerge w:val="restart"/>
                  <w:vAlign w:val="center"/>
                </w:tcPr>
                <w:p>
                  <w:pPr>
                    <w:jc w:val="center"/>
                    <w:rPr>
                      <w:szCs w:val="21"/>
                      <w:highlight w:val="none"/>
                    </w:rPr>
                  </w:pPr>
                  <w:r>
                    <w:rPr>
                      <w:szCs w:val="21"/>
                      <w:highlight w:val="none"/>
                    </w:rPr>
                    <w:t>保护</w:t>
                  </w:r>
                </w:p>
                <w:p>
                  <w:pPr>
                    <w:jc w:val="center"/>
                    <w:rPr>
                      <w:szCs w:val="21"/>
                      <w:highlight w:val="none"/>
                    </w:rPr>
                  </w:pPr>
                  <w:r>
                    <w:rPr>
                      <w:szCs w:val="21"/>
                      <w:highlight w:val="none"/>
                    </w:rPr>
                    <w:t>对象</w:t>
                  </w:r>
                </w:p>
              </w:tc>
              <w:tc>
                <w:tcPr>
                  <w:tcW w:w="470" w:type="pct"/>
                  <w:vMerge w:val="restart"/>
                  <w:vAlign w:val="center"/>
                </w:tcPr>
                <w:p>
                  <w:pPr>
                    <w:jc w:val="center"/>
                    <w:rPr>
                      <w:szCs w:val="21"/>
                      <w:highlight w:val="none"/>
                    </w:rPr>
                  </w:pPr>
                  <w:r>
                    <w:rPr>
                      <w:szCs w:val="21"/>
                      <w:highlight w:val="none"/>
                    </w:rPr>
                    <w:t>相对厂址方位</w:t>
                  </w:r>
                </w:p>
              </w:tc>
              <w:tc>
                <w:tcPr>
                  <w:tcW w:w="737" w:type="pct"/>
                  <w:vMerge w:val="restart"/>
                  <w:vAlign w:val="center"/>
                </w:tcPr>
                <w:p>
                  <w:pPr>
                    <w:jc w:val="center"/>
                    <w:rPr>
                      <w:szCs w:val="21"/>
                      <w:highlight w:val="none"/>
                    </w:rPr>
                  </w:pPr>
                  <w:r>
                    <w:rPr>
                      <w:szCs w:val="21"/>
                      <w:highlight w:val="none"/>
                    </w:rPr>
                    <w:t>相对厂界最近距离（km）</w:t>
                  </w:r>
                </w:p>
              </w:tc>
              <w:tc>
                <w:tcPr>
                  <w:tcW w:w="359" w:type="pct"/>
                  <w:vMerge w:val="restart"/>
                  <w:vAlign w:val="center"/>
                </w:tcPr>
                <w:p>
                  <w:pPr>
                    <w:jc w:val="center"/>
                    <w:rPr>
                      <w:szCs w:val="21"/>
                      <w:highlight w:val="none"/>
                    </w:rPr>
                  </w:pPr>
                  <w:r>
                    <w:rPr>
                      <w:szCs w:val="21"/>
                      <w:highlight w:val="none"/>
                    </w:rPr>
                    <w:t>保护内容</w:t>
                  </w:r>
                </w:p>
              </w:tc>
              <w:tc>
                <w:tcPr>
                  <w:tcW w:w="1017" w:type="pct"/>
                  <w:vMerge w:val="restart"/>
                  <w:vAlign w:val="center"/>
                </w:tcPr>
                <w:p>
                  <w:pPr>
                    <w:widowControl/>
                    <w:snapToGrid w:val="0"/>
                    <w:ind w:left="-105" w:leftChars="-50" w:right="-105" w:rightChars="-50"/>
                    <w:jc w:val="center"/>
                    <w:rPr>
                      <w:kern w:val="0"/>
                      <w:szCs w:val="21"/>
                      <w:highlight w:val="none"/>
                    </w:rPr>
                  </w:pPr>
                  <w:r>
                    <w:rPr>
                      <w:kern w:val="0"/>
                      <w:szCs w:val="21"/>
                      <w:highlight w:val="none"/>
                    </w:rPr>
                    <w:t>环境功能区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02" w:hRule="atLeast"/>
                <w:jc w:val="center"/>
              </w:trPr>
              <w:tc>
                <w:tcPr>
                  <w:tcW w:w="362" w:type="pct"/>
                  <w:vMerge w:val="continue"/>
                  <w:vAlign w:val="center"/>
                </w:tcPr>
                <w:p>
                  <w:pPr>
                    <w:jc w:val="center"/>
                    <w:rPr>
                      <w:szCs w:val="21"/>
                      <w:highlight w:val="none"/>
                    </w:rPr>
                  </w:pPr>
                </w:p>
              </w:tc>
              <w:tc>
                <w:tcPr>
                  <w:tcW w:w="908" w:type="pct"/>
                  <w:vAlign w:val="center"/>
                </w:tcPr>
                <w:p>
                  <w:pPr>
                    <w:jc w:val="center"/>
                    <w:rPr>
                      <w:szCs w:val="21"/>
                      <w:highlight w:val="none"/>
                    </w:rPr>
                  </w:pPr>
                  <w:r>
                    <w:rPr>
                      <w:szCs w:val="21"/>
                      <w:highlight w:val="none"/>
                    </w:rPr>
                    <w:t>东经</w:t>
                  </w:r>
                </w:p>
              </w:tc>
              <w:tc>
                <w:tcPr>
                  <w:tcW w:w="758" w:type="pct"/>
                  <w:vAlign w:val="center"/>
                </w:tcPr>
                <w:p>
                  <w:pPr>
                    <w:jc w:val="center"/>
                    <w:rPr>
                      <w:szCs w:val="21"/>
                      <w:highlight w:val="none"/>
                    </w:rPr>
                  </w:pPr>
                  <w:r>
                    <w:rPr>
                      <w:szCs w:val="21"/>
                      <w:highlight w:val="none"/>
                    </w:rPr>
                    <w:t xml:space="preserve">北纬 </w:t>
                  </w:r>
                </w:p>
              </w:tc>
              <w:tc>
                <w:tcPr>
                  <w:tcW w:w="387" w:type="pct"/>
                  <w:vMerge w:val="continue"/>
                  <w:vAlign w:val="center"/>
                </w:tcPr>
                <w:p>
                  <w:pPr>
                    <w:jc w:val="center"/>
                    <w:rPr>
                      <w:szCs w:val="21"/>
                      <w:highlight w:val="none"/>
                    </w:rPr>
                  </w:pPr>
                </w:p>
              </w:tc>
              <w:tc>
                <w:tcPr>
                  <w:tcW w:w="470" w:type="pct"/>
                  <w:vMerge w:val="continue"/>
                  <w:vAlign w:val="center"/>
                </w:tcPr>
                <w:p>
                  <w:pPr>
                    <w:jc w:val="center"/>
                    <w:rPr>
                      <w:szCs w:val="21"/>
                      <w:highlight w:val="none"/>
                    </w:rPr>
                  </w:pPr>
                </w:p>
              </w:tc>
              <w:tc>
                <w:tcPr>
                  <w:tcW w:w="737" w:type="pct"/>
                  <w:vMerge w:val="continue"/>
                  <w:vAlign w:val="center"/>
                </w:tcPr>
                <w:p>
                  <w:pPr>
                    <w:jc w:val="center"/>
                    <w:rPr>
                      <w:szCs w:val="21"/>
                      <w:highlight w:val="none"/>
                    </w:rPr>
                  </w:pPr>
                </w:p>
              </w:tc>
              <w:tc>
                <w:tcPr>
                  <w:tcW w:w="359" w:type="pct"/>
                  <w:vMerge w:val="continue"/>
                  <w:vAlign w:val="center"/>
                </w:tcPr>
                <w:p>
                  <w:pPr>
                    <w:jc w:val="center"/>
                    <w:rPr>
                      <w:szCs w:val="21"/>
                      <w:highlight w:val="none"/>
                    </w:rPr>
                  </w:pPr>
                </w:p>
              </w:tc>
              <w:tc>
                <w:tcPr>
                  <w:tcW w:w="1017" w:type="pct"/>
                  <w:vMerge w:val="continue"/>
                  <w:vAlign w:val="center"/>
                </w:tcPr>
                <w:p>
                  <w:pPr>
                    <w:widowControl/>
                    <w:snapToGrid w:val="0"/>
                    <w:ind w:left="-105" w:leftChars="-50" w:right="-105" w:rightChars="-50"/>
                    <w:jc w:val="center"/>
                    <w:rPr>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5" w:hRule="atLeast"/>
                <w:jc w:val="center"/>
              </w:trPr>
              <w:tc>
                <w:tcPr>
                  <w:tcW w:w="362" w:type="pct"/>
                  <w:vAlign w:val="center"/>
                </w:tcPr>
                <w:p>
                  <w:pPr>
                    <w:spacing w:line="0" w:lineRule="atLeast"/>
                    <w:jc w:val="center"/>
                    <w:rPr>
                      <w:szCs w:val="21"/>
                      <w:highlight w:val="none"/>
                    </w:rPr>
                  </w:pPr>
                  <w:r>
                    <w:rPr>
                      <w:rFonts w:hint="eastAsia"/>
                      <w:szCs w:val="21"/>
                      <w:highlight w:val="none"/>
                    </w:rPr>
                    <w:t>运输社老头队</w:t>
                  </w:r>
                </w:p>
              </w:tc>
              <w:tc>
                <w:tcPr>
                  <w:tcW w:w="1565" w:type="dxa"/>
                  <w:vAlign w:val="center"/>
                </w:tcPr>
                <w:p>
                  <w:pPr>
                    <w:spacing w:line="0" w:lineRule="atLeast"/>
                    <w:jc w:val="center"/>
                    <w:rPr>
                      <w:szCs w:val="21"/>
                      <w:highlight w:val="none"/>
                    </w:rPr>
                  </w:pPr>
                  <w:r>
                    <w:rPr>
                      <w:rFonts w:hint="eastAsia"/>
                      <w:szCs w:val="21"/>
                      <w:highlight w:val="none"/>
                    </w:rPr>
                    <w:t>131.2259979</w:t>
                  </w:r>
                </w:p>
              </w:tc>
              <w:tc>
                <w:tcPr>
                  <w:tcW w:w="1306" w:type="dxa"/>
                  <w:vAlign w:val="center"/>
                </w:tcPr>
                <w:p>
                  <w:pPr>
                    <w:spacing w:line="0" w:lineRule="atLeast"/>
                    <w:jc w:val="center"/>
                    <w:rPr>
                      <w:szCs w:val="21"/>
                      <w:highlight w:val="none"/>
                    </w:rPr>
                  </w:pPr>
                  <w:r>
                    <w:rPr>
                      <w:rFonts w:hint="eastAsia"/>
                      <w:szCs w:val="21"/>
                      <w:highlight w:val="none"/>
                    </w:rPr>
                    <w:t>46.6852989</w:t>
                  </w:r>
                </w:p>
              </w:tc>
              <w:tc>
                <w:tcPr>
                  <w:tcW w:w="387" w:type="pct"/>
                  <w:vMerge w:val="restart"/>
                  <w:vAlign w:val="center"/>
                </w:tcPr>
                <w:p>
                  <w:pPr>
                    <w:spacing w:line="0" w:lineRule="atLeast"/>
                    <w:jc w:val="center"/>
                    <w:rPr>
                      <w:szCs w:val="21"/>
                      <w:highlight w:val="none"/>
                    </w:rPr>
                  </w:pPr>
                  <w:r>
                    <w:rPr>
                      <w:szCs w:val="21"/>
                      <w:highlight w:val="none"/>
                    </w:rPr>
                    <w:t>农村地区人群较集中区域</w:t>
                  </w:r>
                </w:p>
              </w:tc>
              <w:tc>
                <w:tcPr>
                  <w:tcW w:w="810" w:type="dxa"/>
                  <w:vAlign w:val="center"/>
                </w:tcPr>
                <w:p>
                  <w:pPr>
                    <w:spacing w:line="0" w:lineRule="atLeast"/>
                    <w:jc w:val="center"/>
                    <w:rPr>
                      <w:szCs w:val="21"/>
                      <w:highlight w:val="none"/>
                    </w:rPr>
                  </w:pPr>
                  <w:r>
                    <w:rPr>
                      <w:rFonts w:hint="eastAsia"/>
                      <w:szCs w:val="21"/>
                      <w:highlight w:val="none"/>
                    </w:rPr>
                    <w:t>SSE</w:t>
                  </w:r>
                </w:p>
              </w:tc>
              <w:tc>
                <w:tcPr>
                  <w:tcW w:w="1270" w:type="dxa"/>
                  <w:vAlign w:val="center"/>
                </w:tcPr>
                <w:p>
                  <w:pPr>
                    <w:spacing w:line="0" w:lineRule="atLeast"/>
                    <w:jc w:val="center"/>
                    <w:rPr>
                      <w:rFonts w:hint="default" w:eastAsia="宋体"/>
                      <w:szCs w:val="21"/>
                      <w:highlight w:val="none"/>
                      <w:lang w:val="en-US" w:eastAsia="zh-CN"/>
                    </w:rPr>
                  </w:pPr>
                  <w:r>
                    <w:rPr>
                      <w:rFonts w:hint="eastAsia"/>
                      <w:szCs w:val="21"/>
                      <w:highlight w:val="none"/>
                    </w:rPr>
                    <w:t>1.</w:t>
                  </w:r>
                  <w:r>
                    <w:rPr>
                      <w:rFonts w:hint="eastAsia"/>
                      <w:szCs w:val="21"/>
                      <w:highlight w:val="none"/>
                      <w:lang w:val="en-US" w:eastAsia="zh-CN"/>
                    </w:rPr>
                    <w:t>42</w:t>
                  </w:r>
                </w:p>
              </w:tc>
              <w:tc>
                <w:tcPr>
                  <w:tcW w:w="359" w:type="pct"/>
                  <w:vAlign w:val="center"/>
                </w:tcPr>
                <w:p>
                  <w:pPr>
                    <w:spacing w:line="0" w:lineRule="atLeast"/>
                    <w:jc w:val="center"/>
                    <w:rPr>
                      <w:szCs w:val="21"/>
                      <w:highlight w:val="none"/>
                    </w:rPr>
                  </w:pPr>
                  <w:r>
                    <w:rPr>
                      <w:szCs w:val="21"/>
                      <w:highlight w:val="none"/>
                    </w:rPr>
                    <w:t>人群</w:t>
                  </w:r>
                </w:p>
              </w:tc>
              <w:tc>
                <w:tcPr>
                  <w:tcW w:w="1017" w:type="pct"/>
                  <w:vMerge w:val="restart"/>
                  <w:vAlign w:val="center"/>
                </w:tcPr>
                <w:p>
                  <w:pPr>
                    <w:widowControl/>
                    <w:snapToGrid w:val="0"/>
                    <w:ind w:left="-105" w:leftChars="-50" w:right="-105" w:rightChars="-50"/>
                    <w:jc w:val="center"/>
                    <w:rPr>
                      <w:szCs w:val="21"/>
                      <w:highlight w:val="none"/>
                    </w:rPr>
                  </w:pPr>
                  <w:r>
                    <w:rPr>
                      <w:szCs w:val="21"/>
                      <w:highlight w:val="none"/>
                    </w:rPr>
                    <w:t>《环境空气质量标准》（GB3095-2012）中二级标准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5" w:hRule="atLeast"/>
                <w:jc w:val="center"/>
              </w:trPr>
              <w:tc>
                <w:tcPr>
                  <w:tcW w:w="362" w:type="pct"/>
                  <w:vAlign w:val="center"/>
                </w:tcPr>
                <w:p>
                  <w:pPr>
                    <w:spacing w:line="0" w:lineRule="atLeast"/>
                    <w:jc w:val="center"/>
                    <w:rPr>
                      <w:szCs w:val="21"/>
                      <w:highlight w:val="none"/>
                    </w:rPr>
                  </w:pPr>
                  <w:r>
                    <w:rPr>
                      <w:rFonts w:hint="eastAsia"/>
                      <w:szCs w:val="21"/>
                      <w:highlight w:val="none"/>
                    </w:rPr>
                    <w:t>七分所六中地铺</w:t>
                  </w:r>
                </w:p>
              </w:tc>
              <w:tc>
                <w:tcPr>
                  <w:tcW w:w="1565" w:type="dxa"/>
                  <w:vAlign w:val="center"/>
                </w:tcPr>
                <w:p>
                  <w:pPr>
                    <w:spacing w:line="0" w:lineRule="atLeast"/>
                    <w:jc w:val="center"/>
                    <w:rPr>
                      <w:szCs w:val="21"/>
                      <w:highlight w:val="none"/>
                    </w:rPr>
                  </w:pPr>
                  <w:r>
                    <w:rPr>
                      <w:rFonts w:hint="eastAsia"/>
                      <w:szCs w:val="21"/>
                      <w:highlight w:val="none"/>
                    </w:rPr>
                    <w:t>131.2250061</w:t>
                  </w:r>
                </w:p>
              </w:tc>
              <w:tc>
                <w:tcPr>
                  <w:tcW w:w="1306" w:type="dxa"/>
                  <w:vAlign w:val="center"/>
                </w:tcPr>
                <w:p>
                  <w:pPr>
                    <w:spacing w:line="0" w:lineRule="atLeast"/>
                    <w:jc w:val="center"/>
                    <w:rPr>
                      <w:szCs w:val="21"/>
                      <w:highlight w:val="none"/>
                    </w:rPr>
                  </w:pPr>
                  <w:r>
                    <w:rPr>
                      <w:rFonts w:hint="eastAsia"/>
                      <w:szCs w:val="21"/>
                      <w:highlight w:val="none"/>
                    </w:rPr>
                    <w:t>46.6777</w:t>
                  </w:r>
                </w:p>
              </w:tc>
              <w:tc>
                <w:tcPr>
                  <w:tcW w:w="387" w:type="pct"/>
                  <w:vMerge w:val="continue"/>
                  <w:vAlign w:val="center"/>
                </w:tcPr>
                <w:p>
                  <w:pPr>
                    <w:spacing w:line="0" w:lineRule="atLeast"/>
                    <w:jc w:val="center"/>
                    <w:rPr>
                      <w:szCs w:val="21"/>
                      <w:highlight w:val="none"/>
                    </w:rPr>
                  </w:pPr>
                </w:p>
              </w:tc>
              <w:tc>
                <w:tcPr>
                  <w:tcW w:w="810" w:type="dxa"/>
                  <w:vAlign w:val="center"/>
                </w:tcPr>
                <w:p>
                  <w:pPr>
                    <w:spacing w:line="0" w:lineRule="atLeast"/>
                    <w:jc w:val="center"/>
                    <w:rPr>
                      <w:szCs w:val="21"/>
                      <w:highlight w:val="none"/>
                    </w:rPr>
                  </w:pPr>
                  <w:r>
                    <w:rPr>
                      <w:rFonts w:hint="eastAsia"/>
                      <w:szCs w:val="21"/>
                      <w:highlight w:val="none"/>
                    </w:rPr>
                    <w:t>SSE</w:t>
                  </w:r>
                </w:p>
              </w:tc>
              <w:tc>
                <w:tcPr>
                  <w:tcW w:w="1270" w:type="dxa"/>
                  <w:vAlign w:val="center"/>
                </w:tcPr>
                <w:p>
                  <w:pPr>
                    <w:spacing w:line="0" w:lineRule="atLeast"/>
                    <w:jc w:val="center"/>
                    <w:rPr>
                      <w:rFonts w:hint="default" w:eastAsia="宋体"/>
                      <w:szCs w:val="21"/>
                      <w:highlight w:val="none"/>
                      <w:lang w:val="en-US" w:eastAsia="zh-CN"/>
                    </w:rPr>
                  </w:pPr>
                  <w:r>
                    <w:rPr>
                      <w:rFonts w:hint="eastAsia"/>
                      <w:szCs w:val="21"/>
                      <w:highlight w:val="none"/>
                    </w:rPr>
                    <w:t>2.</w:t>
                  </w:r>
                  <w:r>
                    <w:rPr>
                      <w:rFonts w:hint="eastAsia"/>
                      <w:szCs w:val="21"/>
                      <w:highlight w:val="none"/>
                      <w:lang w:val="en-US" w:eastAsia="zh-CN"/>
                    </w:rPr>
                    <w:t>11</w:t>
                  </w:r>
                </w:p>
              </w:tc>
              <w:tc>
                <w:tcPr>
                  <w:tcW w:w="359" w:type="pct"/>
                  <w:vAlign w:val="center"/>
                </w:tcPr>
                <w:p>
                  <w:pPr>
                    <w:spacing w:line="0" w:lineRule="atLeast"/>
                    <w:jc w:val="center"/>
                    <w:rPr>
                      <w:szCs w:val="21"/>
                      <w:highlight w:val="none"/>
                    </w:rPr>
                  </w:pPr>
                  <w:r>
                    <w:rPr>
                      <w:szCs w:val="21"/>
                      <w:highlight w:val="none"/>
                    </w:rPr>
                    <w:t>人群</w:t>
                  </w:r>
                </w:p>
              </w:tc>
              <w:tc>
                <w:tcPr>
                  <w:tcW w:w="1017" w:type="pct"/>
                  <w:vMerge w:val="continue"/>
                  <w:vAlign w:val="center"/>
                </w:tcPr>
                <w:p>
                  <w:pPr>
                    <w:widowControl/>
                    <w:snapToGrid w:val="0"/>
                    <w:ind w:left="-105" w:leftChars="-50" w:right="-105" w:rightChars="-50"/>
                    <w:jc w:val="center"/>
                    <w:rPr>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5" w:hRule="atLeast"/>
                <w:jc w:val="center"/>
              </w:trPr>
              <w:tc>
                <w:tcPr>
                  <w:tcW w:w="362" w:type="pct"/>
                  <w:vAlign w:val="center"/>
                </w:tcPr>
                <w:p>
                  <w:pPr>
                    <w:spacing w:line="0" w:lineRule="atLeast"/>
                    <w:jc w:val="center"/>
                    <w:rPr>
                      <w:szCs w:val="21"/>
                      <w:highlight w:val="none"/>
                    </w:rPr>
                  </w:pPr>
                  <w:r>
                    <w:rPr>
                      <w:rFonts w:hint="eastAsia"/>
                      <w:szCs w:val="21"/>
                      <w:highlight w:val="none"/>
                    </w:rPr>
                    <w:t>中华村</w:t>
                  </w:r>
                </w:p>
              </w:tc>
              <w:tc>
                <w:tcPr>
                  <w:tcW w:w="1565" w:type="dxa"/>
                  <w:vAlign w:val="center"/>
                </w:tcPr>
                <w:p>
                  <w:pPr>
                    <w:spacing w:line="0" w:lineRule="atLeast"/>
                    <w:jc w:val="center"/>
                    <w:rPr>
                      <w:szCs w:val="21"/>
                      <w:highlight w:val="none"/>
                    </w:rPr>
                  </w:pPr>
                  <w:r>
                    <w:rPr>
                      <w:rFonts w:hint="eastAsia"/>
                      <w:szCs w:val="21"/>
                      <w:highlight w:val="none"/>
                    </w:rPr>
                    <w:t>131.2359924</w:t>
                  </w:r>
                </w:p>
              </w:tc>
              <w:tc>
                <w:tcPr>
                  <w:tcW w:w="1306" w:type="dxa"/>
                  <w:vAlign w:val="center"/>
                </w:tcPr>
                <w:p>
                  <w:pPr>
                    <w:spacing w:line="0" w:lineRule="atLeast"/>
                    <w:jc w:val="center"/>
                    <w:rPr>
                      <w:szCs w:val="21"/>
                      <w:highlight w:val="none"/>
                    </w:rPr>
                  </w:pPr>
                  <w:r>
                    <w:rPr>
                      <w:rFonts w:hint="eastAsia"/>
                      <w:szCs w:val="21"/>
                      <w:highlight w:val="none"/>
                    </w:rPr>
                    <w:t>46.7114983</w:t>
                  </w:r>
                </w:p>
              </w:tc>
              <w:tc>
                <w:tcPr>
                  <w:tcW w:w="387" w:type="pct"/>
                  <w:vMerge w:val="continue"/>
                  <w:vAlign w:val="center"/>
                </w:tcPr>
                <w:p>
                  <w:pPr>
                    <w:spacing w:line="0" w:lineRule="atLeast"/>
                    <w:jc w:val="center"/>
                    <w:rPr>
                      <w:szCs w:val="21"/>
                      <w:highlight w:val="none"/>
                    </w:rPr>
                  </w:pPr>
                </w:p>
              </w:tc>
              <w:tc>
                <w:tcPr>
                  <w:tcW w:w="810" w:type="dxa"/>
                  <w:vAlign w:val="center"/>
                </w:tcPr>
                <w:p>
                  <w:pPr>
                    <w:spacing w:line="0" w:lineRule="atLeast"/>
                    <w:jc w:val="center"/>
                    <w:rPr>
                      <w:szCs w:val="21"/>
                      <w:highlight w:val="none"/>
                    </w:rPr>
                  </w:pPr>
                  <w:r>
                    <w:rPr>
                      <w:rFonts w:hint="eastAsia"/>
                      <w:szCs w:val="21"/>
                      <w:highlight w:val="none"/>
                    </w:rPr>
                    <w:t>NE</w:t>
                  </w:r>
                </w:p>
              </w:tc>
              <w:tc>
                <w:tcPr>
                  <w:tcW w:w="1270" w:type="dxa"/>
                  <w:vAlign w:val="center"/>
                </w:tcPr>
                <w:p>
                  <w:pPr>
                    <w:spacing w:line="0" w:lineRule="atLeast"/>
                    <w:jc w:val="center"/>
                    <w:rPr>
                      <w:rFonts w:hint="eastAsia" w:eastAsia="宋体"/>
                      <w:szCs w:val="21"/>
                      <w:highlight w:val="none"/>
                      <w:lang w:val="en-US" w:eastAsia="zh-CN"/>
                    </w:rPr>
                  </w:pPr>
                  <w:r>
                    <w:rPr>
                      <w:rFonts w:hint="eastAsia"/>
                      <w:szCs w:val="21"/>
                      <w:highlight w:val="none"/>
                    </w:rPr>
                    <w:t>2.3</w:t>
                  </w:r>
                  <w:r>
                    <w:rPr>
                      <w:rFonts w:hint="eastAsia"/>
                      <w:szCs w:val="21"/>
                      <w:highlight w:val="none"/>
                      <w:lang w:val="en-US" w:eastAsia="zh-CN"/>
                    </w:rPr>
                    <w:t>4</w:t>
                  </w:r>
                </w:p>
              </w:tc>
              <w:tc>
                <w:tcPr>
                  <w:tcW w:w="359" w:type="pct"/>
                  <w:vAlign w:val="center"/>
                </w:tcPr>
                <w:p>
                  <w:pPr>
                    <w:spacing w:line="0" w:lineRule="atLeast"/>
                    <w:jc w:val="center"/>
                    <w:rPr>
                      <w:szCs w:val="21"/>
                      <w:highlight w:val="none"/>
                    </w:rPr>
                  </w:pPr>
                  <w:r>
                    <w:rPr>
                      <w:szCs w:val="21"/>
                      <w:highlight w:val="none"/>
                    </w:rPr>
                    <w:t>人群</w:t>
                  </w:r>
                </w:p>
              </w:tc>
              <w:tc>
                <w:tcPr>
                  <w:tcW w:w="1017" w:type="pct"/>
                  <w:vMerge w:val="continue"/>
                  <w:vAlign w:val="center"/>
                </w:tcPr>
                <w:p>
                  <w:pPr>
                    <w:widowControl/>
                    <w:snapToGrid w:val="0"/>
                    <w:ind w:left="-105" w:leftChars="-50" w:right="-105" w:rightChars="-50"/>
                    <w:jc w:val="center"/>
                    <w:rPr>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05" w:hRule="atLeast"/>
                <w:jc w:val="center"/>
              </w:trPr>
              <w:tc>
                <w:tcPr>
                  <w:tcW w:w="362" w:type="pct"/>
                  <w:vAlign w:val="center"/>
                </w:tcPr>
                <w:p>
                  <w:pPr>
                    <w:spacing w:line="0" w:lineRule="atLeast"/>
                    <w:jc w:val="center"/>
                    <w:rPr>
                      <w:szCs w:val="21"/>
                      <w:highlight w:val="none"/>
                    </w:rPr>
                  </w:pPr>
                  <w:r>
                    <w:rPr>
                      <w:rFonts w:hint="eastAsia"/>
                      <w:szCs w:val="21"/>
                      <w:highlight w:val="none"/>
                    </w:rPr>
                    <w:t>开源村</w:t>
                  </w:r>
                </w:p>
              </w:tc>
              <w:tc>
                <w:tcPr>
                  <w:tcW w:w="1565" w:type="dxa"/>
                  <w:vAlign w:val="center"/>
                </w:tcPr>
                <w:p>
                  <w:pPr>
                    <w:spacing w:line="0" w:lineRule="atLeast"/>
                    <w:jc w:val="center"/>
                    <w:rPr>
                      <w:szCs w:val="21"/>
                      <w:highlight w:val="none"/>
                    </w:rPr>
                  </w:pPr>
                  <w:r>
                    <w:rPr>
                      <w:rFonts w:hint="eastAsia"/>
                      <w:szCs w:val="21"/>
                      <w:highlight w:val="none"/>
                    </w:rPr>
                    <w:t>131.2169952</w:t>
                  </w:r>
                </w:p>
              </w:tc>
              <w:tc>
                <w:tcPr>
                  <w:tcW w:w="1306" w:type="dxa"/>
                  <w:vAlign w:val="center"/>
                </w:tcPr>
                <w:p>
                  <w:pPr>
                    <w:spacing w:line="0" w:lineRule="atLeast"/>
                    <w:jc w:val="center"/>
                    <w:rPr>
                      <w:szCs w:val="21"/>
                      <w:highlight w:val="none"/>
                    </w:rPr>
                  </w:pPr>
                  <w:r>
                    <w:rPr>
                      <w:rFonts w:hint="eastAsia"/>
                      <w:szCs w:val="21"/>
                      <w:highlight w:val="none"/>
                    </w:rPr>
                    <w:t>46.6964989</w:t>
                  </w:r>
                </w:p>
              </w:tc>
              <w:tc>
                <w:tcPr>
                  <w:tcW w:w="387" w:type="pct"/>
                  <w:vMerge w:val="continue"/>
                  <w:vAlign w:val="center"/>
                </w:tcPr>
                <w:p>
                  <w:pPr>
                    <w:spacing w:line="0" w:lineRule="atLeast"/>
                    <w:jc w:val="center"/>
                    <w:rPr>
                      <w:szCs w:val="21"/>
                      <w:highlight w:val="none"/>
                    </w:rPr>
                  </w:pPr>
                </w:p>
              </w:tc>
              <w:tc>
                <w:tcPr>
                  <w:tcW w:w="810" w:type="dxa"/>
                  <w:vAlign w:val="center"/>
                </w:tcPr>
                <w:p>
                  <w:pPr>
                    <w:spacing w:line="0" w:lineRule="atLeast"/>
                    <w:jc w:val="center"/>
                    <w:rPr>
                      <w:szCs w:val="21"/>
                      <w:highlight w:val="none"/>
                    </w:rPr>
                  </w:pPr>
                  <w:r>
                    <w:rPr>
                      <w:rFonts w:hint="eastAsia"/>
                      <w:szCs w:val="21"/>
                      <w:highlight w:val="none"/>
                    </w:rPr>
                    <w:t>E</w:t>
                  </w:r>
                </w:p>
              </w:tc>
              <w:tc>
                <w:tcPr>
                  <w:tcW w:w="1270" w:type="dxa"/>
                  <w:vAlign w:val="center"/>
                </w:tcPr>
                <w:p>
                  <w:pPr>
                    <w:spacing w:line="0" w:lineRule="atLeast"/>
                    <w:jc w:val="center"/>
                    <w:rPr>
                      <w:szCs w:val="21"/>
                      <w:highlight w:val="none"/>
                    </w:rPr>
                  </w:pPr>
                  <w:r>
                    <w:rPr>
                      <w:rFonts w:hint="eastAsia"/>
                      <w:szCs w:val="21"/>
                      <w:highlight w:val="none"/>
                    </w:rPr>
                    <w:t>0.05</w:t>
                  </w:r>
                </w:p>
              </w:tc>
              <w:tc>
                <w:tcPr>
                  <w:tcW w:w="359" w:type="pct"/>
                  <w:vAlign w:val="center"/>
                </w:tcPr>
                <w:p>
                  <w:pPr>
                    <w:spacing w:line="0" w:lineRule="atLeast"/>
                    <w:jc w:val="center"/>
                    <w:rPr>
                      <w:szCs w:val="21"/>
                      <w:highlight w:val="none"/>
                    </w:rPr>
                  </w:pPr>
                  <w:r>
                    <w:rPr>
                      <w:szCs w:val="21"/>
                      <w:highlight w:val="none"/>
                    </w:rPr>
                    <w:t>人群</w:t>
                  </w:r>
                </w:p>
              </w:tc>
              <w:tc>
                <w:tcPr>
                  <w:tcW w:w="1017" w:type="pct"/>
                  <w:vMerge w:val="continue"/>
                  <w:vAlign w:val="center"/>
                </w:tcPr>
                <w:p>
                  <w:pPr>
                    <w:widowControl/>
                    <w:snapToGrid w:val="0"/>
                    <w:ind w:left="-105" w:leftChars="-50" w:right="-105" w:rightChars="-50"/>
                    <w:jc w:val="center"/>
                    <w:rPr>
                      <w:szCs w:val="21"/>
                      <w:highlight w:val="none"/>
                    </w:rPr>
                  </w:pPr>
                </w:p>
              </w:tc>
            </w:tr>
          </w:tbl>
          <w:p>
            <w:pPr>
              <w:pStyle w:val="66"/>
              <w:spacing w:line="360" w:lineRule="auto"/>
              <w:rPr>
                <w:color w:val="auto"/>
                <w:highlight w:val="none"/>
              </w:rPr>
            </w:pPr>
            <w:r>
              <w:rPr>
                <w:color w:val="auto"/>
                <w:highlight w:val="none"/>
              </w:rPr>
              <w:drawing>
                <wp:inline distT="0" distB="0" distL="0" distR="0">
                  <wp:extent cx="5400675" cy="4095750"/>
                  <wp:effectExtent l="0" t="0" r="952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7"/>
                          <a:stretch>
                            <a:fillRect/>
                          </a:stretch>
                        </pic:blipFill>
                        <pic:spPr>
                          <a:xfrm>
                            <a:off x="0" y="0"/>
                            <a:ext cx="5400675" cy="4095750"/>
                          </a:xfrm>
                          <a:prstGeom prst="rect">
                            <a:avLst/>
                          </a:prstGeom>
                        </pic:spPr>
                      </pic:pic>
                    </a:graphicData>
                  </a:graphic>
                </wp:inline>
              </w:drawing>
            </w:r>
          </w:p>
          <w:p>
            <w:pPr>
              <w:pStyle w:val="66"/>
              <w:spacing w:line="360" w:lineRule="auto"/>
              <w:rPr>
                <w:color w:val="auto"/>
                <w:highlight w:val="none"/>
              </w:rPr>
            </w:pPr>
            <w:r>
              <w:rPr>
                <w:color w:val="auto"/>
                <w:highlight w:val="none"/>
              </w:rPr>
              <w:drawing>
                <wp:anchor distT="0" distB="0" distL="114300" distR="114300" simplePos="0" relativeHeight="251673600" behindDoc="0" locked="0" layoutInCell="1" allowOverlap="1">
                  <wp:simplePos x="0" y="0"/>
                  <wp:positionH relativeFrom="column">
                    <wp:posOffset>3857625</wp:posOffset>
                  </wp:positionH>
                  <wp:positionV relativeFrom="paragraph">
                    <wp:posOffset>3676650</wp:posOffset>
                  </wp:positionV>
                  <wp:extent cx="1628775" cy="1143000"/>
                  <wp:effectExtent l="0" t="0" r="9525" b="0"/>
                  <wp:wrapNone/>
                  <wp:docPr id="8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3"/>
                          <pic:cNvPicPr>
                            <a:picLocks noChangeAspect="1"/>
                          </pic:cNvPicPr>
                        </pic:nvPicPr>
                        <pic:blipFill>
                          <a:blip r:embed="rId18"/>
                          <a:stretch>
                            <a:fillRect/>
                          </a:stretch>
                        </pic:blipFill>
                        <pic:spPr>
                          <a:xfrm>
                            <a:off x="0" y="0"/>
                            <a:ext cx="1628775" cy="1143000"/>
                          </a:xfrm>
                          <a:prstGeom prst="rect">
                            <a:avLst/>
                          </a:prstGeom>
                          <a:noFill/>
                          <a:ln>
                            <a:noFill/>
                          </a:ln>
                        </pic:spPr>
                      </pic:pic>
                    </a:graphicData>
                  </a:graphic>
                </wp:anchor>
              </w:drawing>
            </w:r>
            <w:r>
              <w:rPr>
                <w:color w:val="auto"/>
                <w:highlight w:val="none"/>
              </w:rPr>
              <w:drawing>
                <wp:inline distT="0" distB="0" distL="114300" distR="114300">
                  <wp:extent cx="5470525" cy="4777105"/>
                  <wp:effectExtent l="0" t="0" r="15875" b="444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19"/>
                          <a:stretch>
                            <a:fillRect/>
                          </a:stretch>
                        </pic:blipFill>
                        <pic:spPr>
                          <a:xfrm>
                            <a:off x="0" y="0"/>
                            <a:ext cx="5470525" cy="4777105"/>
                          </a:xfrm>
                          <a:prstGeom prst="rect">
                            <a:avLst/>
                          </a:prstGeom>
                          <a:noFill/>
                          <a:ln>
                            <a:noFill/>
                          </a:ln>
                        </pic:spPr>
                      </pic:pic>
                    </a:graphicData>
                  </a:graphic>
                </wp:inline>
              </w:drawing>
            </w:r>
          </w:p>
          <w:p>
            <w:pPr>
              <w:jc w:val="center"/>
              <w:rPr>
                <w:highlight w:val="none"/>
              </w:rPr>
            </w:pPr>
            <w:r>
              <w:rPr>
                <w:b/>
                <w:bCs/>
                <w:kern w:val="0"/>
                <w:szCs w:val="21"/>
                <w:highlight w:val="none"/>
              </w:rPr>
              <w:t>图3-</w:t>
            </w:r>
            <w:r>
              <w:rPr>
                <w:rFonts w:hint="eastAsia"/>
                <w:b/>
                <w:bCs/>
                <w:kern w:val="0"/>
                <w:szCs w:val="21"/>
                <w:highlight w:val="none"/>
              </w:rPr>
              <w:t>2</w:t>
            </w:r>
            <w:r>
              <w:rPr>
                <w:b/>
                <w:bCs/>
                <w:kern w:val="0"/>
                <w:szCs w:val="21"/>
                <w:highlight w:val="none"/>
              </w:rPr>
              <w:t>项目环境</w:t>
            </w:r>
            <w:r>
              <w:rPr>
                <w:rFonts w:hint="eastAsia"/>
                <w:b/>
                <w:bCs/>
                <w:kern w:val="0"/>
                <w:szCs w:val="21"/>
                <w:highlight w:val="none"/>
              </w:rPr>
              <w:t>敏感</w:t>
            </w:r>
            <w:r>
              <w:rPr>
                <w:b/>
                <w:bCs/>
                <w:kern w:val="0"/>
                <w:szCs w:val="21"/>
                <w:highlight w:val="none"/>
              </w:rPr>
              <w:t>目标分布图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4" w:hRule="atLeast"/>
          <w:jc w:val="center"/>
        </w:trPr>
        <w:tc>
          <w:tcPr>
            <w:tcW w:w="800" w:type="dxa"/>
            <w:tcMar>
              <w:left w:w="28" w:type="dxa"/>
              <w:right w:w="28" w:type="dxa"/>
            </w:tcMar>
            <w:vAlign w:val="center"/>
          </w:tcPr>
          <w:p>
            <w:pPr>
              <w:adjustRightInd w:val="0"/>
              <w:snapToGrid w:val="0"/>
              <w:jc w:val="center"/>
              <w:rPr>
                <w:kern w:val="0"/>
                <w:sz w:val="24"/>
                <w:highlight w:val="none"/>
              </w:rPr>
            </w:pPr>
            <w:r>
              <w:rPr>
                <w:kern w:val="0"/>
                <w:sz w:val="24"/>
                <w:highlight w:val="none"/>
              </w:rPr>
              <w:t>污染</w:t>
            </w:r>
          </w:p>
          <w:p>
            <w:pPr>
              <w:adjustRightInd w:val="0"/>
              <w:snapToGrid w:val="0"/>
              <w:jc w:val="center"/>
              <w:rPr>
                <w:kern w:val="0"/>
                <w:sz w:val="24"/>
                <w:highlight w:val="none"/>
              </w:rPr>
            </w:pPr>
            <w:r>
              <w:rPr>
                <w:kern w:val="0"/>
                <w:sz w:val="24"/>
                <w:highlight w:val="none"/>
              </w:rPr>
              <w:t>物排</w:t>
            </w:r>
          </w:p>
          <w:p>
            <w:pPr>
              <w:adjustRightInd w:val="0"/>
              <w:snapToGrid w:val="0"/>
              <w:jc w:val="center"/>
              <w:rPr>
                <w:kern w:val="0"/>
                <w:sz w:val="24"/>
                <w:highlight w:val="none"/>
              </w:rPr>
            </w:pPr>
            <w:r>
              <w:rPr>
                <w:kern w:val="0"/>
                <w:sz w:val="24"/>
                <w:highlight w:val="none"/>
              </w:rPr>
              <w:t>放控</w:t>
            </w:r>
          </w:p>
          <w:p>
            <w:pPr>
              <w:adjustRightInd w:val="0"/>
              <w:snapToGrid w:val="0"/>
              <w:jc w:val="center"/>
              <w:rPr>
                <w:kern w:val="0"/>
                <w:sz w:val="24"/>
                <w:highlight w:val="none"/>
              </w:rPr>
            </w:pPr>
            <w:r>
              <w:rPr>
                <w:kern w:val="0"/>
                <w:sz w:val="24"/>
                <w:highlight w:val="none"/>
              </w:rPr>
              <w:t>制标</w:t>
            </w:r>
          </w:p>
          <w:p>
            <w:pPr>
              <w:adjustRightInd w:val="0"/>
              <w:snapToGrid w:val="0"/>
              <w:jc w:val="center"/>
              <w:rPr>
                <w:kern w:val="0"/>
                <w:sz w:val="24"/>
                <w:highlight w:val="none"/>
              </w:rPr>
            </w:pPr>
            <w:r>
              <w:rPr>
                <w:kern w:val="0"/>
                <w:sz w:val="24"/>
                <w:highlight w:val="none"/>
              </w:rPr>
              <w:t>准</w:t>
            </w:r>
          </w:p>
        </w:tc>
        <w:tc>
          <w:tcPr>
            <w:tcW w:w="8833" w:type="dxa"/>
            <w:vAlign w:val="center"/>
          </w:tcPr>
          <w:p>
            <w:pPr>
              <w:adjustRightInd w:val="0"/>
              <w:snapToGrid w:val="0"/>
              <w:spacing w:line="360" w:lineRule="auto"/>
              <w:ind w:firstLine="480" w:firstLineChars="200"/>
              <w:jc w:val="left"/>
              <w:rPr>
                <w:sz w:val="24"/>
                <w:highlight w:val="none"/>
              </w:rPr>
            </w:pPr>
            <w:r>
              <w:rPr>
                <w:rFonts w:hint="eastAsia"/>
                <w:sz w:val="24"/>
                <w:highlight w:val="none"/>
              </w:rPr>
              <w:t>1、废气</w:t>
            </w:r>
          </w:p>
          <w:p>
            <w:pPr>
              <w:spacing w:line="360" w:lineRule="auto"/>
              <w:ind w:firstLine="480" w:firstLineChars="200"/>
              <w:jc w:val="left"/>
              <w:rPr>
                <w:bCs/>
                <w:snapToGrid w:val="0"/>
                <w:kern w:val="0"/>
                <w:sz w:val="24"/>
                <w:highlight w:val="none"/>
              </w:rPr>
            </w:pPr>
            <w:r>
              <w:rPr>
                <w:rFonts w:hint="eastAsia"/>
                <w:bCs/>
                <w:snapToGrid w:val="0"/>
                <w:kern w:val="0"/>
                <w:sz w:val="24"/>
                <w:highlight w:val="none"/>
              </w:rPr>
              <w:t>本项目施工期扬尘执行《大气污染物综合排放标准》（GB16297-1996）表2无组织排放限值要求，颗粒物≤1.0mg/m</w:t>
            </w:r>
            <w:r>
              <w:rPr>
                <w:rFonts w:hint="eastAsia"/>
                <w:bCs/>
                <w:snapToGrid w:val="0"/>
                <w:kern w:val="0"/>
                <w:sz w:val="24"/>
                <w:highlight w:val="none"/>
                <w:vertAlign w:val="superscript"/>
              </w:rPr>
              <w:t>3</w:t>
            </w:r>
            <w:r>
              <w:rPr>
                <w:rFonts w:hint="eastAsia"/>
                <w:bCs/>
                <w:snapToGrid w:val="0"/>
                <w:kern w:val="0"/>
                <w:sz w:val="24"/>
                <w:highlight w:val="none"/>
              </w:rPr>
              <w:t>。</w:t>
            </w:r>
          </w:p>
          <w:p>
            <w:pPr>
              <w:jc w:val="center"/>
              <w:rPr>
                <w:b/>
                <w:snapToGrid w:val="0"/>
                <w:kern w:val="0"/>
                <w:szCs w:val="21"/>
                <w:highlight w:val="none"/>
              </w:rPr>
            </w:pPr>
            <w:r>
              <w:rPr>
                <w:rFonts w:hint="eastAsia"/>
                <w:b/>
                <w:snapToGrid w:val="0"/>
                <w:kern w:val="0"/>
                <w:szCs w:val="21"/>
                <w:highlight w:val="none"/>
              </w:rPr>
              <w:t>表3-8《大气</w:t>
            </w:r>
            <w:r>
              <w:rPr>
                <w:b/>
                <w:snapToGrid w:val="0"/>
                <w:kern w:val="0"/>
                <w:szCs w:val="21"/>
                <w:highlight w:val="none"/>
              </w:rPr>
              <w:t>污染物综合排放标准》（GB16297-1996）</w:t>
            </w:r>
            <w:r>
              <w:rPr>
                <w:rFonts w:hint="eastAsia"/>
                <w:b/>
                <w:snapToGrid w:val="0"/>
                <w:kern w:val="0"/>
                <w:szCs w:val="21"/>
                <w:highlight w:val="none"/>
              </w:rPr>
              <w:t>无组织排放</w:t>
            </w:r>
            <w:r>
              <w:rPr>
                <w:b/>
                <w:snapToGrid w:val="0"/>
                <w:kern w:val="0"/>
                <w:szCs w:val="21"/>
                <w:highlight w:val="none"/>
              </w:rPr>
              <w:t>标准</w:t>
            </w:r>
          </w:p>
          <w:tbl>
            <w:tblPr>
              <w:tblStyle w:val="29"/>
              <w:tblW w:w="5000"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3740"/>
              <w:gridCol w:w="353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949" w:type="pct"/>
                  <w:gridSpan w:val="2"/>
                  <w:tcBorders>
                    <w:tl2br w:val="nil"/>
                    <w:tr2bl w:val="nil"/>
                  </w:tcBorders>
                  <w:vAlign w:val="center"/>
                </w:tcPr>
                <w:p>
                  <w:pPr>
                    <w:pStyle w:val="12"/>
                    <w:spacing w:before="0" w:beforeAutospacing="0" w:after="0" w:afterAutospacing="0"/>
                    <w:jc w:val="center"/>
                    <w:rPr>
                      <w:rFonts w:ascii="Times New Roman" w:hAnsi="Times New Roman"/>
                      <w:color w:val="auto"/>
                      <w:sz w:val="21"/>
                      <w:highlight w:val="none"/>
                    </w:rPr>
                  </w:pPr>
                  <w:r>
                    <w:rPr>
                      <w:rFonts w:hint="eastAsia" w:ascii="Times New Roman" w:hAnsi="Times New Roman"/>
                      <w:color w:val="auto"/>
                      <w:sz w:val="21"/>
                      <w:highlight w:val="none"/>
                    </w:rPr>
                    <w:t>污染</w:t>
                  </w:r>
                  <w:r>
                    <w:rPr>
                      <w:rFonts w:ascii="Times New Roman" w:hAnsi="Times New Roman"/>
                      <w:color w:val="auto"/>
                      <w:sz w:val="21"/>
                      <w:highlight w:val="none"/>
                    </w:rPr>
                    <w:t>物</w:t>
                  </w:r>
                </w:p>
              </w:tc>
              <w:tc>
                <w:tcPr>
                  <w:tcW w:w="2051" w:type="pct"/>
                  <w:tcBorders>
                    <w:tl2br w:val="nil"/>
                    <w:tr2bl w:val="nil"/>
                  </w:tcBorders>
                  <w:vAlign w:val="center"/>
                </w:tcPr>
                <w:p>
                  <w:pPr>
                    <w:pStyle w:val="12"/>
                    <w:spacing w:before="0" w:beforeAutospacing="0" w:after="0" w:afterAutospacing="0"/>
                    <w:jc w:val="center"/>
                    <w:rPr>
                      <w:rFonts w:ascii="Times New Roman" w:hAnsi="Times New Roman"/>
                      <w:color w:val="auto"/>
                      <w:sz w:val="21"/>
                      <w:highlight w:val="none"/>
                    </w:rPr>
                  </w:pPr>
                  <w:r>
                    <w:rPr>
                      <w:rFonts w:hint="eastAsia" w:ascii="Times New Roman" w:hAnsi="Times New Roman"/>
                      <w:color w:val="auto"/>
                      <w:sz w:val="21"/>
                      <w:highlight w:val="none"/>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80" w:type="pct"/>
                  <w:vMerge w:val="restart"/>
                  <w:tcBorders>
                    <w:tl2br w:val="nil"/>
                    <w:tr2bl w:val="nil"/>
                  </w:tcBorders>
                  <w:vAlign w:val="center"/>
                </w:tcPr>
                <w:p>
                  <w:pPr>
                    <w:pStyle w:val="12"/>
                    <w:spacing w:before="0" w:beforeAutospacing="0" w:after="0" w:afterAutospacing="0"/>
                    <w:jc w:val="center"/>
                    <w:rPr>
                      <w:rFonts w:ascii="Times New Roman" w:hAnsi="Times New Roman"/>
                      <w:color w:val="auto"/>
                      <w:sz w:val="21"/>
                      <w:highlight w:val="none"/>
                    </w:rPr>
                  </w:pPr>
                  <w:r>
                    <w:rPr>
                      <w:rFonts w:ascii="Times New Roman" w:hAnsi="Times New Roman"/>
                      <w:color w:val="auto"/>
                      <w:sz w:val="21"/>
                      <w:highlight w:val="none"/>
                    </w:rPr>
                    <w:t>无组织</w:t>
                  </w:r>
                </w:p>
                <w:p>
                  <w:pPr>
                    <w:pStyle w:val="12"/>
                    <w:spacing w:before="0" w:beforeAutospacing="0" w:after="0" w:afterAutospacing="0"/>
                    <w:jc w:val="center"/>
                    <w:rPr>
                      <w:rFonts w:ascii="Times New Roman" w:hAnsi="Times New Roman"/>
                      <w:color w:val="auto"/>
                      <w:sz w:val="21"/>
                      <w:highlight w:val="none"/>
                    </w:rPr>
                  </w:pPr>
                  <w:r>
                    <w:rPr>
                      <w:rFonts w:ascii="Times New Roman" w:hAnsi="Times New Roman"/>
                      <w:color w:val="auto"/>
                      <w:sz w:val="21"/>
                      <w:highlight w:val="none"/>
                    </w:rPr>
                    <w:t>排放</w:t>
                  </w:r>
                </w:p>
              </w:tc>
              <w:tc>
                <w:tcPr>
                  <w:tcW w:w="2169" w:type="pct"/>
                  <w:tcBorders>
                    <w:tl2br w:val="nil"/>
                    <w:tr2bl w:val="nil"/>
                  </w:tcBorders>
                  <w:vAlign w:val="center"/>
                </w:tcPr>
                <w:p>
                  <w:pPr>
                    <w:pStyle w:val="12"/>
                    <w:spacing w:before="0" w:beforeAutospacing="0" w:after="0" w:afterAutospacing="0"/>
                    <w:jc w:val="center"/>
                    <w:rPr>
                      <w:rFonts w:ascii="Times New Roman" w:hAnsi="Times New Roman"/>
                      <w:color w:val="auto"/>
                      <w:sz w:val="21"/>
                      <w:highlight w:val="none"/>
                    </w:rPr>
                  </w:pPr>
                  <w:r>
                    <w:rPr>
                      <w:rFonts w:ascii="Times New Roman" w:hAnsi="Times New Roman"/>
                      <w:color w:val="auto"/>
                      <w:sz w:val="21"/>
                      <w:highlight w:val="none"/>
                    </w:rPr>
                    <w:t>监控点</w:t>
                  </w:r>
                </w:p>
              </w:tc>
              <w:tc>
                <w:tcPr>
                  <w:tcW w:w="2051" w:type="pct"/>
                  <w:tcBorders>
                    <w:tl2br w:val="nil"/>
                    <w:tr2bl w:val="nil"/>
                  </w:tcBorders>
                  <w:vAlign w:val="center"/>
                </w:tcPr>
                <w:p>
                  <w:pPr>
                    <w:pStyle w:val="12"/>
                    <w:spacing w:before="0" w:beforeAutospacing="0" w:after="0" w:afterAutospacing="0"/>
                    <w:jc w:val="center"/>
                    <w:rPr>
                      <w:rFonts w:ascii="Times New Roman" w:hAnsi="Times New Roman"/>
                      <w:color w:val="auto"/>
                      <w:sz w:val="21"/>
                      <w:highlight w:val="none"/>
                    </w:rPr>
                  </w:pPr>
                  <w:r>
                    <w:rPr>
                      <w:rFonts w:ascii="Times New Roman" w:hAnsi="Times New Roman"/>
                      <w:color w:val="auto"/>
                      <w:sz w:val="21"/>
                      <w:highlight w:val="none"/>
                    </w:rPr>
                    <w:t>周界外浓度最高</w:t>
                  </w:r>
                  <w:r>
                    <w:rPr>
                      <w:rFonts w:hint="eastAsia" w:ascii="Times New Roman" w:hAnsi="Times New Roman"/>
                      <w:color w:val="auto"/>
                      <w:sz w:val="21"/>
                      <w:highlight w:val="none"/>
                    </w:rPr>
                    <w:t>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780" w:type="pct"/>
                  <w:vMerge w:val="continue"/>
                  <w:tcBorders>
                    <w:tl2br w:val="nil"/>
                    <w:tr2bl w:val="nil"/>
                  </w:tcBorders>
                  <w:vAlign w:val="center"/>
                </w:tcPr>
                <w:p>
                  <w:pPr>
                    <w:pStyle w:val="12"/>
                    <w:spacing w:before="0" w:beforeAutospacing="0" w:after="0" w:afterAutospacing="0"/>
                    <w:jc w:val="center"/>
                    <w:rPr>
                      <w:rFonts w:ascii="Times New Roman" w:hAnsi="Times New Roman"/>
                      <w:color w:val="auto"/>
                      <w:sz w:val="21"/>
                      <w:highlight w:val="none"/>
                    </w:rPr>
                  </w:pPr>
                </w:p>
              </w:tc>
              <w:tc>
                <w:tcPr>
                  <w:tcW w:w="2169" w:type="pct"/>
                  <w:tcBorders>
                    <w:tl2br w:val="nil"/>
                    <w:tr2bl w:val="nil"/>
                  </w:tcBorders>
                  <w:vAlign w:val="center"/>
                </w:tcPr>
                <w:p>
                  <w:pPr>
                    <w:pStyle w:val="12"/>
                    <w:spacing w:before="0" w:beforeAutospacing="0" w:after="0" w:afterAutospacing="0"/>
                    <w:jc w:val="center"/>
                    <w:rPr>
                      <w:rFonts w:ascii="Times New Roman" w:hAnsi="Times New Roman"/>
                      <w:color w:val="auto"/>
                      <w:sz w:val="21"/>
                      <w:highlight w:val="none"/>
                    </w:rPr>
                  </w:pPr>
                  <w:r>
                    <w:rPr>
                      <w:rFonts w:ascii="Times New Roman" w:hAnsi="Times New Roman"/>
                      <w:color w:val="auto"/>
                      <w:sz w:val="21"/>
                      <w:highlight w:val="none"/>
                    </w:rPr>
                    <w:t>监控浓度限值</w:t>
                  </w:r>
                </w:p>
              </w:tc>
              <w:tc>
                <w:tcPr>
                  <w:tcW w:w="2051" w:type="pct"/>
                  <w:tcBorders>
                    <w:tl2br w:val="nil"/>
                    <w:tr2bl w:val="nil"/>
                  </w:tcBorders>
                  <w:vAlign w:val="center"/>
                </w:tcPr>
                <w:p>
                  <w:pPr>
                    <w:pStyle w:val="12"/>
                    <w:spacing w:before="0" w:beforeAutospacing="0" w:after="0" w:afterAutospacing="0"/>
                    <w:jc w:val="center"/>
                    <w:rPr>
                      <w:rFonts w:ascii="Times New Roman" w:hAnsi="Times New Roman"/>
                      <w:color w:val="auto"/>
                      <w:sz w:val="21"/>
                      <w:highlight w:val="none"/>
                    </w:rPr>
                  </w:pPr>
                  <w:r>
                    <w:rPr>
                      <w:rFonts w:hint="eastAsia" w:ascii="Times New Roman" w:hAnsi="Times New Roman"/>
                      <w:color w:val="auto"/>
                      <w:sz w:val="21"/>
                      <w:highlight w:val="none"/>
                    </w:rPr>
                    <w:t>1.0</w:t>
                  </w:r>
                  <w:r>
                    <w:rPr>
                      <w:rFonts w:ascii="Times New Roman" w:hAnsi="Times New Roman"/>
                      <w:color w:val="auto"/>
                      <w:sz w:val="21"/>
                      <w:highlight w:val="none"/>
                    </w:rPr>
                    <w:t>mg/m</w:t>
                  </w:r>
                  <w:r>
                    <w:rPr>
                      <w:rFonts w:ascii="Times New Roman" w:hAnsi="Times New Roman"/>
                      <w:color w:val="auto"/>
                      <w:sz w:val="21"/>
                      <w:highlight w:val="none"/>
                      <w:vertAlign w:val="superscript"/>
                    </w:rPr>
                    <w:t>3</w:t>
                  </w:r>
                </w:p>
              </w:tc>
            </w:tr>
          </w:tbl>
          <w:p>
            <w:pPr>
              <w:adjustRightInd w:val="0"/>
              <w:snapToGrid w:val="0"/>
              <w:spacing w:line="360" w:lineRule="auto"/>
              <w:ind w:firstLine="480" w:firstLineChars="200"/>
              <w:jc w:val="left"/>
              <w:rPr>
                <w:bCs/>
                <w:highlight w:val="none"/>
              </w:rPr>
            </w:pPr>
            <w:r>
              <w:rPr>
                <w:rFonts w:hint="eastAsia"/>
                <w:sz w:val="24"/>
                <w:highlight w:val="none"/>
              </w:rPr>
              <w:t>恶臭气体执行《</w:t>
            </w:r>
            <w:r>
              <w:rPr>
                <w:rFonts w:hint="eastAsia"/>
                <w:bCs/>
                <w:highlight w:val="none"/>
              </w:rPr>
              <w:t>恶臭污染物排放标准》（GB14554-93），</w:t>
            </w:r>
            <w:r>
              <w:rPr>
                <w:sz w:val="24"/>
                <w:highlight w:val="none"/>
              </w:rPr>
              <w:t>详见</w:t>
            </w:r>
            <w:r>
              <w:rPr>
                <w:rFonts w:hint="eastAsia"/>
                <w:sz w:val="24"/>
                <w:highlight w:val="none"/>
              </w:rPr>
              <w:t>下表</w:t>
            </w:r>
            <w:r>
              <w:rPr>
                <w:sz w:val="24"/>
                <w:highlight w:val="none"/>
              </w:rPr>
              <w:t>。</w:t>
            </w:r>
          </w:p>
          <w:p>
            <w:pPr>
              <w:jc w:val="center"/>
              <w:rPr>
                <w:b/>
                <w:bCs/>
                <w:szCs w:val="21"/>
                <w:highlight w:val="none"/>
              </w:rPr>
            </w:pPr>
            <w:r>
              <w:rPr>
                <w:b/>
                <w:bCs/>
                <w:szCs w:val="21"/>
                <w:highlight w:val="none"/>
              </w:rPr>
              <w:t>表3-</w:t>
            </w:r>
            <w:r>
              <w:rPr>
                <w:rFonts w:hint="eastAsia"/>
                <w:b/>
                <w:bCs/>
                <w:szCs w:val="21"/>
                <w:highlight w:val="none"/>
              </w:rPr>
              <w:t>8 《恶臭污染物排放标准》（GB14554-93）</w:t>
            </w:r>
          </w:p>
          <w:tbl>
            <w:tblPr>
              <w:tblStyle w:val="29"/>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86"/>
              <w:gridCol w:w="1143"/>
              <w:gridCol w:w="2680"/>
              <w:gridCol w:w="951"/>
              <w:gridCol w:w="9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86"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标准名称及级（类）别</w:t>
                  </w:r>
                </w:p>
              </w:tc>
              <w:tc>
                <w:tcPr>
                  <w:tcW w:w="3823" w:type="dxa"/>
                  <w:gridSpan w:val="2"/>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项目</w:t>
                  </w:r>
                </w:p>
              </w:tc>
              <w:tc>
                <w:tcPr>
                  <w:tcW w:w="951"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单位</w:t>
                  </w:r>
                </w:p>
              </w:tc>
              <w:tc>
                <w:tcPr>
                  <w:tcW w:w="944"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86" w:type="dxa"/>
                  <w:vMerge w:val="restart"/>
                  <w:tcBorders>
                    <w:tl2br w:val="nil"/>
                    <w:tr2bl w:val="nil"/>
                  </w:tcBorders>
                  <w:vAlign w:val="center"/>
                </w:tcPr>
                <w:p>
                  <w:pPr>
                    <w:jc w:val="center"/>
                    <w:rPr>
                      <w:bCs/>
                      <w:szCs w:val="21"/>
                      <w:highlight w:val="none"/>
                    </w:rPr>
                  </w:pPr>
                  <w:r>
                    <w:rPr>
                      <w:bCs/>
                      <w:szCs w:val="21"/>
                      <w:highlight w:val="none"/>
                    </w:rPr>
                    <w:t>《恶臭污染物排放标准》（GB14554-93）</w:t>
                  </w:r>
                </w:p>
              </w:tc>
              <w:tc>
                <w:tcPr>
                  <w:tcW w:w="1143"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氨</w:t>
                  </w:r>
                </w:p>
              </w:tc>
              <w:tc>
                <w:tcPr>
                  <w:tcW w:w="2680"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厂界标准值</w:t>
                  </w:r>
                </w:p>
              </w:tc>
              <w:tc>
                <w:tcPr>
                  <w:tcW w:w="951"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mg/m</w:t>
                  </w:r>
                  <w:r>
                    <w:rPr>
                      <w:rFonts w:ascii="Times New Roman" w:hAnsi="Times New Roman"/>
                      <w:bCs/>
                      <w:sz w:val="21"/>
                      <w:szCs w:val="21"/>
                      <w:highlight w:val="none"/>
                      <w:vertAlign w:val="superscript"/>
                    </w:rPr>
                    <w:t>3</w:t>
                  </w:r>
                </w:p>
              </w:tc>
              <w:tc>
                <w:tcPr>
                  <w:tcW w:w="944"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86" w:type="dxa"/>
                  <w:vMerge w:val="continue"/>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p>
              </w:tc>
              <w:tc>
                <w:tcPr>
                  <w:tcW w:w="1143"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硫化氢</w:t>
                  </w:r>
                </w:p>
              </w:tc>
              <w:tc>
                <w:tcPr>
                  <w:tcW w:w="2680"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厂界标准值</w:t>
                  </w:r>
                </w:p>
              </w:tc>
              <w:tc>
                <w:tcPr>
                  <w:tcW w:w="951"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mg/m</w:t>
                  </w:r>
                  <w:r>
                    <w:rPr>
                      <w:rFonts w:ascii="Times New Roman" w:hAnsi="Times New Roman"/>
                      <w:bCs/>
                      <w:sz w:val="21"/>
                      <w:szCs w:val="21"/>
                      <w:highlight w:val="none"/>
                      <w:vertAlign w:val="superscript"/>
                    </w:rPr>
                    <w:t>3</w:t>
                  </w:r>
                </w:p>
              </w:tc>
              <w:tc>
                <w:tcPr>
                  <w:tcW w:w="944"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0.06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786" w:type="dxa"/>
                  <w:vMerge w:val="continue"/>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p>
              </w:tc>
              <w:tc>
                <w:tcPr>
                  <w:tcW w:w="1143"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hint="eastAsia" w:ascii="Times New Roman" w:hAnsi="Times New Roman"/>
                      <w:bCs/>
                      <w:sz w:val="21"/>
                      <w:szCs w:val="21"/>
                      <w:highlight w:val="none"/>
                    </w:rPr>
                    <w:t>臭气浓度</w:t>
                  </w:r>
                </w:p>
              </w:tc>
              <w:tc>
                <w:tcPr>
                  <w:tcW w:w="2680"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ascii="Times New Roman" w:hAnsi="Times New Roman"/>
                      <w:bCs/>
                      <w:sz w:val="21"/>
                      <w:szCs w:val="21"/>
                      <w:highlight w:val="none"/>
                    </w:rPr>
                    <w:t>厂界标准值</w:t>
                  </w:r>
                </w:p>
              </w:tc>
              <w:tc>
                <w:tcPr>
                  <w:tcW w:w="951"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hint="eastAsia" w:ascii="Times New Roman" w:hAnsi="Times New Roman"/>
                      <w:bCs/>
                      <w:sz w:val="21"/>
                      <w:szCs w:val="21"/>
                      <w:highlight w:val="none"/>
                    </w:rPr>
                    <w:t>无量纲</w:t>
                  </w:r>
                </w:p>
              </w:tc>
              <w:tc>
                <w:tcPr>
                  <w:tcW w:w="944" w:type="dxa"/>
                  <w:tcBorders>
                    <w:tl2br w:val="nil"/>
                    <w:tr2bl w:val="nil"/>
                  </w:tcBorders>
                  <w:vAlign w:val="center"/>
                </w:tcPr>
                <w:p>
                  <w:pPr>
                    <w:pStyle w:val="103"/>
                    <w:autoSpaceDE w:val="0"/>
                    <w:autoSpaceDN w:val="0"/>
                    <w:spacing w:line="240" w:lineRule="auto"/>
                    <w:contextualSpacing/>
                    <w:jc w:val="center"/>
                    <w:textAlignment w:val="bottom"/>
                    <w:rPr>
                      <w:rFonts w:ascii="Times New Roman" w:hAnsi="Times New Roman"/>
                      <w:bCs/>
                      <w:sz w:val="21"/>
                      <w:szCs w:val="21"/>
                      <w:highlight w:val="none"/>
                    </w:rPr>
                  </w:pPr>
                  <w:r>
                    <w:rPr>
                      <w:rFonts w:hint="eastAsia" w:ascii="Times New Roman" w:hAnsi="Times New Roman"/>
                      <w:bCs/>
                      <w:sz w:val="21"/>
                      <w:szCs w:val="21"/>
                      <w:highlight w:val="none"/>
                    </w:rPr>
                    <w:t>20</w:t>
                  </w:r>
                </w:p>
              </w:tc>
            </w:tr>
          </w:tbl>
          <w:p>
            <w:pPr>
              <w:pStyle w:val="2"/>
              <w:widowControl w:val="0"/>
              <w:tabs>
                <w:tab w:val="left" w:pos="0"/>
              </w:tabs>
              <w:snapToGrid/>
              <w:spacing w:before="0" w:after="0" w:line="360" w:lineRule="auto"/>
              <w:ind w:right="0" w:firstLine="480" w:firstLineChars="200"/>
              <w:jc w:val="left"/>
              <w:rPr>
                <w:sz w:val="24"/>
                <w:highlight w:val="none"/>
              </w:rPr>
            </w:pPr>
            <w:r>
              <w:rPr>
                <w:sz w:val="24"/>
                <w:highlight w:val="none"/>
              </w:rPr>
              <w:t>锅炉烟气执行《锅炉大气污染物排放标准》（GB13271-2014）表</w:t>
            </w:r>
            <w:r>
              <w:rPr>
                <w:rFonts w:hint="eastAsia"/>
                <w:sz w:val="24"/>
                <w:highlight w:val="none"/>
              </w:rPr>
              <w:t>2中燃煤锅炉标准</w:t>
            </w:r>
            <w:r>
              <w:rPr>
                <w:sz w:val="24"/>
                <w:highlight w:val="none"/>
              </w:rPr>
              <w:t>，详见</w:t>
            </w:r>
            <w:r>
              <w:rPr>
                <w:rFonts w:hint="eastAsia"/>
                <w:sz w:val="24"/>
                <w:highlight w:val="none"/>
              </w:rPr>
              <w:t>下表</w:t>
            </w:r>
            <w:r>
              <w:rPr>
                <w:sz w:val="24"/>
                <w:highlight w:val="none"/>
              </w:rPr>
              <w:t>。</w:t>
            </w:r>
          </w:p>
          <w:p>
            <w:pPr>
              <w:pStyle w:val="2"/>
              <w:widowControl w:val="0"/>
              <w:tabs>
                <w:tab w:val="left" w:pos="0"/>
              </w:tabs>
              <w:snapToGrid/>
              <w:spacing w:before="0" w:after="0" w:line="240" w:lineRule="auto"/>
              <w:ind w:right="0"/>
              <w:jc w:val="center"/>
              <w:rPr>
                <w:b/>
                <w:bCs/>
                <w:sz w:val="21"/>
                <w:szCs w:val="21"/>
                <w:highlight w:val="none"/>
              </w:rPr>
            </w:pPr>
            <w:r>
              <w:rPr>
                <w:b/>
                <w:bCs/>
                <w:sz w:val="21"/>
                <w:szCs w:val="21"/>
                <w:highlight w:val="none"/>
              </w:rPr>
              <w:t>表3-</w:t>
            </w:r>
            <w:r>
              <w:rPr>
                <w:rFonts w:hint="eastAsia"/>
                <w:b/>
                <w:bCs/>
                <w:sz w:val="21"/>
                <w:szCs w:val="21"/>
                <w:highlight w:val="none"/>
              </w:rPr>
              <w:t xml:space="preserve">9 </w:t>
            </w:r>
            <w:r>
              <w:rPr>
                <w:b/>
                <w:bCs/>
                <w:sz w:val="21"/>
                <w:szCs w:val="21"/>
                <w:highlight w:val="none"/>
              </w:rPr>
              <w:t>锅炉大气污染物排放标准</w:t>
            </w:r>
          </w:p>
          <w:tbl>
            <w:tblPr>
              <w:tblStyle w:val="29"/>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25"/>
              <w:gridCol w:w="2708"/>
              <w:gridCol w:w="2628"/>
              <w:gridCol w:w="214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95" w:hRule="atLeast"/>
                <w:jc w:val="center"/>
              </w:trPr>
              <w:tc>
                <w:tcPr>
                  <w:tcW w:w="1025" w:type="dxa"/>
                  <w:vMerge w:val="restart"/>
                  <w:vAlign w:val="center"/>
                </w:tcPr>
                <w:p>
                  <w:pPr>
                    <w:adjustRightInd w:val="0"/>
                    <w:snapToGrid w:val="0"/>
                    <w:jc w:val="center"/>
                    <w:rPr>
                      <w:bCs/>
                      <w:szCs w:val="21"/>
                      <w:highlight w:val="none"/>
                    </w:rPr>
                  </w:pPr>
                  <w:r>
                    <w:rPr>
                      <w:rFonts w:hint="eastAsia"/>
                      <w:bCs/>
                      <w:szCs w:val="21"/>
                      <w:highlight w:val="none"/>
                    </w:rPr>
                    <w:t>燃煤</w:t>
                  </w:r>
                  <w:r>
                    <w:rPr>
                      <w:bCs/>
                      <w:szCs w:val="21"/>
                      <w:highlight w:val="none"/>
                    </w:rPr>
                    <w:t>锅炉</w:t>
                  </w:r>
                </w:p>
              </w:tc>
              <w:tc>
                <w:tcPr>
                  <w:tcW w:w="2708" w:type="dxa"/>
                  <w:vAlign w:val="center"/>
                </w:tcPr>
                <w:p>
                  <w:pPr>
                    <w:adjustRightInd w:val="0"/>
                    <w:snapToGrid w:val="0"/>
                    <w:jc w:val="center"/>
                    <w:rPr>
                      <w:bCs/>
                      <w:szCs w:val="21"/>
                      <w:highlight w:val="none"/>
                    </w:rPr>
                  </w:pPr>
                  <w:r>
                    <w:rPr>
                      <w:bCs/>
                      <w:szCs w:val="21"/>
                      <w:highlight w:val="none"/>
                    </w:rPr>
                    <w:t>控制项目</w:t>
                  </w:r>
                </w:p>
              </w:tc>
              <w:tc>
                <w:tcPr>
                  <w:tcW w:w="2628" w:type="dxa"/>
                  <w:vAlign w:val="center"/>
                </w:tcPr>
                <w:p>
                  <w:pPr>
                    <w:adjustRightInd w:val="0"/>
                    <w:snapToGrid w:val="0"/>
                    <w:jc w:val="center"/>
                    <w:rPr>
                      <w:bCs/>
                      <w:szCs w:val="21"/>
                      <w:highlight w:val="none"/>
                    </w:rPr>
                  </w:pPr>
                  <w:r>
                    <w:rPr>
                      <w:bCs/>
                      <w:szCs w:val="21"/>
                      <w:highlight w:val="none"/>
                    </w:rPr>
                    <w:t>大气污染物排放浓度限值</w:t>
                  </w:r>
                </w:p>
              </w:tc>
              <w:tc>
                <w:tcPr>
                  <w:tcW w:w="2143" w:type="dxa"/>
                  <w:vAlign w:val="center"/>
                </w:tcPr>
                <w:p>
                  <w:pPr>
                    <w:adjustRightInd w:val="0"/>
                    <w:snapToGrid w:val="0"/>
                    <w:jc w:val="center"/>
                    <w:rPr>
                      <w:bCs/>
                      <w:szCs w:val="21"/>
                      <w:highlight w:val="none"/>
                    </w:rPr>
                  </w:pPr>
                  <w:r>
                    <w:rPr>
                      <w:bCs/>
                      <w:szCs w:val="21"/>
                      <w:highlight w:val="none"/>
                    </w:rPr>
                    <w:t>污染物排放监控位置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5" w:hRule="atLeast"/>
                <w:jc w:val="center"/>
              </w:trPr>
              <w:tc>
                <w:tcPr>
                  <w:tcW w:w="1025" w:type="dxa"/>
                  <w:vMerge w:val="continue"/>
                  <w:vAlign w:val="center"/>
                </w:tcPr>
                <w:p>
                  <w:pPr>
                    <w:adjustRightInd w:val="0"/>
                    <w:snapToGrid w:val="0"/>
                    <w:jc w:val="center"/>
                    <w:rPr>
                      <w:bCs/>
                      <w:szCs w:val="21"/>
                      <w:highlight w:val="none"/>
                    </w:rPr>
                  </w:pPr>
                </w:p>
              </w:tc>
              <w:tc>
                <w:tcPr>
                  <w:tcW w:w="2708" w:type="dxa"/>
                  <w:vAlign w:val="center"/>
                </w:tcPr>
                <w:p>
                  <w:pPr>
                    <w:adjustRightInd w:val="0"/>
                    <w:snapToGrid w:val="0"/>
                    <w:jc w:val="center"/>
                    <w:rPr>
                      <w:bCs/>
                      <w:szCs w:val="21"/>
                      <w:highlight w:val="none"/>
                    </w:rPr>
                  </w:pPr>
                  <w:r>
                    <w:rPr>
                      <w:bCs/>
                      <w:szCs w:val="21"/>
                      <w:highlight w:val="none"/>
                    </w:rPr>
                    <w:t>二氧化硫</w:t>
                  </w:r>
                </w:p>
              </w:tc>
              <w:tc>
                <w:tcPr>
                  <w:tcW w:w="2628" w:type="dxa"/>
                  <w:vAlign w:val="center"/>
                </w:tcPr>
                <w:p>
                  <w:pPr>
                    <w:adjustRightInd w:val="0"/>
                    <w:snapToGrid w:val="0"/>
                    <w:jc w:val="center"/>
                    <w:rPr>
                      <w:bCs/>
                      <w:szCs w:val="21"/>
                      <w:highlight w:val="none"/>
                    </w:rPr>
                  </w:pPr>
                  <w:r>
                    <w:rPr>
                      <w:rFonts w:hint="eastAsia"/>
                      <w:bCs/>
                      <w:szCs w:val="21"/>
                      <w:highlight w:val="none"/>
                    </w:rPr>
                    <w:t>30</w:t>
                  </w:r>
                  <w:r>
                    <w:rPr>
                      <w:bCs/>
                      <w:szCs w:val="21"/>
                      <w:highlight w:val="none"/>
                    </w:rPr>
                    <w:t>0mg/m</w:t>
                  </w:r>
                  <w:r>
                    <w:rPr>
                      <w:bCs/>
                      <w:szCs w:val="21"/>
                      <w:highlight w:val="none"/>
                      <w:vertAlign w:val="superscript"/>
                    </w:rPr>
                    <w:t>3</w:t>
                  </w:r>
                </w:p>
              </w:tc>
              <w:tc>
                <w:tcPr>
                  <w:tcW w:w="2143" w:type="dxa"/>
                  <w:vMerge w:val="restart"/>
                  <w:vAlign w:val="center"/>
                </w:tcPr>
                <w:p>
                  <w:pPr>
                    <w:adjustRightInd w:val="0"/>
                    <w:snapToGrid w:val="0"/>
                    <w:jc w:val="center"/>
                    <w:rPr>
                      <w:bCs/>
                      <w:szCs w:val="21"/>
                      <w:highlight w:val="none"/>
                    </w:rPr>
                  </w:pPr>
                  <w:r>
                    <w:rPr>
                      <w:bCs/>
                      <w:szCs w:val="21"/>
                      <w:highlight w:val="none"/>
                    </w:rPr>
                    <w:t>烟囱或烟道</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0" w:hRule="atLeast"/>
                <w:jc w:val="center"/>
              </w:trPr>
              <w:tc>
                <w:tcPr>
                  <w:tcW w:w="1025" w:type="dxa"/>
                  <w:vMerge w:val="continue"/>
                  <w:vAlign w:val="center"/>
                </w:tcPr>
                <w:p>
                  <w:pPr>
                    <w:ind w:firstLine="480"/>
                    <w:jc w:val="center"/>
                    <w:rPr>
                      <w:highlight w:val="none"/>
                    </w:rPr>
                  </w:pPr>
                </w:p>
              </w:tc>
              <w:tc>
                <w:tcPr>
                  <w:tcW w:w="2708" w:type="dxa"/>
                  <w:vAlign w:val="center"/>
                </w:tcPr>
                <w:p>
                  <w:pPr>
                    <w:adjustRightInd w:val="0"/>
                    <w:snapToGrid w:val="0"/>
                    <w:jc w:val="center"/>
                    <w:rPr>
                      <w:bCs/>
                      <w:szCs w:val="21"/>
                      <w:highlight w:val="none"/>
                    </w:rPr>
                  </w:pPr>
                  <w:r>
                    <w:rPr>
                      <w:bCs/>
                      <w:szCs w:val="21"/>
                      <w:highlight w:val="none"/>
                    </w:rPr>
                    <w:t>氮氧化物</w:t>
                  </w:r>
                </w:p>
              </w:tc>
              <w:tc>
                <w:tcPr>
                  <w:tcW w:w="2628" w:type="dxa"/>
                  <w:vAlign w:val="center"/>
                </w:tcPr>
                <w:p>
                  <w:pPr>
                    <w:adjustRightInd w:val="0"/>
                    <w:snapToGrid w:val="0"/>
                    <w:jc w:val="center"/>
                    <w:rPr>
                      <w:bCs/>
                      <w:szCs w:val="21"/>
                      <w:highlight w:val="none"/>
                    </w:rPr>
                  </w:pPr>
                  <w:r>
                    <w:rPr>
                      <w:rFonts w:hint="eastAsia"/>
                      <w:bCs/>
                      <w:szCs w:val="21"/>
                      <w:highlight w:val="none"/>
                    </w:rPr>
                    <w:t>30</w:t>
                  </w:r>
                  <w:r>
                    <w:rPr>
                      <w:bCs/>
                      <w:szCs w:val="21"/>
                      <w:highlight w:val="none"/>
                    </w:rPr>
                    <w:t>0mg/m</w:t>
                  </w:r>
                  <w:r>
                    <w:rPr>
                      <w:bCs/>
                      <w:szCs w:val="21"/>
                      <w:highlight w:val="none"/>
                      <w:vertAlign w:val="superscript"/>
                    </w:rPr>
                    <w:t>3</w:t>
                  </w:r>
                </w:p>
              </w:tc>
              <w:tc>
                <w:tcPr>
                  <w:tcW w:w="2143" w:type="dxa"/>
                  <w:vMerge w:val="continue"/>
                  <w:vAlign w:val="center"/>
                </w:tcPr>
                <w:p>
                  <w:pPr>
                    <w:ind w:firstLine="480"/>
                    <w:rPr>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5" w:type="dxa"/>
                  <w:vMerge w:val="continue"/>
                  <w:vAlign w:val="center"/>
                </w:tcPr>
                <w:p>
                  <w:pPr>
                    <w:ind w:firstLine="480"/>
                    <w:jc w:val="center"/>
                    <w:rPr>
                      <w:highlight w:val="none"/>
                    </w:rPr>
                  </w:pPr>
                </w:p>
              </w:tc>
              <w:tc>
                <w:tcPr>
                  <w:tcW w:w="2708" w:type="dxa"/>
                  <w:vAlign w:val="center"/>
                </w:tcPr>
                <w:p>
                  <w:pPr>
                    <w:adjustRightInd w:val="0"/>
                    <w:snapToGrid w:val="0"/>
                    <w:jc w:val="center"/>
                    <w:rPr>
                      <w:bCs/>
                      <w:szCs w:val="21"/>
                      <w:highlight w:val="none"/>
                    </w:rPr>
                  </w:pPr>
                  <w:r>
                    <w:rPr>
                      <w:bCs/>
                      <w:szCs w:val="21"/>
                      <w:highlight w:val="none"/>
                    </w:rPr>
                    <w:t>颗粒物</w:t>
                  </w:r>
                </w:p>
              </w:tc>
              <w:tc>
                <w:tcPr>
                  <w:tcW w:w="2628" w:type="dxa"/>
                  <w:vAlign w:val="center"/>
                </w:tcPr>
                <w:p>
                  <w:pPr>
                    <w:adjustRightInd w:val="0"/>
                    <w:snapToGrid w:val="0"/>
                    <w:jc w:val="center"/>
                    <w:rPr>
                      <w:bCs/>
                      <w:szCs w:val="21"/>
                      <w:highlight w:val="none"/>
                    </w:rPr>
                  </w:pPr>
                  <w:r>
                    <w:rPr>
                      <w:rFonts w:hint="eastAsia"/>
                      <w:bCs/>
                      <w:szCs w:val="21"/>
                      <w:highlight w:val="none"/>
                    </w:rPr>
                    <w:t>50</w:t>
                  </w:r>
                  <w:r>
                    <w:rPr>
                      <w:bCs/>
                      <w:szCs w:val="21"/>
                      <w:highlight w:val="none"/>
                    </w:rPr>
                    <w:t>mg/m</w:t>
                  </w:r>
                  <w:r>
                    <w:rPr>
                      <w:bCs/>
                      <w:szCs w:val="21"/>
                      <w:highlight w:val="none"/>
                      <w:vertAlign w:val="superscript"/>
                    </w:rPr>
                    <w:t>3</w:t>
                  </w:r>
                </w:p>
              </w:tc>
              <w:tc>
                <w:tcPr>
                  <w:tcW w:w="2143" w:type="dxa"/>
                  <w:vMerge w:val="continue"/>
                  <w:vAlign w:val="center"/>
                </w:tcPr>
                <w:p>
                  <w:pPr>
                    <w:ind w:firstLine="480"/>
                    <w:rPr>
                      <w:highlight w:val="none"/>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1025" w:type="dxa"/>
                  <w:vMerge w:val="continue"/>
                  <w:vAlign w:val="center"/>
                </w:tcPr>
                <w:p>
                  <w:pPr>
                    <w:ind w:firstLine="480"/>
                    <w:jc w:val="center"/>
                    <w:rPr>
                      <w:highlight w:val="none"/>
                    </w:rPr>
                  </w:pPr>
                </w:p>
              </w:tc>
              <w:tc>
                <w:tcPr>
                  <w:tcW w:w="2708" w:type="dxa"/>
                  <w:vAlign w:val="center"/>
                </w:tcPr>
                <w:p>
                  <w:pPr>
                    <w:adjustRightInd w:val="0"/>
                    <w:snapToGrid w:val="0"/>
                    <w:jc w:val="center"/>
                    <w:rPr>
                      <w:bCs/>
                      <w:szCs w:val="21"/>
                      <w:highlight w:val="none"/>
                    </w:rPr>
                  </w:pPr>
                  <w:r>
                    <w:rPr>
                      <w:rFonts w:hint="eastAsia"/>
                      <w:bCs/>
                      <w:szCs w:val="21"/>
                      <w:highlight w:val="none"/>
                    </w:rPr>
                    <w:t>烟气黑度（</w:t>
                  </w:r>
                  <w:r>
                    <w:rPr>
                      <w:bCs/>
                      <w:szCs w:val="21"/>
                      <w:highlight w:val="none"/>
                    </w:rPr>
                    <w:t>林格曼黑度，级</w:t>
                  </w:r>
                  <w:r>
                    <w:rPr>
                      <w:rFonts w:hint="eastAsia"/>
                      <w:bCs/>
                      <w:szCs w:val="21"/>
                      <w:highlight w:val="none"/>
                    </w:rPr>
                    <w:t>）</w:t>
                  </w:r>
                </w:p>
              </w:tc>
              <w:tc>
                <w:tcPr>
                  <w:tcW w:w="2628" w:type="dxa"/>
                  <w:vAlign w:val="center"/>
                </w:tcPr>
                <w:p>
                  <w:pPr>
                    <w:adjustRightInd w:val="0"/>
                    <w:snapToGrid w:val="0"/>
                    <w:jc w:val="center"/>
                    <w:rPr>
                      <w:bCs/>
                      <w:szCs w:val="21"/>
                      <w:highlight w:val="none"/>
                    </w:rPr>
                  </w:pPr>
                  <w:r>
                    <w:rPr>
                      <w:bCs/>
                      <w:szCs w:val="21"/>
                      <w:highlight w:val="none"/>
                    </w:rPr>
                    <w:t>≤1</w:t>
                  </w:r>
                </w:p>
              </w:tc>
              <w:tc>
                <w:tcPr>
                  <w:tcW w:w="2143" w:type="dxa"/>
                  <w:vAlign w:val="center"/>
                </w:tcPr>
                <w:p>
                  <w:pPr>
                    <w:adjustRightInd w:val="0"/>
                    <w:snapToGrid w:val="0"/>
                    <w:jc w:val="center"/>
                    <w:rPr>
                      <w:highlight w:val="none"/>
                    </w:rPr>
                  </w:pPr>
                  <w:r>
                    <w:rPr>
                      <w:bCs/>
                      <w:szCs w:val="21"/>
                      <w:highlight w:val="none"/>
                    </w:rPr>
                    <w:t>烟囱排放口</w:t>
                  </w:r>
                </w:p>
              </w:tc>
            </w:tr>
          </w:tbl>
          <w:p>
            <w:pPr>
              <w:pStyle w:val="109"/>
              <w:numPr>
                <w:ilvl w:val="0"/>
                <w:numId w:val="4"/>
              </w:numPr>
              <w:spacing w:line="360" w:lineRule="auto"/>
              <w:ind w:firstLine="480"/>
              <w:rPr>
                <w:highlight w:val="none"/>
              </w:rPr>
            </w:pPr>
            <w:r>
              <w:rPr>
                <w:rFonts w:hint="eastAsia"/>
                <w:highlight w:val="none"/>
              </w:rPr>
              <w:t>废水</w:t>
            </w:r>
          </w:p>
          <w:p>
            <w:pPr>
              <w:pStyle w:val="109"/>
              <w:spacing w:line="360" w:lineRule="auto"/>
              <w:ind w:firstLine="480" w:firstLineChars="200"/>
              <w:rPr>
                <w:highlight w:val="none"/>
              </w:rPr>
            </w:pPr>
            <w:r>
              <w:rPr>
                <w:highlight w:val="none"/>
              </w:rPr>
              <w:t>本项目废水执行《污水综合排放标准》（GB8978-1996）表4三级标准，详见</w:t>
            </w:r>
            <w:r>
              <w:rPr>
                <w:rFonts w:hint="eastAsia"/>
                <w:highlight w:val="none"/>
              </w:rPr>
              <w:t>下表</w:t>
            </w:r>
            <w:r>
              <w:rPr>
                <w:highlight w:val="none"/>
              </w:rPr>
              <w:t>。</w:t>
            </w:r>
          </w:p>
          <w:p>
            <w:pPr>
              <w:pStyle w:val="2"/>
              <w:widowControl w:val="0"/>
              <w:tabs>
                <w:tab w:val="left" w:pos="0"/>
              </w:tabs>
              <w:snapToGrid/>
              <w:spacing w:before="0" w:after="0" w:line="240" w:lineRule="auto"/>
              <w:ind w:right="0"/>
              <w:jc w:val="center"/>
              <w:rPr>
                <w:b/>
                <w:bCs/>
                <w:sz w:val="21"/>
                <w:szCs w:val="21"/>
                <w:highlight w:val="none"/>
              </w:rPr>
            </w:pPr>
            <w:r>
              <w:rPr>
                <w:b/>
                <w:bCs/>
                <w:sz w:val="21"/>
                <w:szCs w:val="21"/>
                <w:highlight w:val="none"/>
              </w:rPr>
              <w:t>表3-</w:t>
            </w:r>
            <w:r>
              <w:rPr>
                <w:rFonts w:hint="eastAsia"/>
                <w:b/>
                <w:bCs/>
                <w:sz w:val="21"/>
                <w:szCs w:val="21"/>
                <w:highlight w:val="none"/>
              </w:rPr>
              <w:t xml:space="preserve">10 </w:t>
            </w:r>
            <w:r>
              <w:rPr>
                <w:b/>
                <w:bCs/>
                <w:sz w:val="21"/>
                <w:szCs w:val="21"/>
                <w:highlight w:val="none"/>
              </w:rPr>
              <w:t>污水综合排放标准</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55"/>
              <w:gridCol w:w="1412"/>
              <w:gridCol w:w="1043"/>
              <w:gridCol w:w="1078"/>
              <w:gridCol w:w="1078"/>
              <w:gridCol w:w="1078"/>
              <w:gridCol w:w="10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1075" w:type="pct"/>
                  <w:vAlign w:val="center"/>
                </w:tcPr>
                <w:p>
                  <w:pPr>
                    <w:pStyle w:val="85"/>
                    <w:spacing w:line="240" w:lineRule="auto"/>
                    <w:rPr>
                      <w:highlight w:val="none"/>
                    </w:rPr>
                  </w:pPr>
                </w:p>
              </w:tc>
              <w:tc>
                <w:tcPr>
                  <w:tcW w:w="818" w:type="pct"/>
                  <w:vAlign w:val="center"/>
                </w:tcPr>
                <w:p>
                  <w:pPr>
                    <w:pStyle w:val="85"/>
                    <w:spacing w:line="240" w:lineRule="auto"/>
                    <w:rPr>
                      <w:highlight w:val="none"/>
                    </w:rPr>
                  </w:pPr>
                  <w:r>
                    <w:rPr>
                      <w:highlight w:val="none"/>
                    </w:rPr>
                    <w:t>pH</w:t>
                  </w:r>
                </w:p>
              </w:tc>
              <w:tc>
                <w:tcPr>
                  <w:tcW w:w="605" w:type="pct"/>
                  <w:vAlign w:val="center"/>
                </w:tcPr>
                <w:p>
                  <w:pPr>
                    <w:pStyle w:val="85"/>
                    <w:spacing w:line="240" w:lineRule="auto"/>
                    <w:rPr>
                      <w:highlight w:val="none"/>
                    </w:rPr>
                  </w:pPr>
                  <w:r>
                    <w:rPr>
                      <w:highlight w:val="none"/>
                    </w:rPr>
                    <w:t>COD</w:t>
                  </w:r>
                </w:p>
              </w:tc>
              <w:tc>
                <w:tcPr>
                  <w:tcW w:w="625" w:type="pct"/>
                  <w:vAlign w:val="center"/>
                </w:tcPr>
                <w:p>
                  <w:pPr>
                    <w:pStyle w:val="85"/>
                    <w:spacing w:line="240" w:lineRule="auto"/>
                    <w:rPr>
                      <w:highlight w:val="none"/>
                    </w:rPr>
                  </w:pPr>
                  <w:r>
                    <w:rPr>
                      <w:highlight w:val="none"/>
                    </w:rPr>
                    <w:t>BOD</w:t>
                  </w:r>
                  <w:r>
                    <w:rPr>
                      <w:highlight w:val="none"/>
                      <w:vertAlign w:val="subscript"/>
                    </w:rPr>
                    <w:t>5</w:t>
                  </w:r>
                </w:p>
              </w:tc>
              <w:tc>
                <w:tcPr>
                  <w:tcW w:w="625" w:type="pct"/>
                  <w:vAlign w:val="center"/>
                </w:tcPr>
                <w:p>
                  <w:pPr>
                    <w:pStyle w:val="85"/>
                    <w:spacing w:line="240" w:lineRule="auto"/>
                    <w:rPr>
                      <w:highlight w:val="none"/>
                    </w:rPr>
                  </w:pPr>
                  <w:r>
                    <w:rPr>
                      <w:highlight w:val="none"/>
                    </w:rPr>
                    <w:t>SS</w:t>
                  </w:r>
                </w:p>
              </w:tc>
              <w:tc>
                <w:tcPr>
                  <w:tcW w:w="625" w:type="pct"/>
                  <w:vAlign w:val="center"/>
                </w:tcPr>
                <w:p>
                  <w:pPr>
                    <w:pStyle w:val="85"/>
                    <w:spacing w:line="240" w:lineRule="auto"/>
                    <w:rPr>
                      <w:highlight w:val="none"/>
                    </w:rPr>
                  </w:pPr>
                  <w:r>
                    <w:rPr>
                      <w:highlight w:val="none"/>
                    </w:rPr>
                    <w:t>总磷</w:t>
                  </w:r>
                </w:p>
              </w:tc>
              <w:tc>
                <w:tcPr>
                  <w:tcW w:w="625" w:type="pct"/>
                  <w:vAlign w:val="center"/>
                </w:tcPr>
                <w:p>
                  <w:pPr>
                    <w:pStyle w:val="85"/>
                    <w:spacing w:line="240" w:lineRule="auto"/>
                    <w:rPr>
                      <w:highlight w:val="none"/>
                    </w:rPr>
                  </w:pPr>
                  <w:r>
                    <w:rPr>
                      <w:highlight w:val="none"/>
                    </w:rPr>
                    <w:t>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75" w:type="pct"/>
                  <w:vAlign w:val="center"/>
                </w:tcPr>
                <w:p>
                  <w:pPr>
                    <w:pStyle w:val="85"/>
                    <w:spacing w:line="240" w:lineRule="auto"/>
                    <w:rPr>
                      <w:highlight w:val="none"/>
                    </w:rPr>
                  </w:pPr>
                  <w:r>
                    <w:rPr>
                      <w:highlight w:val="none"/>
                    </w:rPr>
                    <w:t>标准要求（mg/L）</w:t>
                  </w:r>
                </w:p>
              </w:tc>
              <w:tc>
                <w:tcPr>
                  <w:tcW w:w="818" w:type="pct"/>
                  <w:vAlign w:val="center"/>
                </w:tcPr>
                <w:p>
                  <w:pPr>
                    <w:pStyle w:val="85"/>
                    <w:spacing w:line="240" w:lineRule="auto"/>
                    <w:rPr>
                      <w:highlight w:val="none"/>
                    </w:rPr>
                  </w:pPr>
                  <w:r>
                    <w:rPr>
                      <w:highlight w:val="none"/>
                    </w:rPr>
                    <w:t>6~9（无量纲）</w:t>
                  </w:r>
                </w:p>
              </w:tc>
              <w:tc>
                <w:tcPr>
                  <w:tcW w:w="605" w:type="pct"/>
                  <w:vAlign w:val="center"/>
                </w:tcPr>
                <w:p>
                  <w:pPr>
                    <w:pStyle w:val="85"/>
                    <w:spacing w:line="240" w:lineRule="auto"/>
                    <w:rPr>
                      <w:highlight w:val="none"/>
                    </w:rPr>
                  </w:pPr>
                  <w:r>
                    <w:rPr>
                      <w:highlight w:val="none"/>
                    </w:rPr>
                    <w:t>≤500</w:t>
                  </w:r>
                </w:p>
              </w:tc>
              <w:tc>
                <w:tcPr>
                  <w:tcW w:w="625" w:type="pct"/>
                  <w:vAlign w:val="center"/>
                </w:tcPr>
                <w:p>
                  <w:pPr>
                    <w:pStyle w:val="85"/>
                    <w:spacing w:line="240" w:lineRule="auto"/>
                    <w:rPr>
                      <w:highlight w:val="none"/>
                    </w:rPr>
                  </w:pPr>
                  <w:r>
                    <w:rPr>
                      <w:highlight w:val="none"/>
                    </w:rPr>
                    <w:t>≤300</w:t>
                  </w:r>
                </w:p>
              </w:tc>
              <w:tc>
                <w:tcPr>
                  <w:tcW w:w="625" w:type="pct"/>
                  <w:vAlign w:val="center"/>
                </w:tcPr>
                <w:p>
                  <w:pPr>
                    <w:pStyle w:val="85"/>
                    <w:spacing w:line="240" w:lineRule="auto"/>
                    <w:rPr>
                      <w:highlight w:val="none"/>
                    </w:rPr>
                  </w:pPr>
                  <w:r>
                    <w:rPr>
                      <w:highlight w:val="none"/>
                    </w:rPr>
                    <w:t>≤400</w:t>
                  </w:r>
                </w:p>
              </w:tc>
              <w:tc>
                <w:tcPr>
                  <w:tcW w:w="625" w:type="pct"/>
                  <w:vAlign w:val="center"/>
                </w:tcPr>
                <w:p>
                  <w:pPr>
                    <w:pStyle w:val="85"/>
                    <w:spacing w:line="240" w:lineRule="auto"/>
                    <w:rPr>
                      <w:highlight w:val="none"/>
                    </w:rPr>
                  </w:pPr>
                  <w:r>
                    <w:rPr>
                      <w:highlight w:val="none"/>
                    </w:rPr>
                    <w:t>/</w:t>
                  </w:r>
                </w:p>
              </w:tc>
              <w:tc>
                <w:tcPr>
                  <w:tcW w:w="625" w:type="pct"/>
                  <w:vAlign w:val="center"/>
                </w:tcPr>
                <w:p>
                  <w:pPr>
                    <w:pStyle w:val="85"/>
                    <w:spacing w:line="240" w:lineRule="auto"/>
                    <w:rPr>
                      <w:highlight w:val="none"/>
                    </w:rPr>
                  </w:pPr>
                  <w:r>
                    <w:rPr>
                      <w:highlight w:val="none"/>
                    </w:rPr>
                    <w:t>/</w:t>
                  </w:r>
                </w:p>
              </w:tc>
            </w:tr>
          </w:tbl>
          <w:p>
            <w:pPr>
              <w:adjustRightInd w:val="0"/>
              <w:snapToGrid w:val="0"/>
              <w:spacing w:line="360" w:lineRule="auto"/>
              <w:ind w:firstLine="480" w:firstLineChars="200"/>
              <w:jc w:val="left"/>
              <w:rPr>
                <w:sz w:val="24"/>
                <w:highlight w:val="none"/>
              </w:rPr>
            </w:pPr>
            <w:r>
              <w:rPr>
                <w:rFonts w:hint="eastAsia"/>
                <w:sz w:val="24"/>
                <w:highlight w:val="none"/>
              </w:rPr>
              <w:t>3</w:t>
            </w:r>
            <w:r>
              <w:rPr>
                <w:sz w:val="24"/>
                <w:highlight w:val="none"/>
              </w:rPr>
              <w:t>、噪声</w:t>
            </w:r>
          </w:p>
          <w:p>
            <w:pPr>
              <w:pStyle w:val="75"/>
              <w:spacing w:before="0" w:after="0" w:line="360" w:lineRule="auto"/>
              <w:ind w:firstLine="504"/>
              <w:rPr>
                <w:highlight w:val="none"/>
              </w:rPr>
            </w:pPr>
            <w:r>
              <w:rPr>
                <w:highlight w:val="none"/>
              </w:rPr>
              <w:t>本项目运营期厂界噪声执行《工业企业厂界环境噪声排放标准》（GB12348</w:t>
            </w:r>
            <w:r>
              <w:rPr>
                <w:highlight w:val="none"/>
              </w:rPr>
              <w:sym w:font="Symbol" w:char="F02D"/>
            </w:r>
            <w:r>
              <w:rPr>
                <w:highlight w:val="none"/>
              </w:rPr>
              <w:t>2008）中的</w:t>
            </w:r>
            <w:r>
              <w:rPr>
                <w:rFonts w:hint="eastAsia"/>
                <w:highlight w:val="none"/>
                <w:lang w:val="en-US" w:eastAsia="zh-CN"/>
              </w:rPr>
              <w:t>1</w:t>
            </w:r>
            <w:r>
              <w:rPr>
                <w:highlight w:val="none"/>
              </w:rPr>
              <w:t>类标准，标准值见表3-</w:t>
            </w:r>
            <w:r>
              <w:rPr>
                <w:rFonts w:hint="eastAsia"/>
                <w:highlight w:val="none"/>
              </w:rPr>
              <w:t>11</w:t>
            </w:r>
            <w:r>
              <w:rPr>
                <w:highlight w:val="none"/>
              </w:rPr>
              <w:t>。</w:t>
            </w:r>
            <w:bookmarkStart w:id="48" w:name="_Ref196743448"/>
          </w:p>
          <w:p>
            <w:pPr>
              <w:jc w:val="center"/>
              <w:rPr>
                <w:b/>
                <w:bCs/>
                <w:szCs w:val="21"/>
                <w:highlight w:val="none"/>
              </w:rPr>
            </w:pPr>
            <w:r>
              <w:rPr>
                <w:b/>
                <w:bCs/>
                <w:szCs w:val="21"/>
                <w:highlight w:val="none"/>
              </w:rPr>
              <w:t>表</w:t>
            </w:r>
            <w:bookmarkEnd w:id="48"/>
            <w:r>
              <w:rPr>
                <w:b/>
                <w:bCs/>
                <w:szCs w:val="21"/>
                <w:highlight w:val="none"/>
              </w:rPr>
              <w:t>3-</w:t>
            </w:r>
            <w:r>
              <w:rPr>
                <w:rFonts w:hint="eastAsia"/>
                <w:b/>
                <w:bCs/>
                <w:szCs w:val="21"/>
                <w:highlight w:val="none"/>
              </w:rPr>
              <w:t xml:space="preserve">11 </w:t>
            </w:r>
            <w:r>
              <w:rPr>
                <w:b/>
                <w:bCs/>
                <w:szCs w:val="21"/>
                <w:highlight w:val="none"/>
              </w:rPr>
              <w:t>工业企业厂界环境噪声排放标准  单位：dB(A)</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3174"/>
              <w:gridCol w:w="31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244" w:type="dxa"/>
                  <w:vMerge w:val="restart"/>
                  <w:vAlign w:val="center"/>
                </w:tcPr>
                <w:p>
                  <w:pPr>
                    <w:pStyle w:val="39"/>
                    <w:tabs>
                      <w:tab w:val="left" w:pos="1120"/>
                    </w:tabs>
                    <w:spacing w:beforeLines="0" w:afterLines="0" w:line="240" w:lineRule="auto"/>
                    <w:rPr>
                      <w:rFonts w:ascii="Times New Roman"/>
                      <w:highlight w:val="none"/>
                    </w:rPr>
                  </w:pPr>
                  <w:r>
                    <w:rPr>
                      <w:rFonts w:ascii="Times New Roman"/>
                      <w:highlight w:val="none"/>
                    </w:rPr>
                    <w:t>类别</w:t>
                  </w:r>
                </w:p>
              </w:tc>
              <w:tc>
                <w:tcPr>
                  <w:tcW w:w="6261" w:type="dxa"/>
                  <w:gridSpan w:val="2"/>
                  <w:vAlign w:val="center"/>
                </w:tcPr>
                <w:p>
                  <w:pPr>
                    <w:pStyle w:val="39"/>
                    <w:tabs>
                      <w:tab w:val="left" w:pos="1120"/>
                    </w:tabs>
                    <w:spacing w:beforeLines="0" w:afterLines="0" w:line="240" w:lineRule="auto"/>
                    <w:rPr>
                      <w:rFonts w:ascii="Times New Roman"/>
                      <w:highlight w:val="none"/>
                    </w:rPr>
                  </w:pPr>
                  <w:r>
                    <w:rPr>
                      <w:rFonts w:ascii="Times New Roman"/>
                      <w:highlight w:val="non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4" w:type="dxa"/>
                  <w:vMerge w:val="continue"/>
                  <w:vAlign w:val="center"/>
                </w:tcPr>
                <w:p>
                  <w:pPr>
                    <w:pStyle w:val="39"/>
                    <w:tabs>
                      <w:tab w:val="left" w:pos="1120"/>
                    </w:tabs>
                    <w:spacing w:beforeLines="0" w:afterLines="0" w:line="240" w:lineRule="auto"/>
                    <w:rPr>
                      <w:rFonts w:ascii="Times New Roman"/>
                      <w:highlight w:val="none"/>
                    </w:rPr>
                  </w:pPr>
                </w:p>
              </w:tc>
              <w:tc>
                <w:tcPr>
                  <w:tcW w:w="3131" w:type="dxa"/>
                  <w:vAlign w:val="center"/>
                </w:tcPr>
                <w:p>
                  <w:pPr>
                    <w:pStyle w:val="39"/>
                    <w:tabs>
                      <w:tab w:val="left" w:pos="1120"/>
                    </w:tabs>
                    <w:spacing w:beforeLines="0" w:afterLines="0" w:line="240" w:lineRule="auto"/>
                    <w:rPr>
                      <w:rFonts w:ascii="Times New Roman"/>
                      <w:highlight w:val="none"/>
                    </w:rPr>
                  </w:pPr>
                  <w:r>
                    <w:rPr>
                      <w:rFonts w:ascii="Times New Roman"/>
                      <w:highlight w:val="none"/>
                    </w:rPr>
                    <w:t>昼间</w:t>
                  </w:r>
                </w:p>
              </w:tc>
              <w:tc>
                <w:tcPr>
                  <w:tcW w:w="3130" w:type="dxa"/>
                  <w:vAlign w:val="center"/>
                </w:tcPr>
                <w:p>
                  <w:pPr>
                    <w:pStyle w:val="39"/>
                    <w:tabs>
                      <w:tab w:val="left" w:pos="1120"/>
                    </w:tabs>
                    <w:spacing w:beforeLines="0" w:afterLines="0" w:line="240" w:lineRule="auto"/>
                    <w:rPr>
                      <w:rFonts w:ascii="Times New Roman"/>
                      <w:highlight w:val="none"/>
                    </w:rPr>
                  </w:pPr>
                  <w:r>
                    <w:rPr>
                      <w:rFonts w:ascii="Times New Roman"/>
                      <w:highlight w:val="none"/>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2244" w:type="dxa"/>
                  <w:vAlign w:val="center"/>
                </w:tcPr>
                <w:p>
                  <w:pPr>
                    <w:pStyle w:val="39"/>
                    <w:tabs>
                      <w:tab w:val="left" w:pos="1120"/>
                    </w:tabs>
                    <w:spacing w:beforeLines="0" w:afterLines="0" w:line="240" w:lineRule="auto"/>
                    <w:rPr>
                      <w:rFonts w:ascii="Times New Roman"/>
                      <w:highlight w:val="none"/>
                    </w:rPr>
                  </w:pPr>
                  <w:r>
                    <w:rPr>
                      <w:rFonts w:hint="eastAsia" w:ascii="Times New Roman"/>
                      <w:highlight w:val="none"/>
                      <w:lang w:val="en-US" w:eastAsia="zh-CN"/>
                    </w:rPr>
                    <w:t>1</w:t>
                  </w:r>
                  <w:r>
                    <w:rPr>
                      <w:rFonts w:ascii="Times New Roman"/>
                      <w:highlight w:val="none"/>
                    </w:rPr>
                    <w:t>类</w:t>
                  </w:r>
                </w:p>
              </w:tc>
              <w:tc>
                <w:tcPr>
                  <w:tcW w:w="3131" w:type="dxa"/>
                  <w:vAlign w:val="center"/>
                </w:tcPr>
                <w:p>
                  <w:pPr>
                    <w:pStyle w:val="39"/>
                    <w:tabs>
                      <w:tab w:val="left" w:pos="1120"/>
                    </w:tabs>
                    <w:spacing w:beforeLines="0" w:afterLines="0" w:line="240" w:lineRule="auto"/>
                    <w:rPr>
                      <w:rFonts w:hint="default" w:ascii="Times New Roman" w:eastAsia="宋体"/>
                      <w:highlight w:val="none"/>
                      <w:lang w:val="en-US" w:eastAsia="zh-CN"/>
                    </w:rPr>
                  </w:pPr>
                  <w:r>
                    <w:rPr>
                      <w:rFonts w:hint="eastAsia" w:ascii="Times New Roman"/>
                      <w:highlight w:val="none"/>
                      <w:lang w:val="en-US" w:eastAsia="zh-CN"/>
                    </w:rPr>
                    <w:t>55</w:t>
                  </w:r>
                </w:p>
              </w:tc>
              <w:tc>
                <w:tcPr>
                  <w:tcW w:w="3130" w:type="dxa"/>
                  <w:vAlign w:val="center"/>
                </w:tcPr>
                <w:p>
                  <w:pPr>
                    <w:pStyle w:val="39"/>
                    <w:tabs>
                      <w:tab w:val="left" w:pos="1120"/>
                    </w:tabs>
                    <w:spacing w:beforeLines="0" w:afterLines="0" w:line="240" w:lineRule="auto"/>
                    <w:rPr>
                      <w:rFonts w:hint="default" w:ascii="Times New Roman" w:eastAsia="宋体"/>
                      <w:highlight w:val="none"/>
                      <w:lang w:val="en-US" w:eastAsia="zh-CN"/>
                    </w:rPr>
                  </w:pPr>
                  <w:r>
                    <w:rPr>
                      <w:rFonts w:hint="eastAsia" w:ascii="Times New Roman"/>
                      <w:highlight w:val="none"/>
                      <w:lang w:val="en-US" w:eastAsia="zh-CN"/>
                    </w:rPr>
                    <w:t>45</w:t>
                  </w:r>
                </w:p>
              </w:tc>
            </w:tr>
          </w:tbl>
          <w:p>
            <w:pPr>
              <w:pStyle w:val="86"/>
              <w:spacing w:line="360" w:lineRule="auto"/>
              <w:ind w:firstLine="480" w:firstLineChars="200"/>
              <w:rPr>
                <w:highlight w:val="none"/>
              </w:rPr>
            </w:pPr>
            <w:r>
              <w:rPr>
                <w:rFonts w:hint="eastAsia"/>
                <w:highlight w:val="none"/>
              </w:rPr>
              <w:t>4</w:t>
            </w:r>
            <w:r>
              <w:rPr>
                <w:highlight w:val="none"/>
              </w:rPr>
              <w:t>、固体废物</w:t>
            </w:r>
          </w:p>
          <w:p>
            <w:pPr>
              <w:pStyle w:val="27"/>
              <w:spacing w:before="0" w:after="0" w:line="360" w:lineRule="auto"/>
              <w:ind w:right="0" w:firstLine="480" w:firstLineChars="200"/>
              <w:rPr>
                <w:highlight w:val="none"/>
              </w:rPr>
            </w:pPr>
            <w:r>
              <w:rPr>
                <w:sz w:val="24"/>
                <w:szCs w:val="24"/>
                <w:highlight w:val="none"/>
              </w:rPr>
              <w:t>固体废物污染物控制标准：一般固废执行《一般工业固体废物贮存和填埋污染控制标准》（GB18599-2020）标准要求。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800" w:type="dxa"/>
            <w:vAlign w:val="center"/>
          </w:tcPr>
          <w:p>
            <w:pPr>
              <w:adjustRightInd w:val="0"/>
              <w:snapToGrid w:val="0"/>
              <w:jc w:val="center"/>
              <w:rPr>
                <w:kern w:val="0"/>
                <w:sz w:val="24"/>
                <w:highlight w:val="none"/>
              </w:rPr>
            </w:pPr>
            <w:r>
              <w:rPr>
                <w:kern w:val="0"/>
                <w:sz w:val="24"/>
                <w:highlight w:val="none"/>
              </w:rPr>
              <w:t>总量</w:t>
            </w:r>
          </w:p>
          <w:p>
            <w:pPr>
              <w:adjustRightInd w:val="0"/>
              <w:snapToGrid w:val="0"/>
              <w:jc w:val="center"/>
              <w:rPr>
                <w:kern w:val="0"/>
                <w:sz w:val="24"/>
                <w:highlight w:val="none"/>
              </w:rPr>
            </w:pPr>
            <w:r>
              <w:rPr>
                <w:kern w:val="0"/>
                <w:sz w:val="24"/>
                <w:highlight w:val="none"/>
              </w:rPr>
              <w:t>控制</w:t>
            </w:r>
          </w:p>
          <w:p>
            <w:pPr>
              <w:adjustRightInd w:val="0"/>
              <w:snapToGrid w:val="0"/>
              <w:jc w:val="center"/>
              <w:rPr>
                <w:kern w:val="0"/>
                <w:sz w:val="24"/>
                <w:highlight w:val="none"/>
              </w:rPr>
            </w:pPr>
            <w:r>
              <w:rPr>
                <w:kern w:val="0"/>
                <w:sz w:val="24"/>
                <w:highlight w:val="none"/>
              </w:rPr>
              <w:t>指标</w:t>
            </w:r>
          </w:p>
        </w:tc>
        <w:tc>
          <w:tcPr>
            <w:tcW w:w="8833" w:type="dxa"/>
            <w:vAlign w:val="center"/>
          </w:tcPr>
          <w:p>
            <w:pPr>
              <w:adjustRightInd w:val="0"/>
              <w:snapToGrid w:val="0"/>
              <w:jc w:val="center"/>
              <w:rPr>
                <w:b/>
                <w:szCs w:val="21"/>
                <w:highlight w:val="none"/>
              </w:rPr>
            </w:pPr>
            <w:r>
              <w:rPr>
                <w:b/>
                <w:szCs w:val="21"/>
                <w:highlight w:val="none"/>
              </w:rPr>
              <w:t>表3-</w:t>
            </w:r>
            <w:r>
              <w:rPr>
                <w:rFonts w:hint="eastAsia"/>
                <w:b/>
                <w:szCs w:val="21"/>
                <w:highlight w:val="none"/>
              </w:rPr>
              <w:t>12</w:t>
            </w:r>
            <w:r>
              <w:rPr>
                <w:b/>
                <w:szCs w:val="21"/>
                <w:highlight w:val="none"/>
              </w:rPr>
              <w:t>总量控制指标表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72"/>
              <w:gridCol w:w="2875"/>
              <w:gridCol w:w="28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72"/>
                    <w:ind w:firstLine="0"/>
                    <w:jc w:val="center"/>
                    <w:rPr>
                      <w:sz w:val="21"/>
                      <w:szCs w:val="21"/>
                      <w:highlight w:val="none"/>
                    </w:rPr>
                  </w:pPr>
                  <w:r>
                    <w:rPr>
                      <w:sz w:val="21"/>
                      <w:szCs w:val="21"/>
                      <w:highlight w:val="none"/>
                    </w:rPr>
                    <w:t>污染物</w:t>
                  </w:r>
                </w:p>
              </w:tc>
              <w:tc>
                <w:tcPr>
                  <w:tcW w:w="1667" w:type="pct"/>
                  <w:tcBorders>
                    <w:tl2br w:val="nil"/>
                    <w:tr2bl w:val="nil"/>
                  </w:tcBorders>
                </w:tcPr>
                <w:p>
                  <w:pPr>
                    <w:pStyle w:val="72"/>
                    <w:ind w:firstLine="0"/>
                    <w:jc w:val="center"/>
                    <w:rPr>
                      <w:sz w:val="21"/>
                      <w:szCs w:val="21"/>
                      <w:highlight w:val="none"/>
                    </w:rPr>
                  </w:pPr>
                  <w:r>
                    <w:rPr>
                      <w:rFonts w:hint="eastAsia"/>
                      <w:sz w:val="21"/>
                      <w:szCs w:val="21"/>
                      <w:highlight w:val="none"/>
                    </w:rPr>
                    <w:t>预测排放量</w:t>
                  </w:r>
                  <w:r>
                    <w:rPr>
                      <w:szCs w:val="21"/>
                      <w:highlight w:val="none"/>
                    </w:rPr>
                    <w:t>t/a</w:t>
                  </w:r>
                </w:p>
              </w:tc>
              <w:tc>
                <w:tcPr>
                  <w:tcW w:w="1667" w:type="pct"/>
                  <w:tcBorders>
                    <w:tl2br w:val="nil"/>
                    <w:tr2bl w:val="nil"/>
                  </w:tcBorders>
                </w:tcPr>
                <w:p>
                  <w:pPr>
                    <w:pStyle w:val="72"/>
                    <w:ind w:firstLine="0"/>
                    <w:jc w:val="center"/>
                    <w:rPr>
                      <w:sz w:val="21"/>
                      <w:szCs w:val="21"/>
                      <w:highlight w:val="none"/>
                    </w:rPr>
                  </w:pPr>
                  <w:r>
                    <w:rPr>
                      <w:rFonts w:hint="eastAsia"/>
                      <w:sz w:val="21"/>
                      <w:szCs w:val="21"/>
                      <w:highlight w:val="none"/>
                    </w:rPr>
                    <w:t>核定排放量</w:t>
                  </w:r>
                  <w:r>
                    <w:rPr>
                      <w:szCs w:val="21"/>
                      <w:highlight w:val="none"/>
                    </w:rPr>
                    <w:t>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72"/>
                    <w:ind w:firstLine="0"/>
                    <w:jc w:val="center"/>
                    <w:rPr>
                      <w:sz w:val="21"/>
                      <w:szCs w:val="21"/>
                      <w:highlight w:val="none"/>
                    </w:rPr>
                  </w:pPr>
                  <w:r>
                    <w:rPr>
                      <w:rFonts w:hint="eastAsia"/>
                      <w:sz w:val="21"/>
                      <w:szCs w:val="21"/>
                      <w:highlight w:val="none"/>
                    </w:rPr>
                    <w:t>颗粒物</w:t>
                  </w:r>
                </w:p>
              </w:tc>
              <w:tc>
                <w:tcPr>
                  <w:tcW w:w="1667" w:type="pct"/>
                  <w:tcBorders>
                    <w:tl2br w:val="nil"/>
                    <w:tr2bl w:val="nil"/>
                  </w:tcBorders>
                </w:tcPr>
                <w:p>
                  <w:pPr>
                    <w:jc w:val="center"/>
                    <w:rPr>
                      <w:rFonts w:hint="default" w:eastAsia="宋体"/>
                      <w:highlight w:val="none"/>
                      <w:lang w:val="en-US" w:eastAsia="zh-CN"/>
                    </w:rPr>
                  </w:pPr>
                  <w:r>
                    <w:rPr>
                      <w:rFonts w:hint="eastAsia"/>
                      <w:highlight w:val="none"/>
                      <w:lang w:val="en-US" w:eastAsia="zh-CN"/>
                    </w:rPr>
                    <w:t>0.14</w:t>
                  </w:r>
                </w:p>
              </w:tc>
              <w:tc>
                <w:tcPr>
                  <w:tcW w:w="1667" w:type="pct"/>
                  <w:tcBorders>
                    <w:tl2br w:val="nil"/>
                    <w:tr2bl w:val="nil"/>
                  </w:tcBorders>
                </w:tcPr>
                <w:p>
                  <w:pPr>
                    <w:jc w:val="center"/>
                    <w:rPr>
                      <w:highlight w:val="none"/>
                    </w:rPr>
                  </w:pPr>
                  <w:r>
                    <w:rPr>
                      <w:rFonts w:hint="eastAsia"/>
                      <w:highlight w:val="none"/>
                    </w:rPr>
                    <w:t>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5" w:type="pct"/>
                  <w:tcBorders>
                    <w:tl2br w:val="nil"/>
                    <w:tr2bl w:val="nil"/>
                  </w:tcBorders>
                </w:tcPr>
                <w:p>
                  <w:pPr>
                    <w:pStyle w:val="72"/>
                    <w:ind w:firstLine="0"/>
                    <w:jc w:val="center"/>
                    <w:rPr>
                      <w:sz w:val="21"/>
                      <w:szCs w:val="21"/>
                      <w:highlight w:val="none"/>
                    </w:rPr>
                  </w:pPr>
                  <w:r>
                    <w:rPr>
                      <w:rFonts w:hint="eastAsia"/>
                      <w:sz w:val="21"/>
                      <w:szCs w:val="21"/>
                      <w:highlight w:val="none"/>
                    </w:rPr>
                    <w:t>氮氧化物</w:t>
                  </w:r>
                </w:p>
              </w:tc>
              <w:tc>
                <w:tcPr>
                  <w:tcW w:w="1667" w:type="pct"/>
                  <w:tcBorders>
                    <w:tl2br w:val="nil"/>
                    <w:tr2bl w:val="nil"/>
                  </w:tcBorders>
                </w:tcPr>
                <w:p>
                  <w:pPr>
                    <w:jc w:val="center"/>
                    <w:rPr>
                      <w:highlight w:val="none"/>
                    </w:rPr>
                  </w:pPr>
                  <w:r>
                    <w:rPr>
                      <w:rFonts w:hint="eastAsia"/>
                      <w:highlight w:val="none"/>
                    </w:rPr>
                    <w:t>0.685</w:t>
                  </w:r>
                </w:p>
              </w:tc>
              <w:tc>
                <w:tcPr>
                  <w:tcW w:w="1667" w:type="pct"/>
                  <w:tcBorders>
                    <w:tl2br w:val="nil"/>
                    <w:tr2bl w:val="nil"/>
                  </w:tcBorders>
                </w:tcPr>
                <w:p>
                  <w:pPr>
                    <w:jc w:val="center"/>
                    <w:rPr>
                      <w:highlight w:val="none"/>
                    </w:rPr>
                  </w:pPr>
                  <w:r>
                    <w:rPr>
                      <w:rFonts w:hint="eastAsia"/>
                      <w:highlight w:val="none"/>
                    </w:rPr>
                    <w:t>1.5</w:t>
                  </w:r>
                </w:p>
              </w:tc>
            </w:tr>
          </w:tbl>
          <w:p>
            <w:pPr>
              <w:rPr>
                <w:highlight w:val="none"/>
              </w:rPr>
            </w:pPr>
          </w:p>
          <w:p>
            <w:pPr>
              <w:pStyle w:val="2"/>
              <w:rPr>
                <w:highlight w:val="none"/>
              </w:rPr>
            </w:pPr>
          </w:p>
          <w:p>
            <w:pPr>
              <w:rPr>
                <w:highlight w:val="none"/>
              </w:rPr>
            </w:pPr>
          </w:p>
        </w:tc>
      </w:tr>
    </w:tbl>
    <w:p>
      <w:pPr>
        <w:pStyle w:val="24"/>
        <w:jc w:val="center"/>
        <w:outlineLvl w:val="0"/>
        <w:rPr>
          <w:rFonts w:ascii="Times New Roman" w:hAnsi="Times New Roman" w:eastAsia="黑体"/>
          <w:snapToGrid w:val="0"/>
          <w:sz w:val="30"/>
          <w:szCs w:val="30"/>
          <w:highlight w:val="none"/>
        </w:rPr>
      </w:pPr>
      <w:r>
        <w:rPr>
          <w:rFonts w:ascii="Times New Roman" w:hAnsi="Times New Roman" w:eastAsia="黑体"/>
          <w:snapToGrid w:val="0"/>
          <w:sz w:val="36"/>
          <w:szCs w:val="36"/>
          <w:highlight w:val="none"/>
        </w:rPr>
        <w:br w:type="page"/>
      </w:r>
      <w:bookmarkStart w:id="49" w:name="_Toc13598"/>
      <w:bookmarkStart w:id="50" w:name="_Toc11237"/>
      <w:r>
        <w:rPr>
          <w:rFonts w:ascii="Times New Roman" w:hAnsi="Times New Roman" w:eastAsia="黑体"/>
          <w:snapToGrid w:val="0"/>
          <w:sz w:val="30"/>
          <w:szCs w:val="30"/>
          <w:highlight w:val="none"/>
        </w:rPr>
        <w:t>四、主要环境影响和保护措施</w:t>
      </w:r>
      <w:bookmarkEnd w:id="49"/>
      <w:bookmarkEnd w:id="50"/>
    </w:p>
    <w:tbl>
      <w:tblPr>
        <w:tblStyle w:val="29"/>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24"/>
        <w:gridCol w:w="891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73" w:hRule="atLeast"/>
          <w:jc w:val="center"/>
        </w:trPr>
        <w:tc>
          <w:tcPr>
            <w:tcW w:w="720" w:type="dxa"/>
            <w:tcMar>
              <w:left w:w="28" w:type="dxa"/>
              <w:right w:w="28" w:type="dxa"/>
            </w:tcMar>
            <w:vAlign w:val="center"/>
          </w:tcPr>
          <w:p>
            <w:pPr>
              <w:pStyle w:val="24"/>
              <w:keepLines w:val="0"/>
              <w:pageBreakBefore w:val="0"/>
              <w:wordWrap/>
              <w:topLinePunct w:val="0"/>
              <w:bidi w:val="0"/>
              <w:adjustRightInd w:val="0"/>
              <w:snapToGrid w:val="0"/>
              <w:spacing w:before="0" w:beforeAutospacing="0" w:after="0" w:afterAutospacing="0"/>
              <w:jc w:val="center"/>
              <w:outlineLvl w:val="9"/>
              <w:rPr>
                <w:rFonts w:ascii="Times New Roman" w:hAnsi="Times New Roman"/>
                <w:kern w:val="2"/>
                <w:szCs w:val="24"/>
                <w:highlight w:val="none"/>
              </w:rPr>
            </w:pPr>
            <w:r>
              <w:rPr>
                <w:rFonts w:ascii="Times New Roman" w:hAnsi="Times New Roman"/>
                <w:kern w:val="2"/>
                <w:szCs w:val="24"/>
                <w:highlight w:val="none"/>
              </w:rPr>
              <w:t>施工</w:t>
            </w:r>
          </w:p>
          <w:p>
            <w:pPr>
              <w:pStyle w:val="24"/>
              <w:keepLines w:val="0"/>
              <w:pageBreakBefore w:val="0"/>
              <w:wordWrap/>
              <w:topLinePunct w:val="0"/>
              <w:bidi w:val="0"/>
              <w:adjustRightInd w:val="0"/>
              <w:snapToGrid w:val="0"/>
              <w:spacing w:before="0" w:beforeAutospacing="0" w:after="0" w:afterAutospacing="0"/>
              <w:jc w:val="center"/>
              <w:outlineLvl w:val="9"/>
              <w:rPr>
                <w:rFonts w:ascii="Times New Roman" w:hAnsi="Times New Roman"/>
                <w:kern w:val="2"/>
                <w:szCs w:val="24"/>
                <w:highlight w:val="none"/>
              </w:rPr>
            </w:pPr>
            <w:r>
              <w:rPr>
                <w:rFonts w:ascii="Times New Roman" w:hAnsi="Times New Roman"/>
                <w:kern w:val="2"/>
                <w:szCs w:val="24"/>
                <w:highlight w:val="none"/>
              </w:rPr>
              <w:t>期环</w:t>
            </w:r>
          </w:p>
          <w:p>
            <w:pPr>
              <w:pStyle w:val="24"/>
              <w:keepLines w:val="0"/>
              <w:pageBreakBefore w:val="0"/>
              <w:wordWrap/>
              <w:topLinePunct w:val="0"/>
              <w:bidi w:val="0"/>
              <w:adjustRightInd w:val="0"/>
              <w:snapToGrid w:val="0"/>
              <w:spacing w:before="0" w:beforeAutospacing="0" w:after="0" w:afterAutospacing="0"/>
              <w:jc w:val="center"/>
              <w:outlineLvl w:val="9"/>
              <w:rPr>
                <w:rFonts w:ascii="Times New Roman" w:hAnsi="Times New Roman"/>
                <w:kern w:val="2"/>
                <w:szCs w:val="24"/>
                <w:highlight w:val="none"/>
              </w:rPr>
            </w:pPr>
            <w:r>
              <w:rPr>
                <w:rFonts w:ascii="Times New Roman" w:hAnsi="Times New Roman"/>
                <w:kern w:val="2"/>
                <w:szCs w:val="24"/>
                <w:highlight w:val="none"/>
              </w:rPr>
              <w:t>境保</w:t>
            </w:r>
          </w:p>
          <w:p>
            <w:pPr>
              <w:pStyle w:val="24"/>
              <w:keepLines w:val="0"/>
              <w:pageBreakBefore w:val="0"/>
              <w:wordWrap/>
              <w:topLinePunct w:val="0"/>
              <w:bidi w:val="0"/>
              <w:adjustRightInd w:val="0"/>
              <w:snapToGrid w:val="0"/>
              <w:spacing w:before="0" w:beforeAutospacing="0" w:after="0" w:afterAutospacing="0"/>
              <w:jc w:val="center"/>
              <w:outlineLvl w:val="9"/>
              <w:rPr>
                <w:rFonts w:ascii="Times New Roman" w:hAnsi="Times New Roman"/>
                <w:kern w:val="2"/>
                <w:szCs w:val="24"/>
                <w:highlight w:val="none"/>
              </w:rPr>
            </w:pPr>
            <w:r>
              <w:rPr>
                <w:rFonts w:ascii="Times New Roman" w:hAnsi="Times New Roman"/>
                <w:kern w:val="2"/>
                <w:szCs w:val="24"/>
                <w:highlight w:val="none"/>
              </w:rPr>
              <w:t>护措</w:t>
            </w:r>
          </w:p>
          <w:p>
            <w:pPr>
              <w:pStyle w:val="24"/>
              <w:keepLines w:val="0"/>
              <w:pageBreakBefore w:val="0"/>
              <w:wordWrap/>
              <w:topLinePunct w:val="0"/>
              <w:bidi w:val="0"/>
              <w:adjustRightInd w:val="0"/>
              <w:snapToGrid w:val="0"/>
              <w:spacing w:before="0" w:beforeAutospacing="0" w:after="0" w:afterAutospacing="0"/>
              <w:jc w:val="center"/>
              <w:outlineLvl w:val="9"/>
              <w:rPr>
                <w:rFonts w:ascii="Times New Roman" w:hAnsi="Times New Roman"/>
                <w:bCs/>
                <w:kern w:val="2"/>
                <w:szCs w:val="24"/>
                <w:highlight w:val="none"/>
              </w:rPr>
            </w:pPr>
            <w:r>
              <w:rPr>
                <w:rFonts w:ascii="Times New Roman" w:hAnsi="Times New Roman"/>
                <w:kern w:val="2"/>
                <w:szCs w:val="24"/>
                <w:highlight w:val="none"/>
              </w:rPr>
              <w:t>施</w:t>
            </w:r>
          </w:p>
        </w:tc>
        <w:tc>
          <w:tcPr>
            <w:tcW w:w="8865" w:type="dxa"/>
            <w:vAlign w:val="center"/>
          </w:tcPr>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本项目施工期建设</w:t>
            </w:r>
            <w:r>
              <w:rPr>
                <w:rFonts w:hint="eastAsia"/>
                <w:bCs/>
                <w:sz w:val="24"/>
                <w:highlight w:val="none"/>
              </w:rPr>
              <w:t>污水储池、锅炉布袋除尘器及生产线设备安装，</w:t>
            </w:r>
            <w:r>
              <w:rPr>
                <w:bCs/>
                <w:sz w:val="24"/>
                <w:highlight w:val="none"/>
              </w:rPr>
              <w:t>主要环节影响是施工机械噪声、车辆尾气和运输扬尘、施工人员产生的生活污水和建筑垃圾、生活垃圾等。</w:t>
            </w:r>
          </w:p>
          <w:p>
            <w:pPr>
              <w:keepLines w:val="0"/>
              <w:pageBreakBefore w:val="0"/>
              <w:wordWrap/>
              <w:topLinePunct w:val="0"/>
              <w:bidi w:val="0"/>
              <w:spacing w:line="360" w:lineRule="auto"/>
              <w:outlineLvl w:val="9"/>
              <w:rPr>
                <w:b/>
                <w:sz w:val="24"/>
                <w:highlight w:val="none"/>
              </w:rPr>
            </w:pPr>
            <w:r>
              <w:rPr>
                <w:rFonts w:hint="eastAsia"/>
                <w:b/>
                <w:sz w:val="24"/>
                <w:highlight w:val="none"/>
              </w:rPr>
              <w:t>一</w:t>
            </w:r>
            <w:r>
              <w:rPr>
                <w:b/>
                <w:sz w:val="24"/>
                <w:highlight w:val="none"/>
              </w:rPr>
              <w:t>、水环境影响分析</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（1）施工废水</w:t>
            </w:r>
          </w:p>
          <w:p>
            <w:pPr>
              <w:keepLines w:val="0"/>
              <w:pageBreakBefore w:val="0"/>
              <w:wordWrap/>
              <w:topLinePunct w:val="0"/>
              <w:bidi w:val="0"/>
              <w:spacing w:line="360" w:lineRule="auto"/>
              <w:ind w:firstLine="480" w:firstLineChars="200"/>
              <w:outlineLvl w:val="9"/>
              <w:rPr>
                <w:bCs/>
                <w:sz w:val="24"/>
                <w:highlight w:val="none"/>
              </w:rPr>
            </w:pPr>
            <w:r>
              <w:rPr>
                <w:rFonts w:hint="eastAsia"/>
                <w:sz w:val="24"/>
                <w:highlight w:val="none"/>
              </w:rPr>
              <w:t>施工废水产生量约0.5</w:t>
            </w:r>
            <w:r>
              <w:rPr>
                <w:sz w:val="24"/>
                <w:highlight w:val="none"/>
              </w:rPr>
              <w:t>t/d</w:t>
            </w:r>
            <w:r>
              <w:rPr>
                <w:rFonts w:hint="eastAsia"/>
                <w:sz w:val="24"/>
                <w:highlight w:val="none"/>
              </w:rPr>
              <w:t>，废水中含有大量的泥沙与悬浮物（</w:t>
            </w:r>
            <w:r>
              <w:rPr>
                <w:sz w:val="24"/>
                <w:highlight w:val="none"/>
              </w:rPr>
              <w:t>SS</w:t>
            </w:r>
            <w:r>
              <w:rPr>
                <w:rFonts w:hint="eastAsia"/>
                <w:sz w:val="24"/>
                <w:highlight w:val="none"/>
              </w:rPr>
              <w:t>浓度在6</w:t>
            </w:r>
            <w:r>
              <w:rPr>
                <w:sz w:val="24"/>
                <w:highlight w:val="none"/>
              </w:rPr>
              <w:t>00mg/L</w:t>
            </w:r>
            <w:r>
              <w:rPr>
                <w:rFonts w:hint="eastAsia"/>
                <w:sz w:val="24"/>
                <w:highlight w:val="none"/>
              </w:rPr>
              <w:t>左右）。污染物产生源强初步估算为：</w:t>
            </w:r>
            <w:r>
              <w:rPr>
                <w:sz w:val="24"/>
                <w:highlight w:val="none"/>
              </w:rPr>
              <w:t>SS</w:t>
            </w:r>
            <w:r>
              <w:rPr>
                <w:rFonts w:hint="eastAsia"/>
                <w:sz w:val="24"/>
                <w:highlight w:val="none"/>
              </w:rPr>
              <w:t>：0.0003</w:t>
            </w:r>
            <w:r>
              <w:rPr>
                <w:sz w:val="24"/>
                <w:highlight w:val="none"/>
              </w:rPr>
              <w:t>t</w:t>
            </w:r>
            <w:r>
              <w:rPr>
                <w:rFonts w:hint="eastAsia"/>
                <w:sz w:val="24"/>
                <w:highlight w:val="none"/>
              </w:rPr>
              <w:t>。施工废水经防渗沉淀池沉淀后回用于施工场地洒水和降尘等，不外排。</w:t>
            </w:r>
          </w:p>
          <w:p>
            <w:pPr>
              <w:keepLines w:val="0"/>
              <w:pageBreakBefore w:val="0"/>
              <w:wordWrap/>
              <w:topLinePunct w:val="0"/>
              <w:bidi w:val="0"/>
              <w:spacing w:line="360" w:lineRule="auto"/>
              <w:ind w:firstLine="480" w:firstLineChars="200"/>
              <w:outlineLvl w:val="9"/>
              <w:rPr>
                <w:sz w:val="24"/>
                <w:highlight w:val="none"/>
              </w:rPr>
            </w:pPr>
            <w:r>
              <w:rPr>
                <w:bCs/>
                <w:sz w:val="24"/>
                <w:highlight w:val="none"/>
              </w:rPr>
              <w:t>（2）由于施工人员较少，且施工期比较短，</w:t>
            </w:r>
            <w:r>
              <w:rPr>
                <w:sz w:val="24"/>
                <w:highlight w:val="none"/>
              </w:rPr>
              <w:t>生活污水排入</w:t>
            </w:r>
            <w:r>
              <w:rPr>
                <w:rFonts w:hint="eastAsia"/>
                <w:sz w:val="24"/>
                <w:highlight w:val="none"/>
              </w:rPr>
              <w:t>防渗化粪池</w:t>
            </w:r>
            <w:r>
              <w:rPr>
                <w:sz w:val="24"/>
                <w:highlight w:val="none"/>
              </w:rPr>
              <w:t>，</w:t>
            </w:r>
            <w:r>
              <w:rPr>
                <w:rFonts w:hint="eastAsia"/>
                <w:sz w:val="24"/>
                <w:highlight w:val="none"/>
              </w:rPr>
              <w:t>定期清掏外运堆肥。</w:t>
            </w:r>
          </w:p>
          <w:p>
            <w:pPr>
              <w:keepLines w:val="0"/>
              <w:pageBreakBefore w:val="0"/>
              <w:wordWrap/>
              <w:topLinePunct w:val="0"/>
              <w:bidi w:val="0"/>
              <w:spacing w:line="360" w:lineRule="auto"/>
              <w:outlineLvl w:val="9"/>
              <w:rPr>
                <w:b/>
                <w:sz w:val="24"/>
                <w:highlight w:val="none"/>
              </w:rPr>
            </w:pPr>
            <w:r>
              <w:rPr>
                <w:rFonts w:hint="eastAsia"/>
                <w:b/>
                <w:sz w:val="24"/>
                <w:highlight w:val="none"/>
              </w:rPr>
              <w:t>二</w:t>
            </w:r>
            <w:r>
              <w:rPr>
                <w:b/>
                <w:sz w:val="24"/>
                <w:highlight w:val="none"/>
              </w:rPr>
              <w:t>、环境空气影响分析</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施工期的大气污染源主要来自于建筑材料运输过程中产生扬尘和汽车尾气、施工过程中产生的扬尘。</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（1）运输车辆产生的尾气和扬尘</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运输车辆产生的尾气和扬尘</w:t>
            </w:r>
            <w:r>
              <w:rPr>
                <w:rFonts w:hint="eastAsia"/>
                <w:sz w:val="24"/>
                <w:highlight w:val="none"/>
                <w:lang w:val="zh-CN"/>
              </w:rPr>
              <w:t>，</w:t>
            </w:r>
            <w:r>
              <w:rPr>
                <w:rFonts w:hint="eastAsia"/>
                <w:sz w:val="24"/>
                <w:highlight w:val="none"/>
              </w:rPr>
              <w:t>建议采取如下措施：</w:t>
            </w:r>
          </w:p>
          <w:p>
            <w:pPr>
              <w:keepLines w:val="0"/>
              <w:pageBreakBefore w:val="0"/>
              <w:wordWrap/>
              <w:topLinePunct w:val="0"/>
              <w:bidi w:val="0"/>
              <w:spacing w:line="360" w:lineRule="auto"/>
              <w:ind w:firstLine="480" w:firstLineChars="200"/>
              <w:outlineLvl w:val="9"/>
              <w:rPr>
                <w:sz w:val="24"/>
                <w:highlight w:val="none"/>
              </w:rPr>
            </w:pPr>
            <w:r>
              <w:rPr>
                <w:rFonts w:hint="eastAsia" w:ascii="宋体" w:hAnsi="宋体" w:cs="宋体"/>
                <w:sz w:val="24"/>
                <w:highlight w:val="none"/>
              </w:rPr>
              <w:t>①</w:t>
            </w:r>
            <w:r>
              <w:rPr>
                <w:rFonts w:hint="eastAsia"/>
                <w:sz w:val="24"/>
                <w:highlight w:val="none"/>
              </w:rPr>
              <w:t>运输车辆尾气：</w:t>
            </w:r>
            <w:r>
              <w:rPr>
                <w:sz w:val="24"/>
                <w:highlight w:val="none"/>
              </w:rPr>
              <w:t>加强往返于施工区车辆的管理和维修，使用有害物质量少的优质燃料，以减少尾气排放污染大气</w:t>
            </w:r>
            <w:r>
              <w:rPr>
                <w:rFonts w:hint="eastAsia"/>
                <w:sz w:val="24"/>
                <w:highlight w:val="none"/>
              </w:rPr>
              <w:t>。</w:t>
            </w:r>
          </w:p>
          <w:p>
            <w:pPr>
              <w:keepLines w:val="0"/>
              <w:pageBreakBefore w:val="0"/>
              <w:wordWrap/>
              <w:topLinePunct w:val="0"/>
              <w:bidi w:val="0"/>
              <w:spacing w:line="360" w:lineRule="auto"/>
              <w:ind w:firstLine="480" w:firstLineChars="200"/>
              <w:outlineLvl w:val="9"/>
              <w:rPr>
                <w:sz w:val="24"/>
                <w:highlight w:val="none"/>
              </w:rPr>
            </w:pPr>
            <w:r>
              <w:rPr>
                <w:rFonts w:hint="eastAsia" w:ascii="宋体" w:hAnsi="宋体" w:cs="宋体"/>
                <w:sz w:val="24"/>
                <w:highlight w:val="none"/>
              </w:rPr>
              <w:t>②</w:t>
            </w:r>
            <w:r>
              <w:rPr>
                <w:rFonts w:hint="eastAsia"/>
                <w:sz w:val="24"/>
                <w:highlight w:val="none"/>
              </w:rPr>
              <w:t>运输车辆扬尘：采取厂区道路定期清理清扫，洒水降尘（该措施依据季节选择性使用），以避免扬尘。</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采取以上措施后，运输车辆产生的尾气和扬尘满足《大气污染物综合排放标准》（</w:t>
            </w:r>
            <w:r>
              <w:rPr>
                <w:sz w:val="24"/>
                <w:highlight w:val="none"/>
              </w:rPr>
              <w:t>GB16297-1996</w:t>
            </w:r>
            <w:r>
              <w:rPr>
                <w:rFonts w:hint="eastAsia"/>
                <w:sz w:val="24"/>
                <w:highlight w:val="none"/>
              </w:rPr>
              <w:t>）表2中无组织放标准要求。</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（2）施工过程产生的扬尘</w:t>
            </w:r>
          </w:p>
          <w:p>
            <w:pPr>
              <w:keepLines w:val="0"/>
              <w:pageBreakBefore w:val="0"/>
              <w:wordWrap/>
              <w:topLinePunct w:val="0"/>
              <w:bidi w:val="0"/>
              <w:spacing w:line="360" w:lineRule="auto"/>
              <w:ind w:firstLine="480" w:firstLineChars="200"/>
              <w:outlineLvl w:val="9"/>
              <w:rPr>
                <w:bCs/>
                <w:sz w:val="24"/>
                <w:highlight w:val="none"/>
              </w:rPr>
            </w:pPr>
            <w:r>
              <w:rPr>
                <w:rFonts w:hint="eastAsia"/>
                <w:sz w:val="24"/>
                <w:highlight w:val="none"/>
              </w:rPr>
              <w:t>施工过程会产生一定量的扬尘。对易起尘废弃建筑材料实行库存或加盖苫布，施工期较短，伴随施工期结束，该影响会消除，不会对周围的大气环境造成影响。施工过程产生的扬尘能够满足《大气污染物综合排放标准》（GB16297-1996）表2中无组织排放相关限值。</w:t>
            </w:r>
          </w:p>
          <w:p>
            <w:pPr>
              <w:keepLines w:val="0"/>
              <w:pageBreakBefore w:val="0"/>
              <w:wordWrap/>
              <w:topLinePunct w:val="0"/>
              <w:bidi w:val="0"/>
              <w:spacing w:line="360" w:lineRule="auto"/>
              <w:outlineLvl w:val="9"/>
              <w:rPr>
                <w:b/>
                <w:sz w:val="24"/>
                <w:highlight w:val="none"/>
              </w:rPr>
            </w:pPr>
            <w:r>
              <w:rPr>
                <w:rFonts w:hint="eastAsia"/>
                <w:b/>
                <w:sz w:val="24"/>
                <w:highlight w:val="none"/>
              </w:rPr>
              <w:t>三</w:t>
            </w:r>
            <w:r>
              <w:rPr>
                <w:b/>
                <w:sz w:val="24"/>
                <w:highlight w:val="none"/>
              </w:rPr>
              <w:t>、声</w:t>
            </w:r>
            <w:r>
              <w:rPr>
                <w:rFonts w:hint="eastAsia"/>
                <w:b/>
                <w:sz w:val="24"/>
                <w:highlight w:val="none"/>
              </w:rPr>
              <w:t>环境</w:t>
            </w:r>
            <w:r>
              <w:rPr>
                <w:b/>
                <w:sz w:val="24"/>
                <w:highlight w:val="none"/>
              </w:rPr>
              <w:t>影响分析</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施工期间，运输车辆和各种机械都是主要的噪声源，噪声源强在85~90dB（A）。建议在施工期间采取以下相应措施降低噪声：</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fldChar w:fldCharType="begin"/>
            </w:r>
            <w:r>
              <w:rPr>
                <w:bCs/>
                <w:sz w:val="24"/>
                <w:highlight w:val="none"/>
              </w:rPr>
              <w:instrText xml:space="preserve"> = 1 \* GB3 </w:instrText>
            </w:r>
            <w:r>
              <w:rPr>
                <w:bCs/>
                <w:sz w:val="24"/>
                <w:highlight w:val="none"/>
              </w:rPr>
              <w:fldChar w:fldCharType="separate"/>
            </w:r>
            <w:r>
              <w:rPr>
                <w:rFonts w:hint="eastAsia"/>
                <w:bCs/>
                <w:sz w:val="24"/>
                <w:highlight w:val="none"/>
              </w:rPr>
              <w:t>①</w:t>
            </w:r>
            <w:r>
              <w:rPr>
                <w:bCs/>
                <w:sz w:val="24"/>
                <w:highlight w:val="none"/>
              </w:rPr>
              <w:fldChar w:fldCharType="end"/>
            </w:r>
            <w:r>
              <w:rPr>
                <w:bCs/>
                <w:sz w:val="24"/>
                <w:highlight w:val="none"/>
              </w:rPr>
              <w:t>加强施工管理，合理安排作业时间，严格按照施工噪声管理的有关规定；</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fldChar w:fldCharType="begin"/>
            </w:r>
            <w:r>
              <w:rPr>
                <w:bCs/>
                <w:sz w:val="24"/>
                <w:highlight w:val="none"/>
              </w:rPr>
              <w:instrText xml:space="preserve"> = 2 \* GB3 </w:instrText>
            </w:r>
            <w:r>
              <w:rPr>
                <w:bCs/>
                <w:sz w:val="24"/>
                <w:highlight w:val="none"/>
              </w:rPr>
              <w:fldChar w:fldCharType="separate"/>
            </w:r>
            <w:r>
              <w:rPr>
                <w:rFonts w:hint="eastAsia"/>
                <w:bCs/>
                <w:sz w:val="24"/>
                <w:highlight w:val="none"/>
              </w:rPr>
              <w:t>②</w:t>
            </w:r>
            <w:r>
              <w:rPr>
                <w:bCs/>
                <w:sz w:val="24"/>
                <w:highlight w:val="none"/>
              </w:rPr>
              <w:fldChar w:fldCharType="end"/>
            </w:r>
            <w:r>
              <w:rPr>
                <w:bCs/>
                <w:sz w:val="24"/>
                <w:highlight w:val="none"/>
              </w:rPr>
              <w:t>尽量采用低噪声施工设备和噪声低的施工方法；</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fldChar w:fldCharType="begin"/>
            </w:r>
            <w:r>
              <w:rPr>
                <w:bCs/>
                <w:sz w:val="24"/>
                <w:highlight w:val="none"/>
              </w:rPr>
              <w:instrText xml:space="preserve"> = 3 \* GB3 </w:instrText>
            </w:r>
            <w:r>
              <w:rPr>
                <w:bCs/>
                <w:sz w:val="24"/>
                <w:highlight w:val="none"/>
              </w:rPr>
              <w:fldChar w:fldCharType="separate"/>
            </w:r>
            <w:r>
              <w:rPr>
                <w:rFonts w:hint="eastAsia"/>
                <w:bCs/>
                <w:sz w:val="24"/>
                <w:highlight w:val="none"/>
              </w:rPr>
              <w:t>③</w:t>
            </w:r>
            <w:r>
              <w:rPr>
                <w:bCs/>
                <w:sz w:val="24"/>
                <w:highlight w:val="none"/>
              </w:rPr>
              <w:fldChar w:fldCharType="end"/>
            </w:r>
            <w:r>
              <w:rPr>
                <w:bCs/>
                <w:sz w:val="24"/>
                <w:highlight w:val="none"/>
              </w:rPr>
              <w:t>作业时在高噪声设备周围设置屏蔽；</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fldChar w:fldCharType="begin"/>
            </w:r>
            <w:r>
              <w:rPr>
                <w:bCs/>
                <w:sz w:val="24"/>
                <w:highlight w:val="none"/>
              </w:rPr>
              <w:instrText xml:space="preserve"> = 4 \* GB3 </w:instrText>
            </w:r>
            <w:r>
              <w:rPr>
                <w:bCs/>
                <w:sz w:val="24"/>
                <w:highlight w:val="none"/>
              </w:rPr>
              <w:fldChar w:fldCharType="separate"/>
            </w:r>
            <w:r>
              <w:rPr>
                <w:rFonts w:hint="eastAsia"/>
                <w:bCs/>
                <w:sz w:val="24"/>
                <w:highlight w:val="none"/>
              </w:rPr>
              <w:t>④</w:t>
            </w:r>
            <w:r>
              <w:rPr>
                <w:bCs/>
                <w:sz w:val="24"/>
                <w:highlight w:val="none"/>
              </w:rPr>
              <w:fldChar w:fldCharType="end"/>
            </w:r>
            <w:r>
              <w:rPr>
                <w:bCs/>
                <w:sz w:val="24"/>
                <w:highlight w:val="none"/>
              </w:rPr>
              <w:t>加强运输车辆的管理，建材等运输在白天进行，并控制车辆鸣笛，</w:t>
            </w:r>
            <w:r>
              <w:rPr>
                <w:rFonts w:hint="eastAsia"/>
                <w:bCs/>
                <w:sz w:val="24"/>
                <w:highlight w:val="none"/>
              </w:rPr>
              <w:t>禁止</w:t>
            </w:r>
            <w:r>
              <w:rPr>
                <w:bCs/>
                <w:sz w:val="24"/>
                <w:highlight w:val="none"/>
              </w:rPr>
              <w:t>22:00-6:00时间段内运输和施工。</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通过上述措施可以使所在地的声环境达到《建筑施工场界环境噪声排放标准》（GB12523-2011）中规定的标准。</w:t>
            </w:r>
          </w:p>
          <w:p>
            <w:pPr>
              <w:keepLines w:val="0"/>
              <w:pageBreakBefore w:val="0"/>
              <w:wordWrap/>
              <w:topLinePunct w:val="0"/>
              <w:bidi w:val="0"/>
              <w:spacing w:line="360" w:lineRule="auto"/>
              <w:outlineLvl w:val="9"/>
              <w:rPr>
                <w:b/>
                <w:sz w:val="24"/>
                <w:highlight w:val="none"/>
              </w:rPr>
            </w:pPr>
            <w:r>
              <w:rPr>
                <w:rFonts w:hint="eastAsia"/>
                <w:b/>
                <w:sz w:val="24"/>
                <w:highlight w:val="none"/>
              </w:rPr>
              <w:t>四</w:t>
            </w:r>
            <w:r>
              <w:rPr>
                <w:b/>
                <w:sz w:val="24"/>
                <w:highlight w:val="none"/>
              </w:rPr>
              <w:t>、固体废物影响分析</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本项目施工期产生的固体废物主要是施工期建筑垃圾、施工人员生活垃圾。</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（1）施工建筑垃圾</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本项目此施工期固废主要为建筑垃圾，还有本工程施工剩余的建筑材料，包括石料、木料等。本项目产生的建筑垃圾应及时清运至指定地点处置，防止建筑垃圾对外环境的影响。</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（2）生活垃圾</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施工人员产生的生活垃圾若随意堆放，不仅影响施工区环境景观，而且影响施工区环境卫生，夏秋季易造成蚊、蝇孽生或鼠类繁殖，导致疾病流行，进而威胁施工人员身体健康。生活垃圾做到日产日清，</w:t>
            </w:r>
            <w:r>
              <w:rPr>
                <w:rFonts w:hint="eastAsia"/>
                <w:bCs/>
                <w:sz w:val="24"/>
                <w:highlight w:val="none"/>
              </w:rPr>
              <w:t>生活垃圾集中收集，由送生活垃圾填埋场填埋。</w:t>
            </w:r>
          </w:p>
          <w:p>
            <w:pPr>
              <w:keepLines w:val="0"/>
              <w:pageBreakBefore w:val="0"/>
              <w:wordWrap/>
              <w:topLinePunct w:val="0"/>
              <w:bidi w:val="0"/>
              <w:spacing w:line="360" w:lineRule="auto"/>
              <w:ind w:firstLine="480" w:firstLineChars="200"/>
              <w:outlineLvl w:val="9"/>
              <w:rPr>
                <w:sz w:val="24"/>
                <w:highlight w:val="none"/>
              </w:rPr>
            </w:pPr>
            <w:r>
              <w:rPr>
                <w:bCs/>
                <w:sz w:val="24"/>
                <w:highlight w:val="none"/>
              </w:rPr>
              <w:t>综上所述，本项目施工期产生的固体废物均能无害化处置。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tcMar>
              <w:left w:w="28" w:type="dxa"/>
              <w:right w:w="28" w:type="dxa"/>
            </w:tcMar>
            <w:vAlign w:val="center"/>
          </w:tcPr>
          <w:p>
            <w:pPr>
              <w:keepLines w:val="0"/>
              <w:pageBreakBefore w:val="0"/>
              <w:wordWrap/>
              <w:topLinePunct w:val="0"/>
              <w:bidi w:val="0"/>
              <w:adjustRightInd w:val="0"/>
              <w:snapToGrid w:val="0"/>
              <w:jc w:val="center"/>
              <w:outlineLvl w:val="9"/>
              <w:rPr>
                <w:bCs/>
                <w:sz w:val="24"/>
                <w:highlight w:val="none"/>
              </w:rPr>
            </w:pPr>
            <w:r>
              <w:rPr>
                <w:bCs/>
                <w:sz w:val="24"/>
                <w:highlight w:val="none"/>
              </w:rPr>
              <w:t>运营</w:t>
            </w:r>
          </w:p>
          <w:p>
            <w:pPr>
              <w:keepLines w:val="0"/>
              <w:pageBreakBefore w:val="0"/>
              <w:wordWrap/>
              <w:topLinePunct w:val="0"/>
              <w:bidi w:val="0"/>
              <w:adjustRightInd w:val="0"/>
              <w:snapToGrid w:val="0"/>
              <w:jc w:val="center"/>
              <w:outlineLvl w:val="9"/>
              <w:rPr>
                <w:bCs/>
                <w:sz w:val="24"/>
                <w:highlight w:val="none"/>
              </w:rPr>
            </w:pPr>
            <w:r>
              <w:rPr>
                <w:bCs/>
                <w:sz w:val="24"/>
                <w:highlight w:val="none"/>
              </w:rPr>
              <w:t>期环</w:t>
            </w:r>
          </w:p>
          <w:p>
            <w:pPr>
              <w:keepLines w:val="0"/>
              <w:pageBreakBefore w:val="0"/>
              <w:wordWrap/>
              <w:topLinePunct w:val="0"/>
              <w:bidi w:val="0"/>
              <w:adjustRightInd w:val="0"/>
              <w:snapToGrid w:val="0"/>
              <w:jc w:val="center"/>
              <w:outlineLvl w:val="9"/>
              <w:rPr>
                <w:bCs/>
                <w:sz w:val="24"/>
                <w:highlight w:val="none"/>
              </w:rPr>
            </w:pPr>
            <w:r>
              <w:rPr>
                <w:bCs/>
                <w:sz w:val="24"/>
                <w:highlight w:val="none"/>
              </w:rPr>
              <w:t>境影</w:t>
            </w:r>
          </w:p>
          <w:p>
            <w:pPr>
              <w:keepLines w:val="0"/>
              <w:pageBreakBefore w:val="0"/>
              <w:wordWrap/>
              <w:topLinePunct w:val="0"/>
              <w:bidi w:val="0"/>
              <w:adjustRightInd w:val="0"/>
              <w:snapToGrid w:val="0"/>
              <w:jc w:val="center"/>
              <w:outlineLvl w:val="9"/>
              <w:rPr>
                <w:bCs/>
                <w:sz w:val="24"/>
                <w:highlight w:val="none"/>
              </w:rPr>
            </w:pPr>
            <w:r>
              <w:rPr>
                <w:bCs/>
                <w:sz w:val="24"/>
                <w:highlight w:val="none"/>
              </w:rPr>
              <w:t>响和</w:t>
            </w:r>
          </w:p>
          <w:p>
            <w:pPr>
              <w:keepLines w:val="0"/>
              <w:pageBreakBefore w:val="0"/>
              <w:wordWrap/>
              <w:topLinePunct w:val="0"/>
              <w:bidi w:val="0"/>
              <w:adjustRightInd w:val="0"/>
              <w:snapToGrid w:val="0"/>
              <w:jc w:val="center"/>
              <w:outlineLvl w:val="9"/>
              <w:rPr>
                <w:bCs/>
                <w:sz w:val="24"/>
                <w:highlight w:val="none"/>
              </w:rPr>
            </w:pPr>
            <w:r>
              <w:rPr>
                <w:bCs/>
                <w:sz w:val="24"/>
                <w:highlight w:val="none"/>
              </w:rPr>
              <w:t>保护</w:t>
            </w:r>
          </w:p>
          <w:p>
            <w:pPr>
              <w:keepLines w:val="0"/>
              <w:pageBreakBefore w:val="0"/>
              <w:wordWrap/>
              <w:topLinePunct w:val="0"/>
              <w:bidi w:val="0"/>
              <w:adjustRightInd w:val="0"/>
              <w:snapToGrid w:val="0"/>
              <w:jc w:val="center"/>
              <w:outlineLvl w:val="9"/>
              <w:rPr>
                <w:bCs/>
                <w:sz w:val="24"/>
                <w:highlight w:val="none"/>
              </w:rPr>
            </w:pPr>
            <w:r>
              <w:rPr>
                <w:bCs/>
                <w:sz w:val="24"/>
                <w:highlight w:val="none"/>
              </w:rPr>
              <w:t>措施</w:t>
            </w:r>
          </w:p>
        </w:tc>
        <w:tc>
          <w:tcPr>
            <w:tcW w:w="8865" w:type="dxa"/>
          </w:tcPr>
          <w:p>
            <w:pPr>
              <w:pStyle w:val="27"/>
              <w:keepLines w:val="0"/>
              <w:pageBreakBefore w:val="0"/>
              <w:widowControl w:val="0"/>
              <w:wordWrap/>
              <w:topLinePunct w:val="0"/>
              <w:bidi w:val="0"/>
              <w:snapToGrid/>
              <w:spacing w:before="0" w:after="0" w:line="360" w:lineRule="auto"/>
              <w:ind w:right="0" w:firstLine="0" w:firstLineChars="0"/>
              <w:outlineLvl w:val="9"/>
              <w:rPr>
                <w:sz w:val="24"/>
                <w:szCs w:val="24"/>
                <w:highlight w:val="none"/>
              </w:rPr>
            </w:pPr>
            <w:r>
              <w:rPr>
                <w:b/>
                <w:sz w:val="24"/>
                <w:highlight w:val="none"/>
              </w:rPr>
              <w:t>一、废水</w:t>
            </w:r>
          </w:p>
          <w:p>
            <w:pPr>
              <w:pStyle w:val="126"/>
              <w:keepLines w:val="0"/>
              <w:pageBreakBefore w:val="0"/>
              <w:wordWrap/>
              <w:topLinePunct w:val="0"/>
              <w:bidi w:val="0"/>
              <w:ind w:firstLine="480"/>
              <w:outlineLvl w:val="9"/>
              <w:rPr>
                <w:rFonts w:cs="Times New Roman"/>
                <w:color w:val="auto"/>
                <w:sz w:val="24"/>
                <w:highlight w:val="none"/>
              </w:rPr>
            </w:pPr>
            <w:r>
              <w:rPr>
                <w:rFonts w:cs="Times New Roman"/>
                <w:color w:val="auto"/>
                <w:sz w:val="24"/>
                <w:highlight w:val="none"/>
              </w:rPr>
              <w:t>本项目运营期产生的废水主要为职工生活污水</w:t>
            </w:r>
            <w:r>
              <w:rPr>
                <w:rFonts w:hint="eastAsia" w:cs="Times New Roman"/>
                <w:color w:val="auto"/>
                <w:sz w:val="24"/>
                <w:highlight w:val="none"/>
              </w:rPr>
              <w:t>、生产废水</w:t>
            </w:r>
            <w:r>
              <w:rPr>
                <w:rFonts w:cs="Times New Roman"/>
                <w:color w:val="auto"/>
                <w:sz w:val="24"/>
                <w:highlight w:val="none"/>
              </w:rPr>
              <w:t>及锅炉排污水。</w:t>
            </w:r>
          </w:p>
          <w:p>
            <w:pPr>
              <w:pStyle w:val="126"/>
              <w:keepLines w:val="0"/>
              <w:pageBreakBefore w:val="0"/>
              <w:wordWrap/>
              <w:topLinePunct w:val="0"/>
              <w:bidi w:val="0"/>
              <w:ind w:firstLine="480"/>
              <w:outlineLvl w:val="9"/>
              <w:rPr>
                <w:rFonts w:cs="Times New Roman"/>
                <w:color w:val="auto"/>
                <w:sz w:val="24"/>
                <w:highlight w:val="none"/>
              </w:rPr>
            </w:pPr>
            <w:r>
              <w:rPr>
                <w:rFonts w:cs="Times New Roman"/>
                <w:color w:val="auto"/>
                <w:sz w:val="24"/>
                <w:highlight w:val="none"/>
              </w:rPr>
              <w:t>本项目生活污水产生量为115.2t/a。生活污水中污染物主要为COD、BOD</w:t>
            </w:r>
            <w:r>
              <w:rPr>
                <w:rFonts w:cs="Times New Roman"/>
                <w:color w:val="auto"/>
                <w:sz w:val="24"/>
                <w:highlight w:val="none"/>
                <w:vertAlign w:val="subscript"/>
              </w:rPr>
              <w:t>5</w:t>
            </w:r>
            <w:r>
              <w:rPr>
                <w:rFonts w:cs="Times New Roman"/>
                <w:color w:val="auto"/>
                <w:sz w:val="24"/>
                <w:highlight w:val="none"/>
              </w:rPr>
              <w:t>、SS、NH</w:t>
            </w:r>
            <w:r>
              <w:rPr>
                <w:rFonts w:cs="Times New Roman"/>
                <w:color w:val="auto"/>
                <w:sz w:val="24"/>
                <w:highlight w:val="none"/>
                <w:vertAlign w:val="subscript"/>
              </w:rPr>
              <w:t>3</w:t>
            </w:r>
            <w:r>
              <w:rPr>
                <w:rFonts w:cs="Times New Roman"/>
                <w:color w:val="auto"/>
                <w:sz w:val="24"/>
                <w:highlight w:val="none"/>
              </w:rPr>
              <w:t>-N。</w:t>
            </w:r>
          </w:p>
          <w:p>
            <w:pPr>
              <w:pStyle w:val="126"/>
              <w:keepLines w:val="0"/>
              <w:pageBreakBefore w:val="0"/>
              <w:wordWrap/>
              <w:topLinePunct w:val="0"/>
              <w:bidi w:val="0"/>
              <w:ind w:firstLine="480"/>
              <w:outlineLvl w:val="9"/>
              <w:rPr>
                <w:rFonts w:cs="Times New Roman"/>
                <w:color w:val="auto"/>
                <w:sz w:val="24"/>
                <w:highlight w:val="none"/>
              </w:rPr>
            </w:pPr>
            <w:r>
              <w:rPr>
                <w:rFonts w:cs="Times New Roman"/>
                <w:color w:val="auto"/>
                <w:sz w:val="24"/>
                <w:highlight w:val="none"/>
              </w:rPr>
              <w:t>本项目建成后，年燃生物质成型燃料</w:t>
            </w:r>
            <w:r>
              <w:rPr>
                <w:rFonts w:hint="eastAsia" w:cs="Times New Roman"/>
                <w:color w:val="auto"/>
                <w:sz w:val="24"/>
                <w:highlight w:val="none"/>
              </w:rPr>
              <w:t>672</w:t>
            </w:r>
            <w:r>
              <w:rPr>
                <w:rFonts w:cs="Times New Roman"/>
                <w:color w:val="auto"/>
                <w:sz w:val="24"/>
                <w:highlight w:val="none"/>
              </w:rPr>
              <w:t>t，则锅炉排污水产生量为</w:t>
            </w:r>
            <w:r>
              <w:rPr>
                <w:rFonts w:hint="eastAsia" w:cs="Times New Roman"/>
                <w:color w:val="auto"/>
                <w:sz w:val="24"/>
                <w:highlight w:val="none"/>
              </w:rPr>
              <w:t>240</w:t>
            </w:r>
            <w:r>
              <w:rPr>
                <w:rFonts w:cs="Times New Roman"/>
                <w:color w:val="auto"/>
                <w:sz w:val="24"/>
                <w:highlight w:val="none"/>
              </w:rPr>
              <w:t>t/a</w:t>
            </w:r>
            <w:r>
              <w:rPr>
                <w:rFonts w:hint="eastAsia" w:cs="Times New Roman"/>
                <w:color w:val="auto"/>
                <w:sz w:val="24"/>
                <w:highlight w:val="none"/>
              </w:rPr>
              <w:t>，</w:t>
            </w:r>
            <w:r>
              <w:rPr>
                <w:rFonts w:cs="Times New Roman"/>
                <w:color w:val="auto"/>
                <w:sz w:val="24"/>
                <w:highlight w:val="none"/>
              </w:rPr>
              <w:t>炉排污用于锅炉房及灰渣的洒水降尘，不外排。</w:t>
            </w:r>
          </w:p>
          <w:p>
            <w:pPr>
              <w:pStyle w:val="72"/>
              <w:keepLines w:val="0"/>
              <w:pageBreakBefore w:val="0"/>
              <w:wordWrap/>
              <w:topLinePunct w:val="0"/>
              <w:bidi w:val="0"/>
              <w:spacing w:line="360" w:lineRule="auto"/>
              <w:ind w:firstLineChars="200"/>
              <w:outlineLvl w:val="9"/>
              <w:rPr>
                <w:kern w:val="0"/>
                <w:highlight w:val="none"/>
              </w:rPr>
            </w:pPr>
            <w:r>
              <w:rPr>
                <w:highlight w:val="none"/>
                <w:lang w:val="zh-CN"/>
              </w:rPr>
              <w:t>生产废水主要为生产设备清洗废水</w:t>
            </w:r>
            <w:r>
              <w:rPr>
                <w:highlight w:val="none"/>
              </w:rPr>
              <w:t>、玉米清洗废水、</w:t>
            </w:r>
            <w:r>
              <w:rPr>
                <w:rFonts w:hint="eastAsia"/>
                <w:highlight w:val="none"/>
              </w:rPr>
              <w:t>玉米蒸煮冷凝水</w:t>
            </w:r>
            <w:r>
              <w:rPr>
                <w:highlight w:val="none"/>
              </w:rPr>
              <w:t>。其中生产设备清洗废水量按照用水量90%计算，设备清洗废水量为</w:t>
            </w:r>
            <w:r>
              <w:rPr>
                <w:kern w:val="0"/>
                <w:highlight w:val="none"/>
              </w:rPr>
              <w:t>14.4t/a</w:t>
            </w:r>
            <w:r>
              <w:rPr>
                <w:highlight w:val="none"/>
              </w:rPr>
              <w:t>；玉米清洗水循环使用，大部分被玉米带走，根据损耗程度及时补水，水槽中的水每天排放一次，</w:t>
            </w:r>
            <w:r>
              <w:rPr>
                <w:rFonts w:hint="eastAsia"/>
                <w:highlight w:val="none"/>
              </w:rPr>
              <w:t>鲜食</w:t>
            </w:r>
            <w:r>
              <w:rPr>
                <w:highlight w:val="none"/>
              </w:rPr>
              <w:t>玉米生产线清洗废水排放量约</w:t>
            </w:r>
            <w:r>
              <w:rPr>
                <w:rFonts w:hint="eastAsia"/>
                <w:highlight w:val="none"/>
              </w:rPr>
              <w:t>1</w:t>
            </w:r>
            <w:r>
              <w:rPr>
                <w:highlight w:val="none"/>
              </w:rPr>
              <w:t>t/d，</w:t>
            </w:r>
            <w:r>
              <w:rPr>
                <w:rFonts w:hint="eastAsia"/>
                <w:highlight w:val="none"/>
              </w:rPr>
              <w:t>120</w:t>
            </w:r>
            <w:r>
              <w:rPr>
                <w:highlight w:val="none"/>
              </w:rPr>
              <w:t>t/a；由于玉米</w:t>
            </w:r>
            <w:r>
              <w:rPr>
                <w:rFonts w:hint="eastAsia"/>
                <w:highlight w:val="none"/>
              </w:rPr>
              <w:t>蒸煮</w:t>
            </w:r>
            <w:r>
              <w:rPr>
                <w:highlight w:val="none"/>
              </w:rPr>
              <w:t>工序是使用高温蒸汽直接与玉米接触使玉米快速变熟，玉米和设备与冷空气接触产生冷凝水，类比</w:t>
            </w:r>
            <w:r>
              <w:rPr>
                <w:rStyle w:val="125"/>
                <w:highlight w:val="none"/>
              </w:rPr>
              <w:t>《</w:t>
            </w:r>
            <w:r>
              <w:rPr>
                <w:kern w:val="0"/>
                <w:highlight w:val="none"/>
              </w:rPr>
              <w:t>《青冈县万德福粘玉米种植专业合作社速冻粘玉米加工项目竣工环境保护验收监测报告》</w:t>
            </w:r>
            <w:r>
              <w:rPr>
                <w:highlight w:val="none"/>
              </w:rPr>
              <w:t>，</w:t>
            </w:r>
            <w:r>
              <w:rPr>
                <w:rFonts w:hint="eastAsia"/>
                <w:highlight w:val="none"/>
              </w:rPr>
              <w:t>蒸煮</w:t>
            </w:r>
            <w:r>
              <w:rPr>
                <w:highlight w:val="none"/>
              </w:rPr>
              <w:t>冷凝水产生量为</w:t>
            </w:r>
            <w:r>
              <w:rPr>
                <w:rFonts w:hint="eastAsia"/>
                <w:highlight w:val="none"/>
              </w:rPr>
              <w:t>0.73</w:t>
            </w:r>
            <w:r>
              <w:rPr>
                <w:highlight w:val="none"/>
              </w:rPr>
              <w:t>t/d，</w:t>
            </w:r>
            <w:r>
              <w:rPr>
                <w:rFonts w:hint="eastAsia"/>
                <w:highlight w:val="none"/>
              </w:rPr>
              <w:t>88</w:t>
            </w:r>
            <w:r>
              <w:rPr>
                <w:highlight w:val="none"/>
              </w:rPr>
              <w:t>t/a；</w:t>
            </w:r>
            <w:r>
              <w:rPr>
                <w:kern w:val="0"/>
                <w:highlight w:val="none"/>
              </w:rPr>
              <w:t>本项目生产废水和生活污水排入厂区新建</w:t>
            </w:r>
            <w:r>
              <w:rPr>
                <w:rFonts w:hint="eastAsia"/>
                <w:kern w:val="0"/>
                <w:highlight w:val="none"/>
              </w:rPr>
              <w:t>4</w:t>
            </w:r>
            <w:r>
              <w:rPr>
                <w:kern w:val="0"/>
                <w:highlight w:val="none"/>
              </w:rPr>
              <w:t>m×2.5m×2m双层防渗污水储池，总容积为</w:t>
            </w:r>
            <w:r>
              <w:rPr>
                <w:rFonts w:hint="eastAsia"/>
                <w:kern w:val="0"/>
                <w:highlight w:val="none"/>
              </w:rPr>
              <w:t>2</w:t>
            </w:r>
            <w:r>
              <w:rPr>
                <w:kern w:val="0"/>
                <w:highlight w:val="none"/>
              </w:rPr>
              <w:t>0m</w:t>
            </w:r>
            <w:r>
              <w:rPr>
                <w:kern w:val="0"/>
                <w:highlight w:val="none"/>
                <w:vertAlign w:val="superscript"/>
              </w:rPr>
              <w:t>3</w:t>
            </w:r>
            <w:r>
              <w:rPr>
                <w:kern w:val="0"/>
                <w:highlight w:val="none"/>
              </w:rPr>
              <w:t>，</w:t>
            </w:r>
            <w:r>
              <w:rPr>
                <w:rFonts w:hint="eastAsia"/>
                <w:kern w:val="0"/>
                <w:highlight w:val="none"/>
              </w:rPr>
              <w:t>5</w:t>
            </w:r>
            <w:r>
              <w:rPr>
                <w:kern w:val="0"/>
                <w:highlight w:val="none"/>
              </w:rPr>
              <w:t>天清掏一次，清掏的废水由专用车辆外运至</w:t>
            </w:r>
            <w:r>
              <w:rPr>
                <w:rFonts w:hint="eastAsia"/>
                <w:kern w:val="0"/>
                <w:highlight w:val="none"/>
              </w:rPr>
              <w:t>四方台区污水处理厂处理</w:t>
            </w:r>
            <w:r>
              <w:rPr>
                <w:highlight w:val="none"/>
              </w:rPr>
              <w:t>。</w:t>
            </w:r>
          </w:p>
          <w:p>
            <w:pPr>
              <w:keepLines w:val="0"/>
              <w:pageBreakBefore w:val="0"/>
              <w:widowControl/>
              <w:wordWrap/>
              <w:topLinePunct w:val="0"/>
              <w:bidi w:val="0"/>
              <w:spacing w:line="360" w:lineRule="auto"/>
              <w:ind w:firstLine="480"/>
              <w:outlineLvl w:val="9"/>
              <w:rPr>
                <w:kern w:val="0"/>
                <w:sz w:val="24"/>
                <w:highlight w:val="none"/>
              </w:rPr>
            </w:pPr>
            <w:r>
              <w:rPr>
                <w:kern w:val="0"/>
                <w:sz w:val="24"/>
                <w:highlight w:val="none"/>
              </w:rPr>
              <w:t>本项目污水水质参考《青冈县万德福粘玉米种植专业合作社速冻粘玉米加工项目竣工环境保护验收监测报告》水质。本项目类比青冈县万德福粘玉米种植专业合作社速冻粘玉米加工项目的原因：一是青冈县万德福粘玉米种植专业合作社速冻粘玉米速冻项目的生产线与本项目新建玉米冷冻生产线相同，加工的原料及产品也相同；二是青冈县万德福粘玉米种植专业合作社速冻粘玉米加工项目加工生产工艺与本项目生产加工工艺相同，均为将成熟玉米采收后进行剥皮、检验、清洗、</w:t>
            </w:r>
            <w:r>
              <w:rPr>
                <w:rFonts w:hint="eastAsia"/>
                <w:kern w:val="0"/>
                <w:sz w:val="24"/>
                <w:highlight w:val="none"/>
              </w:rPr>
              <w:t>蒸煮</w:t>
            </w:r>
            <w:r>
              <w:rPr>
                <w:kern w:val="0"/>
                <w:sz w:val="24"/>
                <w:highlight w:val="none"/>
              </w:rPr>
              <w:t>、冷却、修整、速冻这些工序，进行玉米加工。三是青冈县万德福粘玉米种植专业合作社速冻粘玉米加工项目与本项目处理废水的方式相同。青冈县万德福粘玉米种植专业合作社速冻粘玉米加工项目产生的生活污水和生产废水处理方式为废水排入废水沉淀池，定期由专用车辆清掏外运至排水管网处倾倒。本项目生产废水和生活污水排入厂区新建</w:t>
            </w:r>
            <w:r>
              <w:rPr>
                <w:rFonts w:hint="eastAsia"/>
                <w:kern w:val="0"/>
                <w:sz w:val="24"/>
                <w:highlight w:val="none"/>
              </w:rPr>
              <w:t>4</w:t>
            </w:r>
            <w:r>
              <w:rPr>
                <w:kern w:val="0"/>
                <w:sz w:val="24"/>
                <w:highlight w:val="none"/>
              </w:rPr>
              <w:t>m×2.5m×2m双层防渗污水储池，总容积为</w:t>
            </w:r>
            <w:r>
              <w:rPr>
                <w:rFonts w:hint="eastAsia"/>
                <w:kern w:val="0"/>
                <w:sz w:val="24"/>
                <w:highlight w:val="none"/>
              </w:rPr>
              <w:t>2</w:t>
            </w:r>
            <w:r>
              <w:rPr>
                <w:kern w:val="0"/>
                <w:sz w:val="24"/>
                <w:highlight w:val="none"/>
              </w:rPr>
              <w:t>0m</w:t>
            </w:r>
            <w:r>
              <w:rPr>
                <w:kern w:val="0"/>
                <w:sz w:val="24"/>
                <w:highlight w:val="none"/>
                <w:vertAlign w:val="superscript"/>
              </w:rPr>
              <w:t>3</w:t>
            </w:r>
            <w:r>
              <w:rPr>
                <w:kern w:val="0"/>
                <w:sz w:val="24"/>
                <w:highlight w:val="none"/>
              </w:rPr>
              <w:t>，</w:t>
            </w:r>
            <w:r>
              <w:rPr>
                <w:rFonts w:hint="eastAsia"/>
                <w:kern w:val="0"/>
                <w:sz w:val="24"/>
                <w:highlight w:val="none"/>
              </w:rPr>
              <w:t>5</w:t>
            </w:r>
            <w:r>
              <w:rPr>
                <w:kern w:val="0"/>
                <w:sz w:val="24"/>
                <w:highlight w:val="none"/>
              </w:rPr>
              <w:t>天清掏一次，清掏的废水由专用车辆外运至</w:t>
            </w:r>
            <w:r>
              <w:rPr>
                <w:rFonts w:hint="eastAsia"/>
                <w:kern w:val="0"/>
                <w:sz w:val="24"/>
                <w:highlight w:val="none"/>
              </w:rPr>
              <w:t>四方台区污水处理厂处理</w:t>
            </w:r>
            <w:r>
              <w:rPr>
                <w:kern w:val="0"/>
                <w:sz w:val="24"/>
                <w:highlight w:val="none"/>
              </w:rPr>
              <w:t>；所以本项目废水水质参考青冈县万德福粘玉米种植专业合作社速冻粘玉米加工项目是可行的。根据《青冈县万德福粘玉米种植专业合作社速冻粘玉米加工项目竣工环境保护验收监测报告》得知，废水水质为：COD浓度为235mg/L、SS浓度为125mg/L、氨氮浓度为20.6mg/L；同时参照《西平金三麦食品有限公司年产2万吨速冻食品生产线项目竣工环境保护验收监测报告》水质，其生产产品及工艺与本项目相似，污水总排口污染物浓度为：COD浓度为224mg/L、SS浓度为150mg/L、氨氮浓度为23.23mg/L。两个项目验收监测报告中污水水质基本相同，故类比可行。</w:t>
            </w:r>
          </w:p>
          <w:p>
            <w:pPr>
              <w:keepLines w:val="0"/>
              <w:pageBreakBefore w:val="0"/>
              <w:wordWrap/>
              <w:topLinePunct w:val="0"/>
              <w:bidi w:val="0"/>
              <w:spacing w:line="360" w:lineRule="auto"/>
              <w:ind w:firstLine="480" w:firstLineChars="200"/>
              <w:outlineLvl w:val="9"/>
              <w:rPr>
                <w:kern w:val="0"/>
                <w:sz w:val="24"/>
                <w:highlight w:val="none"/>
              </w:rPr>
            </w:pPr>
            <w:r>
              <w:rPr>
                <w:kern w:val="0"/>
                <w:sz w:val="24"/>
                <w:highlight w:val="none"/>
              </w:rPr>
              <w:t>因此本项目废水水质及污染物排放量为：COD浓度为235mg/L，</w:t>
            </w:r>
            <w:r>
              <w:rPr>
                <w:rFonts w:hint="eastAsia"/>
                <w:kern w:val="0"/>
                <w:sz w:val="24"/>
                <w:highlight w:val="none"/>
              </w:rPr>
              <w:t>0.08</w:t>
            </w:r>
            <w:r>
              <w:rPr>
                <w:kern w:val="0"/>
                <w:sz w:val="24"/>
                <w:highlight w:val="none"/>
              </w:rPr>
              <w:t>t/a，氨氮浓度为20.6mg/L，0.00</w:t>
            </w:r>
            <w:r>
              <w:rPr>
                <w:rFonts w:hint="eastAsia"/>
                <w:kern w:val="0"/>
                <w:sz w:val="24"/>
                <w:highlight w:val="none"/>
              </w:rPr>
              <w:t>7</w:t>
            </w:r>
            <w:r>
              <w:rPr>
                <w:kern w:val="0"/>
                <w:sz w:val="24"/>
                <w:highlight w:val="none"/>
              </w:rPr>
              <w:t>t/a，废水水质满足</w:t>
            </w:r>
            <w:r>
              <w:rPr>
                <w:sz w:val="24"/>
                <w:highlight w:val="none"/>
              </w:rPr>
              <w:t>《污水综合排放标准》（GB8978-1996）表4中三级标准</w:t>
            </w:r>
            <w:r>
              <w:rPr>
                <w:rFonts w:hint="eastAsia"/>
                <w:sz w:val="24"/>
                <w:highlight w:val="none"/>
              </w:rPr>
              <w:t>限值要求</w:t>
            </w:r>
            <w:r>
              <w:rPr>
                <w:kern w:val="0"/>
                <w:sz w:val="24"/>
                <w:highlight w:val="none"/>
              </w:rPr>
              <w:t>，生活污水、生产设备清洗废水、玉米</w:t>
            </w:r>
            <w:r>
              <w:rPr>
                <w:rFonts w:hint="eastAsia"/>
                <w:kern w:val="0"/>
                <w:sz w:val="24"/>
                <w:highlight w:val="none"/>
              </w:rPr>
              <w:t>蒸煮</w:t>
            </w:r>
            <w:r>
              <w:rPr>
                <w:kern w:val="0"/>
                <w:sz w:val="24"/>
                <w:highlight w:val="none"/>
              </w:rPr>
              <w:t>冷凝水、玉米清洗废水排入厂区新建4m×2.5m×2m，总容积为20m</w:t>
            </w:r>
            <w:r>
              <w:rPr>
                <w:kern w:val="0"/>
                <w:sz w:val="24"/>
                <w:highlight w:val="none"/>
                <w:vertAlign w:val="superscript"/>
              </w:rPr>
              <w:t>3</w:t>
            </w:r>
            <w:r>
              <w:rPr>
                <w:kern w:val="0"/>
                <w:sz w:val="24"/>
                <w:highlight w:val="none"/>
              </w:rPr>
              <w:t>的双层防渗污水储池，清掏周期为</w:t>
            </w:r>
            <w:r>
              <w:rPr>
                <w:rFonts w:hint="eastAsia"/>
                <w:kern w:val="0"/>
                <w:sz w:val="24"/>
                <w:highlight w:val="none"/>
              </w:rPr>
              <w:t>5天</w:t>
            </w:r>
            <w:r>
              <w:rPr>
                <w:kern w:val="0"/>
                <w:sz w:val="24"/>
                <w:highlight w:val="none"/>
              </w:rPr>
              <w:t>一次，废水由专用车辆外运至</w:t>
            </w:r>
            <w:r>
              <w:rPr>
                <w:rFonts w:hint="eastAsia"/>
                <w:bCs/>
                <w:sz w:val="24"/>
                <w:highlight w:val="none"/>
                <w:lang w:eastAsia="zh-CN"/>
              </w:rPr>
              <w:t>双鸭山市四洁水处理有限责任公司（四洁污水处理厂）</w:t>
            </w:r>
            <w:r>
              <w:rPr>
                <w:rFonts w:hint="eastAsia"/>
                <w:sz w:val="24"/>
                <w:highlight w:val="none"/>
              </w:rPr>
              <w:t>处理</w:t>
            </w:r>
            <w:r>
              <w:rPr>
                <w:rFonts w:hint="eastAsia"/>
                <w:kern w:val="0"/>
                <w:sz w:val="24"/>
                <w:highlight w:val="none"/>
              </w:rPr>
              <w:t>。</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本项目</w:t>
            </w:r>
            <w:r>
              <w:rPr>
                <w:rFonts w:hint="eastAsia"/>
                <w:bCs/>
                <w:sz w:val="24"/>
                <w:highlight w:val="none"/>
              </w:rPr>
              <w:t>废</w:t>
            </w:r>
            <w:r>
              <w:rPr>
                <w:bCs/>
                <w:sz w:val="24"/>
                <w:highlight w:val="none"/>
              </w:rPr>
              <w:t>水污染物产生情况见下表4-1。</w:t>
            </w:r>
          </w:p>
          <w:p>
            <w:pPr>
              <w:pStyle w:val="91"/>
              <w:keepLines w:val="0"/>
              <w:pageBreakBefore w:val="0"/>
              <w:wordWrap/>
              <w:topLinePunct w:val="0"/>
              <w:bidi w:val="0"/>
              <w:adjustRightInd w:val="0"/>
              <w:snapToGrid w:val="0"/>
              <w:spacing w:line="240" w:lineRule="auto"/>
              <w:outlineLvl w:val="9"/>
              <w:rPr>
                <w:rFonts w:eastAsia="宋体"/>
                <w:b/>
                <w:bCs/>
                <w:sz w:val="21"/>
                <w:szCs w:val="21"/>
                <w:highlight w:val="none"/>
              </w:rPr>
            </w:pPr>
            <w:r>
              <w:rPr>
                <w:rFonts w:eastAsia="宋体"/>
                <w:b/>
                <w:bCs/>
                <w:sz w:val="21"/>
                <w:szCs w:val="21"/>
                <w:highlight w:val="none"/>
              </w:rPr>
              <w:t>表4-1</w:t>
            </w:r>
            <w:r>
              <w:rPr>
                <w:rFonts w:hint="eastAsia" w:eastAsia="宋体"/>
                <w:b/>
                <w:bCs/>
                <w:sz w:val="21"/>
                <w:szCs w:val="21"/>
                <w:highlight w:val="none"/>
              </w:rPr>
              <w:t>废水污染源源强核算结果及相关参数一览表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32"/>
              <w:gridCol w:w="785"/>
              <w:gridCol w:w="585"/>
              <w:gridCol w:w="651"/>
              <w:gridCol w:w="717"/>
              <w:gridCol w:w="692"/>
              <w:gridCol w:w="1179"/>
              <w:gridCol w:w="398"/>
              <w:gridCol w:w="558"/>
              <w:gridCol w:w="605"/>
              <w:gridCol w:w="891"/>
              <w:gridCol w:w="640"/>
              <w:gridCol w:w="56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jc w:val="center"/>
              </w:trPr>
              <w:tc>
                <w:tcPr>
                  <w:tcW w:w="248" w:type="pct"/>
                  <w:vMerge w:val="restart"/>
                  <w:vAlign w:val="center"/>
                </w:tcPr>
                <w:p>
                  <w:pPr>
                    <w:pStyle w:val="71"/>
                    <w:keepLines w:val="0"/>
                    <w:pageBreakBefore w:val="0"/>
                    <w:wordWrap/>
                    <w:topLinePunct w:val="0"/>
                    <w:bidi w:val="0"/>
                    <w:adjustRightInd w:val="0"/>
                    <w:snapToGrid w:val="0"/>
                    <w:outlineLvl w:val="9"/>
                    <w:rPr>
                      <w:sz w:val="21"/>
                      <w:szCs w:val="21"/>
                      <w:highlight w:val="none"/>
                    </w:rPr>
                  </w:pPr>
                  <w:bookmarkStart w:id="51" w:name="_Hlk523068116"/>
                  <w:r>
                    <w:rPr>
                      <w:sz w:val="21"/>
                      <w:szCs w:val="21"/>
                      <w:highlight w:val="none"/>
                    </w:rPr>
                    <w:t>污染源</w:t>
                  </w:r>
                </w:p>
              </w:tc>
              <w:tc>
                <w:tcPr>
                  <w:tcW w:w="451" w:type="pct"/>
                  <w:vMerge w:val="restar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污染物</w:t>
                  </w:r>
                </w:p>
              </w:tc>
              <w:tc>
                <w:tcPr>
                  <w:tcW w:w="1520" w:type="pct"/>
                  <w:gridSpan w:val="4"/>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污染物产生</w:t>
                  </w:r>
                </w:p>
              </w:tc>
              <w:tc>
                <w:tcPr>
                  <w:tcW w:w="907" w:type="pct"/>
                  <w:gridSpan w:val="2"/>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治理措施</w:t>
                  </w:r>
                </w:p>
              </w:tc>
              <w:tc>
                <w:tcPr>
                  <w:tcW w:w="1549" w:type="pct"/>
                  <w:gridSpan w:val="4"/>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污染物排放</w:t>
                  </w:r>
                </w:p>
              </w:tc>
              <w:tc>
                <w:tcPr>
                  <w:tcW w:w="325" w:type="pct"/>
                  <w:vMerge w:val="restar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排放时间/h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jc w:val="center"/>
              </w:trPr>
              <w:tc>
                <w:tcPr>
                  <w:tcW w:w="248" w:type="pct"/>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451" w:type="pct"/>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336"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核算方法</w:t>
                  </w:r>
                </w:p>
              </w:tc>
              <w:tc>
                <w:tcPr>
                  <w:tcW w:w="374"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产生废水/t/a</w:t>
                  </w:r>
                </w:p>
              </w:tc>
              <w:tc>
                <w:tcPr>
                  <w:tcW w:w="412"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产生浓度/mg/L</w:t>
                  </w:r>
                </w:p>
              </w:tc>
              <w:tc>
                <w:tcPr>
                  <w:tcW w:w="398"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产生量/t/a</w:t>
                  </w:r>
                </w:p>
              </w:tc>
              <w:tc>
                <w:tcPr>
                  <w:tcW w:w="678"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工艺</w:t>
                  </w:r>
                </w:p>
              </w:tc>
              <w:tc>
                <w:tcPr>
                  <w:tcW w:w="229"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效率%</w:t>
                  </w:r>
                </w:p>
              </w:tc>
              <w:tc>
                <w:tcPr>
                  <w:tcW w:w="321"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核算方法</w:t>
                  </w:r>
                </w:p>
              </w:tc>
              <w:tc>
                <w:tcPr>
                  <w:tcW w:w="348"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排放废水/t/a</w:t>
                  </w:r>
                </w:p>
              </w:tc>
              <w:tc>
                <w:tcPr>
                  <w:tcW w:w="512"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排放浓度/mg/L</w:t>
                  </w:r>
                </w:p>
              </w:tc>
              <w:tc>
                <w:tcPr>
                  <w:tcW w:w="368"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排放量/t/a</w:t>
                  </w:r>
                </w:p>
              </w:tc>
              <w:tc>
                <w:tcPr>
                  <w:tcW w:w="325" w:type="pct"/>
                  <w:vMerge w:val="continue"/>
                  <w:vAlign w:val="center"/>
                </w:tcPr>
                <w:p>
                  <w:pPr>
                    <w:pStyle w:val="71"/>
                    <w:keepLines w:val="0"/>
                    <w:pageBreakBefore w:val="0"/>
                    <w:wordWrap/>
                    <w:topLinePunct w:val="0"/>
                    <w:bidi w:val="0"/>
                    <w:adjustRightInd w:val="0"/>
                    <w:snapToGrid w:val="0"/>
                    <w:outlineLvl w:val="9"/>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09" w:hRule="atLeast"/>
                <w:jc w:val="center"/>
              </w:trPr>
              <w:tc>
                <w:tcPr>
                  <w:tcW w:w="248" w:type="pct"/>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混合废水</w:t>
                  </w:r>
                </w:p>
              </w:tc>
              <w:tc>
                <w:tcPr>
                  <w:tcW w:w="451"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COD</w:t>
                  </w:r>
                </w:p>
              </w:tc>
              <w:tc>
                <w:tcPr>
                  <w:tcW w:w="336" w:type="pct"/>
                  <w:vMerge w:val="restart"/>
                  <w:vAlign w:val="center"/>
                </w:tcPr>
                <w:p>
                  <w:pPr>
                    <w:pStyle w:val="71"/>
                    <w:keepLines w:val="0"/>
                    <w:pageBreakBefore w:val="0"/>
                    <w:wordWrap/>
                    <w:topLinePunct w:val="0"/>
                    <w:bidi w:val="0"/>
                    <w:adjustRightInd w:val="0"/>
                    <w:snapToGrid w:val="0"/>
                    <w:outlineLvl w:val="9"/>
                    <w:rPr>
                      <w:sz w:val="21"/>
                      <w:szCs w:val="21"/>
                      <w:highlight w:val="none"/>
                    </w:rPr>
                  </w:pPr>
                  <w:r>
                    <w:rPr>
                      <w:szCs w:val="21"/>
                      <w:highlight w:val="none"/>
                    </w:rPr>
                    <w:t>类比法</w:t>
                  </w:r>
                </w:p>
              </w:tc>
              <w:tc>
                <w:tcPr>
                  <w:tcW w:w="374" w:type="pct"/>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337.6</w:t>
                  </w:r>
                </w:p>
              </w:tc>
              <w:tc>
                <w:tcPr>
                  <w:tcW w:w="412" w:type="pc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235 </w:t>
                  </w:r>
                </w:p>
              </w:tc>
              <w:tc>
                <w:tcPr>
                  <w:tcW w:w="398" w:type="pc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0.08 </w:t>
                  </w:r>
                </w:p>
              </w:tc>
              <w:tc>
                <w:tcPr>
                  <w:tcW w:w="678" w:type="pct"/>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bCs/>
                      <w:sz w:val="21"/>
                      <w:szCs w:val="21"/>
                      <w:highlight w:val="none"/>
                    </w:rPr>
                    <w:t>储池</w:t>
                  </w:r>
                </w:p>
              </w:tc>
              <w:tc>
                <w:tcPr>
                  <w:tcW w:w="229"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w:t>
                  </w:r>
                </w:p>
              </w:tc>
              <w:tc>
                <w:tcPr>
                  <w:tcW w:w="321" w:type="pct"/>
                  <w:vMerge w:val="restart"/>
                  <w:vAlign w:val="center"/>
                </w:tcPr>
                <w:p>
                  <w:pPr>
                    <w:keepLines w:val="0"/>
                    <w:pageBreakBefore w:val="0"/>
                    <w:wordWrap/>
                    <w:topLinePunct w:val="0"/>
                    <w:bidi w:val="0"/>
                    <w:adjustRightInd w:val="0"/>
                    <w:snapToGrid w:val="0"/>
                    <w:jc w:val="center"/>
                    <w:outlineLvl w:val="9"/>
                    <w:rPr>
                      <w:szCs w:val="21"/>
                      <w:highlight w:val="none"/>
                    </w:rPr>
                  </w:pPr>
                  <w:r>
                    <w:rPr>
                      <w:szCs w:val="21"/>
                      <w:highlight w:val="none"/>
                    </w:rPr>
                    <w:t>类比法</w:t>
                  </w:r>
                </w:p>
              </w:tc>
              <w:tc>
                <w:tcPr>
                  <w:tcW w:w="605" w:type="dxa"/>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337.6</w:t>
                  </w:r>
                </w:p>
              </w:tc>
              <w:tc>
                <w:tcPr>
                  <w:tcW w:w="891" w:type="dxa"/>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235 </w:t>
                  </w:r>
                </w:p>
              </w:tc>
              <w:tc>
                <w:tcPr>
                  <w:tcW w:w="640" w:type="dxa"/>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0.08 </w:t>
                  </w:r>
                </w:p>
              </w:tc>
              <w:tc>
                <w:tcPr>
                  <w:tcW w:w="325" w:type="pct"/>
                  <w:vMerge w:val="restart"/>
                  <w:vAlign w:val="center"/>
                </w:tcPr>
                <w:p>
                  <w:pPr>
                    <w:pStyle w:val="93"/>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248" w:type="pct"/>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451"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NH</w:t>
                  </w:r>
                  <w:r>
                    <w:rPr>
                      <w:sz w:val="21"/>
                      <w:szCs w:val="21"/>
                      <w:highlight w:val="none"/>
                      <w:vertAlign w:val="subscript"/>
                    </w:rPr>
                    <w:t>3</w:t>
                  </w:r>
                  <w:r>
                    <w:rPr>
                      <w:sz w:val="21"/>
                      <w:szCs w:val="21"/>
                      <w:highlight w:val="none"/>
                    </w:rPr>
                    <w:t>-N</w:t>
                  </w:r>
                </w:p>
              </w:tc>
              <w:tc>
                <w:tcPr>
                  <w:tcW w:w="336" w:type="pct"/>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374" w:type="pct"/>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412" w:type="pc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20.6 </w:t>
                  </w:r>
                </w:p>
              </w:tc>
              <w:tc>
                <w:tcPr>
                  <w:tcW w:w="398" w:type="pc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0.007 </w:t>
                  </w:r>
                </w:p>
              </w:tc>
              <w:tc>
                <w:tcPr>
                  <w:tcW w:w="678" w:type="pct"/>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229" w:type="pc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w:t>
                  </w:r>
                </w:p>
              </w:tc>
              <w:tc>
                <w:tcPr>
                  <w:tcW w:w="321" w:type="pct"/>
                  <w:vMerge w:val="continue"/>
                  <w:vAlign w:val="center"/>
                </w:tcPr>
                <w:p>
                  <w:pPr>
                    <w:keepLines w:val="0"/>
                    <w:pageBreakBefore w:val="0"/>
                    <w:wordWrap/>
                    <w:topLinePunct w:val="0"/>
                    <w:bidi w:val="0"/>
                    <w:adjustRightInd w:val="0"/>
                    <w:snapToGrid w:val="0"/>
                    <w:jc w:val="center"/>
                    <w:outlineLvl w:val="9"/>
                    <w:rPr>
                      <w:szCs w:val="21"/>
                      <w:highlight w:val="none"/>
                    </w:rPr>
                  </w:pPr>
                </w:p>
              </w:tc>
              <w:tc>
                <w:tcPr>
                  <w:tcW w:w="605"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891" w:type="dxa"/>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20.6 </w:t>
                  </w:r>
                </w:p>
              </w:tc>
              <w:tc>
                <w:tcPr>
                  <w:tcW w:w="640" w:type="dxa"/>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0.007 </w:t>
                  </w:r>
                </w:p>
              </w:tc>
              <w:tc>
                <w:tcPr>
                  <w:tcW w:w="325" w:type="pct"/>
                  <w:vMerge w:val="continue"/>
                  <w:vAlign w:val="center"/>
                </w:tcPr>
                <w:p>
                  <w:pPr>
                    <w:pStyle w:val="93"/>
                    <w:keepLines w:val="0"/>
                    <w:pageBreakBefore w:val="0"/>
                    <w:wordWrap/>
                    <w:topLinePunct w:val="0"/>
                    <w:bidi w:val="0"/>
                    <w:adjustRightInd w:val="0"/>
                    <w:snapToGrid w:val="0"/>
                    <w:outlineLvl w:val="9"/>
                    <w:rPr>
                      <w:sz w:val="21"/>
                      <w:szCs w:val="21"/>
                      <w:highlight w:val="none"/>
                    </w:rPr>
                  </w:pPr>
                </w:p>
              </w:tc>
            </w:tr>
            <w:bookmarkEnd w:id="51"/>
          </w:tbl>
          <w:p>
            <w:pPr>
              <w:keepLines w:val="0"/>
              <w:pageBreakBefore w:val="0"/>
              <w:wordWrap/>
              <w:topLinePunct w:val="0"/>
              <w:bidi w:val="0"/>
              <w:spacing w:line="360" w:lineRule="auto"/>
              <w:ind w:firstLine="480" w:firstLineChars="200"/>
              <w:outlineLvl w:val="9"/>
              <w:rPr>
                <w:bCs/>
                <w:sz w:val="24"/>
                <w:highlight w:val="none"/>
              </w:rPr>
            </w:pPr>
            <w:r>
              <w:rPr>
                <w:sz w:val="24"/>
                <w:highlight w:val="none"/>
              </w:rPr>
              <w:t>本项目废水污染物及污染治理设施情况见下表。</w:t>
            </w:r>
          </w:p>
          <w:p>
            <w:pPr>
              <w:keepLines w:val="0"/>
              <w:pageBreakBefore w:val="0"/>
              <w:wordWrap/>
              <w:topLinePunct w:val="0"/>
              <w:bidi w:val="0"/>
              <w:jc w:val="center"/>
              <w:outlineLvl w:val="9"/>
              <w:rPr>
                <w:b/>
                <w:szCs w:val="21"/>
                <w:highlight w:val="none"/>
              </w:rPr>
            </w:pPr>
            <w:r>
              <w:rPr>
                <w:b/>
                <w:szCs w:val="21"/>
                <w:highlight w:val="none"/>
              </w:rPr>
              <w:t>表4-2废水类别、污染物及污染治理设施信息表</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62"/>
              <w:gridCol w:w="791"/>
              <w:gridCol w:w="892"/>
              <w:gridCol w:w="1156"/>
              <w:gridCol w:w="943"/>
              <w:gridCol w:w="755"/>
              <w:gridCol w:w="703"/>
              <w:gridCol w:w="1037"/>
              <w:gridCol w:w="398"/>
              <w:gridCol w:w="959"/>
              <w:gridCol w:w="6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2" w:hRule="atLeast"/>
              </w:trPr>
              <w:tc>
                <w:tcPr>
                  <w:tcW w:w="265" w:type="pct"/>
                  <w:vMerge w:val="restart"/>
                  <w:vAlign w:val="center"/>
                </w:tcPr>
                <w:p>
                  <w:pPr>
                    <w:pStyle w:val="60"/>
                    <w:keepLines w:val="0"/>
                    <w:pageBreakBefore w:val="0"/>
                    <w:wordWrap/>
                    <w:topLinePunct w:val="0"/>
                    <w:bidi w:val="0"/>
                    <w:outlineLvl w:val="9"/>
                    <w:rPr>
                      <w:highlight w:val="none"/>
                    </w:rPr>
                  </w:pPr>
                  <w:r>
                    <w:rPr>
                      <w:highlight w:val="none"/>
                    </w:rPr>
                    <w:t>序号</w:t>
                  </w:r>
                </w:p>
              </w:tc>
              <w:tc>
                <w:tcPr>
                  <w:tcW w:w="454" w:type="pct"/>
                  <w:vMerge w:val="restart"/>
                  <w:vAlign w:val="center"/>
                </w:tcPr>
                <w:p>
                  <w:pPr>
                    <w:pStyle w:val="60"/>
                    <w:keepLines w:val="0"/>
                    <w:pageBreakBefore w:val="0"/>
                    <w:wordWrap/>
                    <w:topLinePunct w:val="0"/>
                    <w:bidi w:val="0"/>
                    <w:outlineLvl w:val="9"/>
                    <w:rPr>
                      <w:highlight w:val="none"/>
                    </w:rPr>
                  </w:pPr>
                  <w:r>
                    <w:rPr>
                      <w:highlight w:val="none"/>
                    </w:rPr>
                    <w:t>废水类别</w:t>
                  </w:r>
                </w:p>
              </w:tc>
              <w:tc>
                <w:tcPr>
                  <w:tcW w:w="512" w:type="pct"/>
                  <w:vMerge w:val="restart"/>
                  <w:vAlign w:val="center"/>
                </w:tcPr>
                <w:p>
                  <w:pPr>
                    <w:pStyle w:val="60"/>
                    <w:keepLines w:val="0"/>
                    <w:pageBreakBefore w:val="0"/>
                    <w:wordWrap/>
                    <w:topLinePunct w:val="0"/>
                    <w:bidi w:val="0"/>
                    <w:outlineLvl w:val="9"/>
                    <w:rPr>
                      <w:highlight w:val="none"/>
                    </w:rPr>
                  </w:pPr>
                  <w:r>
                    <w:rPr>
                      <w:highlight w:val="none"/>
                    </w:rPr>
                    <w:t>污染物种类</w:t>
                  </w:r>
                </w:p>
              </w:tc>
              <w:tc>
                <w:tcPr>
                  <w:tcW w:w="663" w:type="pct"/>
                  <w:vMerge w:val="restart"/>
                  <w:vAlign w:val="center"/>
                </w:tcPr>
                <w:p>
                  <w:pPr>
                    <w:pStyle w:val="60"/>
                    <w:keepLines w:val="0"/>
                    <w:pageBreakBefore w:val="0"/>
                    <w:wordWrap/>
                    <w:topLinePunct w:val="0"/>
                    <w:bidi w:val="0"/>
                    <w:outlineLvl w:val="9"/>
                    <w:rPr>
                      <w:highlight w:val="none"/>
                    </w:rPr>
                  </w:pPr>
                  <w:r>
                    <w:rPr>
                      <w:highlight w:val="none"/>
                    </w:rPr>
                    <w:t>排放去向</w:t>
                  </w:r>
                </w:p>
              </w:tc>
              <w:tc>
                <w:tcPr>
                  <w:tcW w:w="542" w:type="pct"/>
                  <w:vMerge w:val="restart"/>
                  <w:vAlign w:val="center"/>
                </w:tcPr>
                <w:p>
                  <w:pPr>
                    <w:pStyle w:val="60"/>
                    <w:keepLines w:val="0"/>
                    <w:pageBreakBefore w:val="0"/>
                    <w:wordWrap/>
                    <w:topLinePunct w:val="0"/>
                    <w:bidi w:val="0"/>
                    <w:outlineLvl w:val="9"/>
                    <w:rPr>
                      <w:highlight w:val="none"/>
                    </w:rPr>
                  </w:pPr>
                  <w:r>
                    <w:rPr>
                      <w:highlight w:val="none"/>
                    </w:rPr>
                    <w:t>排放规律</w:t>
                  </w:r>
                </w:p>
              </w:tc>
              <w:tc>
                <w:tcPr>
                  <w:tcW w:w="1434" w:type="pct"/>
                  <w:gridSpan w:val="3"/>
                  <w:vAlign w:val="center"/>
                </w:tcPr>
                <w:p>
                  <w:pPr>
                    <w:pStyle w:val="60"/>
                    <w:keepLines w:val="0"/>
                    <w:pageBreakBefore w:val="0"/>
                    <w:wordWrap/>
                    <w:topLinePunct w:val="0"/>
                    <w:bidi w:val="0"/>
                    <w:outlineLvl w:val="9"/>
                    <w:rPr>
                      <w:highlight w:val="none"/>
                    </w:rPr>
                  </w:pPr>
                  <w:r>
                    <w:rPr>
                      <w:highlight w:val="none"/>
                    </w:rPr>
                    <w:t>污染治理设施</w:t>
                  </w:r>
                </w:p>
              </w:tc>
              <w:tc>
                <w:tcPr>
                  <w:tcW w:w="229" w:type="pct"/>
                  <w:vMerge w:val="restart"/>
                  <w:vAlign w:val="center"/>
                </w:tcPr>
                <w:p>
                  <w:pPr>
                    <w:pStyle w:val="60"/>
                    <w:keepLines w:val="0"/>
                    <w:pageBreakBefore w:val="0"/>
                    <w:wordWrap/>
                    <w:topLinePunct w:val="0"/>
                    <w:bidi w:val="0"/>
                    <w:outlineLvl w:val="9"/>
                    <w:rPr>
                      <w:highlight w:val="none"/>
                    </w:rPr>
                  </w:pPr>
                  <w:r>
                    <w:rPr>
                      <w:highlight w:val="none"/>
                    </w:rPr>
                    <w:t>排放口编号</w:t>
                  </w:r>
                </w:p>
              </w:tc>
              <w:tc>
                <w:tcPr>
                  <w:tcW w:w="551" w:type="pct"/>
                  <w:vMerge w:val="restart"/>
                  <w:vAlign w:val="center"/>
                </w:tcPr>
                <w:p>
                  <w:pPr>
                    <w:pStyle w:val="60"/>
                    <w:keepLines w:val="0"/>
                    <w:pageBreakBefore w:val="0"/>
                    <w:wordWrap/>
                    <w:topLinePunct w:val="0"/>
                    <w:bidi w:val="0"/>
                    <w:outlineLvl w:val="9"/>
                    <w:rPr>
                      <w:highlight w:val="none"/>
                    </w:rPr>
                  </w:pPr>
                  <w:r>
                    <w:rPr>
                      <w:highlight w:val="none"/>
                    </w:rPr>
                    <w:t>排放口设置是否符合要求</w:t>
                  </w:r>
                </w:p>
              </w:tc>
              <w:tc>
                <w:tcPr>
                  <w:tcW w:w="346" w:type="pct"/>
                  <w:vMerge w:val="restart"/>
                  <w:vAlign w:val="center"/>
                </w:tcPr>
                <w:p>
                  <w:pPr>
                    <w:pStyle w:val="60"/>
                    <w:keepLines w:val="0"/>
                    <w:pageBreakBefore w:val="0"/>
                    <w:wordWrap/>
                    <w:topLinePunct w:val="0"/>
                    <w:bidi w:val="0"/>
                    <w:outlineLvl w:val="9"/>
                    <w:rPr>
                      <w:highlight w:val="none"/>
                    </w:rPr>
                  </w:pPr>
                  <w:r>
                    <w:rPr>
                      <w:highlight w:val="none"/>
                    </w:rPr>
                    <w:t>排放口类型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5" w:type="pct"/>
                  <w:vMerge w:val="continue"/>
                  <w:vAlign w:val="center"/>
                </w:tcPr>
                <w:p>
                  <w:pPr>
                    <w:pStyle w:val="60"/>
                    <w:keepLines w:val="0"/>
                    <w:pageBreakBefore w:val="0"/>
                    <w:wordWrap/>
                    <w:topLinePunct w:val="0"/>
                    <w:bidi w:val="0"/>
                    <w:outlineLvl w:val="9"/>
                    <w:rPr>
                      <w:highlight w:val="none"/>
                    </w:rPr>
                  </w:pPr>
                </w:p>
              </w:tc>
              <w:tc>
                <w:tcPr>
                  <w:tcW w:w="454" w:type="pct"/>
                  <w:vMerge w:val="continue"/>
                  <w:vAlign w:val="center"/>
                </w:tcPr>
                <w:p>
                  <w:pPr>
                    <w:pStyle w:val="60"/>
                    <w:keepLines w:val="0"/>
                    <w:pageBreakBefore w:val="0"/>
                    <w:wordWrap/>
                    <w:topLinePunct w:val="0"/>
                    <w:bidi w:val="0"/>
                    <w:outlineLvl w:val="9"/>
                    <w:rPr>
                      <w:highlight w:val="none"/>
                    </w:rPr>
                  </w:pPr>
                </w:p>
              </w:tc>
              <w:tc>
                <w:tcPr>
                  <w:tcW w:w="512" w:type="pct"/>
                  <w:vMerge w:val="continue"/>
                  <w:vAlign w:val="center"/>
                </w:tcPr>
                <w:p>
                  <w:pPr>
                    <w:pStyle w:val="60"/>
                    <w:keepLines w:val="0"/>
                    <w:pageBreakBefore w:val="0"/>
                    <w:wordWrap/>
                    <w:topLinePunct w:val="0"/>
                    <w:bidi w:val="0"/>
                    <w:outlineLvl w:val="9"/>
                    <w:rPr>
                      <w:highlight w:val="none"/>
                    </w:rPr>
                  </w:pPr>
                </w:p>
              </w:tc>
              <w:tc>
                <w:tcPr>
                  <w:tcW w:w="663" w:type="pct"/>
                  <w:vMerge w:val="continue"/>
                  <w:vAlign w:val="center"/>
                </w:tcPr>
                <w:p>
                  <w:pPr>
                    <w:pStyle w:val="60"/>
                    <w:keepLines w:val="0"/>
                    <w:pageBreakBefore w:val="0"/>
                    <w:wordWrap/>
                    <w:topLinePunct w:val="0"/>
                    <w:bidi w:val="0"/>
                    <w:outlineLvl w:val="9"/>
                    <w:rPr>
                      <w:highlight w:val="none"/>
                    </w:rPr>
                  </w:pPr>
                </w:p>
              </w:tc>
              <w:tc>
                <w:tcPr>
                  <w:tcW w:w="542" w:type="pct"/>
                  <w:vMerge w:val="continue"/>
                  <w:vAlign w:val="center"/>
                </w:tcPr>
                <w:p>
                  <w:pPr>
                    <w:pStyle w:val="60"/>
                    <w:keepLines w:val="0"/>
                    <w:pageBreakBefore w:val="0"/>
                    <w:wordWrap/>
                    <w:topLinePunct w:val="0"/>
                    <w:bidi w:val="0"/>
                    <w:outlineLvl w:val="9"/>
                    <w:rPr>
                      <w:highlight w:val="none"/>
                    </w:rPr>
                  </w:pPr>
                </w:p>
              </w:tc>
              <w:tc>
                <w:tcPr>
                  <w:tcW w:w="434" w:type="pct"/>
                  <w:vAlign w:val="center"/>
                </w:tcPr>
                <w:p>
                  <w:pPr>
                    <w:pStyle w:val="60"/>
                    <w:keepLines w:val="0"/>
                    <w:pageBreakBefore w:val="0"/>
                    <w:wordWrap/>
                    <w:topLinePunct w:val="0"/>
                    <w:bidi w:val="0"/>
                    <w:outlineLvl w:val="9"/>
                    <w:rPr>
                      <w:highlight w:val="none"/>
                    </w:rPr>
                  </w:pPr>
                  <w:r>
                    <w:rPr>
                      <w:highlight w:val="none"/>
                    </w:rPr>
                    <w:t>污染治理设施编号</w:t>
                  </w:r>
                </w:p>
              </w:tc>
              <w:tc>
                <w:tcPr>
                  <w:tcW w:w="404" w:type="pct"/>
                  <w:vAlign w:val="center"/>
                </w:tcPr>
                <w:p>
                  <w:pPr>
                    <w:pStyle w:val="60"/>
                    <w:keepLines w:val="0"/>
                    <w:pageBreakBefore w:val="0"/>
                    <w:wordWrap/>
                    <w:topLinePunct w:val="0"/>
                    <w:bidi w:val="0"/>
                    <w:outlineLvl w:val="9"/>
                    <w:rPr>
                      <w:highlight w:val="none"/>
                    </w:rPr>
                  </w:pPr>
                  <w:r>
                    <w:rPr>
                      <w:highlight w:val="none"/>
                    </w:rPr>
                    <w:t>污染治理设施名称</w:t>
                  </w:r>
                </w:p>
              </w:tc>
              <w:tc>
                <w:tcPr>
                  <w:tcW w:w="594" w:type="pct"/>
                  <w:vAlign w:val="center"/>
                </w:tcPr>
                <w:p>
                  <w:pPr>
                    <w:pStyle w:val="60"/>
                    <w:keepLines w:val="0"/>
                    <w:pageBreakBefore w:val="0"/>
                    <w:wordWrap/>
                    <w:topLinePunct w:val="0"/>
                    <w:bidi w:val="0"/>
                    <w:outlineLvl w:val="9"/>
                    <w:rPr>
                      <w:highlight w:val="none"/>
                    </w:rPr>
                  </w:pPr>
                  <w:r>
                    <w:rPr>
                      <w:highlight w:val="none"/>
                    </w:rPr>
                    <w:t>污染治理设施工艺</w:t>
                  </w:r>
                </w:p>
              </w:tc>
              <w:tc>
                <w:tcPr>
                  <w:tcW w:w="229" w:type="pct"/>
                  <w:vMerge w:val="continue"/>
                  <w:vAlign w:val="center"/>
                </w:tcPr>
                <w:p>
                  <w:pPr>
                    <w:pStyle w:val="60"/>
                    <w:keepLines w:val="0"/>
                    <w:pageBreakBefore w:val="0"/>
                    <w:wordWrap/>
                    <w:topLinePunct w:val="0"/>
                    <w:bidi w:val="0"/>
                    <w:outlineLvl w:val="9"/>
                    <w:rPr>
                      <w:highlight w:val="none"/>
                    </w:rPr>
                  </w:pPr>
                </w:p>
              </w:tc>
              <w:tc>
                <w:tcPr>
                  <w:tcW w:w="551" w:type="pct"/>
                  <w:vMerge w:val="continue"/>
                  <w:vAlign w:val="center"/>
                </w:tcPr>
                <w:p>
                  <w:pPr>
                    <w:pStyle w:val="60"/>
                    <w:keepLines w:val="0"/>
                    <w:pageBreakBefore w:val="0"/>
                    <w:wordWrap/>
                    <w:topLinePunct w:val="0"/>
                    <w:bidi w:val="0"/>
                    <w:outlineLvl w:val="9"/>
                    <w:rPr>
                      <w:highlight w:val="none"/>
                    </w:rPr>
                  </w:pPr>
                </w:p>
              </w:tc>
              <w:tc>
                <w:tcPr>
                  <w:tcW w:w="346" w:type="pct"/>
                  <w:vMerge w:val="continue"/>
                  <w:vAlign w:val="center"/>
                </w:tcPr>
                <w:p>
                  <w:pPr>
                    <w:pStyle w:val="60"/>
                    <w:keepLines w:val="0"/>
                    <w:pageBreakBefore w:val="0"/>
                    <w:wordWrap/>
                    <w:topLinePunct w:val="0"/>
                    <w:bidi w:val="0"/>
                    <w:outlineLvl w:val="9"/>
                    <w:rPr>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54" w:hRule="atLeast"/>
              </w:trPr>
              <w:tc>
                <w:tcPr>
                  <w:tcW w:w="265" w:type="pct"/>
                  <w:vAlign w:val="center"/>
                </w:tcPr>
                <w:p>
                  <w:pPr>
                    <w:pStyle w:val="60"/>
                    <w:keepLines w:val="0"/>
                    <w:pageBreakBefore w:val="0"/>
                    <w:wordWrap/>
                    <w:topLinePunct w:val="0"/>
                    <w:bidi w:val="0"/>
                    <w:outlineLvl w:val="9"/>
                    <w:rPr>
                      <w:highlight w:val="none"/>
                    </w:rPr>
                  </w:pPr>
                  <w:r>
                    <w:rPr>
                      <w:highlight w:val="none"/>
                    </w:rPr>
                    <w:t>1</w:t>
                  </w:r>
                </w:p>
              </w:tc>
              <w:tc>
                <w:tcPr>
                  <w:tcW w:w="454" w:type="pct"/>
                  <w:vAlign w:val="center"/>
                </w:tcPr>
                <w:p>
                  <w:pPr>
                    <w:pStyle w:val="60"/>
                    <w:keepLines w:val="0"/>
                    <w:pageBreakBefore w:val="0"/>
                    <w:wordWrap/>
                    <w:topLinePunct w:val="0"/>
                    <w:bidi w:val="0"/>
                    <w:outlineLvl w:val="9"/>
                    <w:rPr>
                      <w:highlight w:val="none"/>
                    </w:rPr>
                  </w:pPr>
                  <w:r>
                    <w:rPr>
                      <w:rFonts w:hint="eastAsia"/>
                      <w:szCs w:val="21"/>
                      <w:highlight w:val="none"/>
                    </w:rPr>
                    <w:t>混合废水</w:t>
                  </w:r>
                </w:p>
              </w:tc>
              <w:tc>
                <w:tcPr>
                  <w:tcW w:w="512" w:type="pct"/>
                  <w:vAlign w:val="center"/>
                </w:tcPr>
                <w:p>
                  <w:pPr>
                    <w:pStyle w:val="60"/>
                    <w:keepLines w:val="0"/>
                    <w:pageBreakBefore w:val="0"/>
                    <w:wordWrap/>
                    <w:topLinePunct w:val="0"/>
                    <w:bidi w:val="0"/>
                    <w:outlineLvl w:val="9"/>
                    <w:rPr>
                      <w:highlight w:val="none"/>
                    </w:rPr>
                  </w:pPr>
                  <w:r>
                    <w:rPr>
                      <w:highlight w:val="none"/>
                    </w:rPr>
                    <w:t>COD、氨氮</w:t>
                  </w:r>
                </w:p>
              </w:tc>
              <w:tc>
                <w:tcPr>
                  <w:tcW w:w="663" w:type="pct"/>
                  <w:vAlign w:val="center"/>
                </w:tcPr>
                <w:p>
                  <w:pPr>
                    <w:pStyle w:val="60"/>
                    <w:keepLines w:val="0"/>
                    <w:pageBreakBefore w:val="0"/>
                    <w:wordWrap/>
                    <w:topLinePunct w:val="0"/>
                    <w:bidi w:val="0"/>
                    <w:outlineLvl w:val="9"/>
                    <w:rPr>
                      <w:rFonts w:hint="eastAsia" w:eastAsia="宋体"/>
                      <w:highlight w:val="none"/>
                      <w:lang w:eastAsia="zh-CN"/>
                    </w:rPr>
                  </w:pPr>
                  <w:r>
                    <w:rPr>
                      <w:rFonts w:hint="eastAsia"/>
                      <w:highlight w:val="none"/>
                    </w:rPr>
                    <w:t>由罐车自行拉运排</w:t>
                  </w:r>
                  <w:r>
                    <w:rPr>
                      <w:rFonts w:hint="eastAsia"/>
                      <w:szCs w:val="21"/>
                      <w:highlight w:val="none"/>
                    </w:rPr>
                    <w:t>入</w:t>
                  </w:r>
                  <w:r>
                    <w:rPr>
                      <w:rFonts w:hint="eastAsia"/>
                      <w:bCs/>
                      <w:szCs w:val="21"/>
                      <w:highlight w:val="none"/>
                      <w:lang w:eastAsia="zh-CN"/>
                    </w:rPr>
                    <w:t>双鸭山市四洁水处理有限责任公司（四洁污水处理厂）</w:t>
                  </w:r>
                </w:p>
              </w:tc>
              <w:tc>
                <w:tcPr>
                  <w:tcW w:w="542" w:type="pct"/>
                  <w:vAlign w:val="center"/>
                </w:tcPr>
                <w:p>
                  <w:pPr>
                    <w:pStyle w:val="60"/>
                    <w:keepLines w:val="0"/>
                    <w:pageBreakBefore w:val="0"/>
                    <w:wordWrap/>
                    <w:topLinePunct w:val="0"/>
                    <w:bidi w:val="0"/>
                    <w:outlineLvl w:val="9"/>
                    <w:rPr>
                      <w:highlight w:val="none"/>
                    </w:rPr>
                  </w:pPr>
                  <w:r>
                    <w:rPr>
                      <w:rFonts w:hint="eastAsia"/>
                      <w:highlight w:val="none"/>
                    </w:rPr>
                    <w:t>间断排放，</w:t>
                  </w:r>
                  <w:r>
                    <w:rPr>
                      <w:highlight w:val="none"/>
                    </w:rPr>
                    <w:t>排放期间</w:t>
                  </w:r>
                  <w:r>
                    <w:rPr>
                      <w:rFonts w:hint="eastAsia"/>
                      <w:highlight w:val="none"/>
                    </w:rPr>
                    <w:t>流量稳定</w:t>
                  </w:r>
                </w:p>
              </w:tc>
              <w:tc>
                <w:tcPr>
                  <w:tcW w:w="434" w:type="pct"/>
                  <w:vAlign w:val="center"/>
                </w:tcPr>
                <w:p>
                  <w:pPr>
                    <w:pStyle w:val="60"/>
                    <w:keepLines w:val="0"/>
                    <w:pageBreakBefore w:val="0"/>
                    <w:wordWrap/>
                    <w:topLinePunct w:val="0"/>
                    <w:bidi w:val="0"/>
                    <w:outlineLvl w:val="9"/>
                    <w:rPr>
                      <w:highlight w:val="none"/>
                    </w:rPr>
                  </w:pPr>
                  <w:r>
                    <w:rPr>
                      <w:highlight w:val="none"/>
                    </w:rPr>
                    <w:t>/</w:t>
                  </w:r>
                </w:p>
              </w:tc>
              <w:tc>
                <w:tcPr>
                  <w:tcW w:w="404" w:type="pct"/>
                  <w:vAlign w:val="center"/>
                </w:tcPr>
                <w:p>
                  <w:pPr>
                    <w:pStyle w:val="60"/>
                    <w:keepLines w:val="0"/>
                    <w:pageBreakBefore w:val="0"/>
                    <w:wordWrap/>
                    <w:topLinePunct w:val="0"/>
                    <w:bidi w:val="0"/>
                    <w:outlineLvl w:val="9"/>
                    <w:rPr>
                      <w:highlight w:val="none"/>
                    </w:rPr>
                  </w:pPr>
                  <w:r>
                    <w:rPr>
                      <w:rFonts w:hint="eastAsia"/>
                      <w:highlight w:val="none"/>
                    </w:rPr>
                    <w:t>/</w:t>
                  </w:r>
                </w:p>
              </w:tc>
              <w:tc>
                <w:tcPr>
                  <w:tcW w:w="594" w:type="pct"/>
                  <w:vAlign w:val="center"/>
                </w:tcPr>
                <w:p>
                  <w:pPr>
                    <w:pStyle w:val="60"/>
                    <w:keepLines w:val="0"/>
                    <w:pageBreakBefore w:val="0"/>
                    <w:wordWrap/>
                    <w:topLinePunct w:val="0"/>
                    <w:bidi w:val="0"/>
                    <w:outlineLvl w:val="9"/>
                    <w:rPr>
                      <w:highlight w:val="none"/>
                    </w:rPr>
                  </w:pPr>
                  <w:r>
                    <w:rPr>
                      <w:rFonts w:hint="eastAsia"/>
                      <w:highlight w:val="none"/>
                    </w:rPr>
                    <w:t>/</w:t>
                  </w:r>
                </w:p>
              </w:tc>
              <w:tc>
                <w:tcPr>
                  <w:tcW w:w="400" w:type="dxa"/>
                  <w:vAlign w:val="center"/>
                </w:tcPr>
                <w:p>
                  <w:pPr>
                    <w:pStyle w:val="110"/>
                    <w:keepLines w:val="0"/>
                    <w:pageBreakBefore w:val="0"/>
                    <w:wordWrap/>
                    <w:topLinePunct w:val="0"/>
                    <w:bidi w:val="0"/>
                    <w:outlineLvl w:val="9"/>
                    <w:rPr>
                      <w:highlight w:val="none"/>
                    </w:rPr>
                  </w:pPr>
                  <w:r>
                    <w:rPr>
                      <w:spacing w:val="-10"/>
                      <w:highlight w:val="none"/>
                    </w:rPr>
                    <w:t>DW001</w:t>
                  </w:r>
                </w:p>
              </w:tc>
              <w:tc>
                <w:tcPr>
                  <w:tcW w:w="960" w:type="dxa"/>
                  <w:vAlign w:val="center"/>
                </w:tcPr>
                <w:p>
                  <w:pPr>
                    <w:pStyle w:val="110"/>
                    <w:keepLines w:val="0"/>
                    <w:pageBreakBefore w:val="0"/>
                    <w:wordWrap/>
                    <w:topLinePunct w:val="0"/>
                    <w:bidi w:val="0"/>
                    <w:outlineLvl w:val="9"/>
                    <w:rPr>
                      <w:highlight w:val="none"/>
                    </w:rPr>
                  </w:pPr>
                  <w:r>
                    <w:rPr>
                      <w:spacing w:val="-10"/>
                      <w:highlight w:val="none"/>
                    </w:rPr>
                    <w:t>是</w:t>
                  </w:r>
                </w:p>
              </w:tc>
              <w:tc>
                <w:tcPr>
                  <w:tcW w:w="603" w:type="dxa"/>
                  <w:vAlign w:val="center"/>
                </w:tcPr>
                <w:p>
                  <w:pPr>
                    <w:pStyle w:val="110"/>
                    <w:keepLines w:val="0"/>
                    <w:pageBreakBefore w:val="0"/>
                    <w:wordWrap/>
                    <w:topLinePunct w:val="0"/>
                    <w:bidi w:val="0"/>
                    <w:outlineLvl w:val="9"/>
                    <w:rPr>
                      <w:highlight w:val="none"/>
                    </w:rPr>
                  </w:pPr>
                  <w:r>
                    <w:rPr>
                      <w:rFonts w:hint="eastAsia"/>
                      <w:spacing w:val="-10"/>
                      <w:highlight w:val="none"/>
                    </w:rPr>
                    <w:t>一般排放口</w:t>
                  </w:r>
                </w:p>
              </w:tc>
            </w:tr>
          </w:tbl>
          <w:p>
            <w:pPr>
              <w:pStyle w:val="76"/>
              <w:keepLines w:val="0"/>
              <w:pageBreakBefore w:val="0"/>
              <w:wordWrap/>
              <w:topLinePunct w:val="0"/>
              <w:bidi w:val="0"/>
              <w:spacing w:before="0" w:after="0"/>
              <w:outlineLvl w:val="9"/>
              <w:rPr>
                <w:rFonts w:ascii="Times New Roman" w:hAnsi="Times New Roman" w:eastAsia="宋体"/>
                <w:sz w:val="21"/>
                <w:szCs w:val="21"/>
                <w:highlight w:val="none"/>
              </w:rPr>
            </w:pPr>
            <w:bookmarkStart w:id="52" w:name="_Toc29874"/>
            <w:bookmarkStart w:id="53" w:name="_Toc5576"/>
            <w:bookmarkStart w:id="54" w:name="_Toc3041"/>
            <w:bookmarkStart w:id="55" w:name="_Toc11720"/>
            <w:bookmarkStart w:id="56" w:name="_Toc15308"/>
            <w:bookmarkStart w:id="57" w:name="_Toc4465"/>
            <w:bookmarkStart w:id="58" w:name="_Toc3888"/>
            <w:bookmarkStart w:id="59" w:name="_Toc32013"/>
            <w:bookmarkStart w:id="60" w:name="_Toc30160"/>
            <w:bookmarkStart w:id="61" w:name="_Toc13882"/>
            <w:bookmarkStart w:id="62" w:name="_Toc7503"/>
            <w:r>
              <w:rPr>
                <w:rFonts w:ascii="Times New Roman" w:hAnsi="Times New Roman" w:eastAsia="宋体"/>
                <w:sz w:val="21"/>
                <w:szCs w:val="21"/>
                <w:highlight w:val="none"/>
              </w:rPr>
              <w:t>表4-</w:t>
            </w:r>
            <w:r>
              <w:rPr>
                <w:rFonts w:hint="eastAsia" w:ascii="Times New Roman" w:hAnsi="Times New Roman" w:eastAsia="宋体"/>
                <w:sz w:val="21"/>
                <w:szCs w:val="21"/>
                <w:highlight w:val="none"/>
              </w:rPr>
              <w:t xml:space="preserve">3 </w:t>
            </w:r>
            <w:r>
              <w:rPr>
                <w:rFonts w:ascii="Times New Roman" w:hAnsi="Times New Roman" w:eastAsia="宋体"/>
                <w:sz w:val="21"/>
                <w:szCs w:val="21"/>
                <w:highlight w:val="none"/>
              </w:rPr>
              <w:t>废水污染物排放信息表</w:t>
            </w:r>
            <w:bookmarkEnd w:id="52"/>
            <w:bookmarkEnd w:id="53"/>
            <w:bookmarkEnd w:id="54"/>
            <w:bookmarkEnd w:id="55"/>
            <w:bookmarkEnd w:id="56"/>
            <w:bookmarkEnd w:id="57"/>
            <w:bookmarkEnd w:id="58"/>
            <w:bookmarkEnd w:id="59"/>
            <w:bookmarkEnd w:id="60"/>
            <w:bookmarkEnd w:id="61"/>
            <w:bookmarkEnd w:id="62"/>
          </w:p>
          <w:tbl>
            <w:tblPr>
              <w:tblStyle w:val="2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7"/>
              <w:gridCol w:w="1381"/>
              <w:gridCol w:w="1393"/>
              <w:gridCol w:w="3262"/>
              <w:gridCol w:w="196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1" w:type="pct"/>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bookmarkStart w:id="63" w:name="_Toc25702"/>
                  <w:bookmarkStart w:id="64" w:name="_Toc25741"/>
                  <w:bookmarkStart w:id="65" w:name="_Toc30562"/>
                  <w:bookmarkStart w:id="66" w:name="_Toc12824"/>
                  <w:bookmarkStart w:id="67" w:name="_Toc30661"/>
                  <w:bookmarkStart w:id="68" w:name="_Toc6528"/>
                  <w:bookmarkStart w:id="69" w:name="_Toc29149"/>
                  <w:bookmarkStart w:id="70" w:name="_Toc15918"/>
                  <w:bookmarkStart w:id="71" w:name="_Toc29979"/>
                  <w:bookmarkStart w:id="72" w:name="_Toc2069"/>
                  <w:bookmarkStart w:id="73" w:name="_Toc5314"/>
                  <w:r>
                    <w:rPr>
                      <w:rFonts w:ascii="Times New Roman" w:hAnsi="Times New Roman" w:eastAsia="宋体"/>
                      <w:b w:val="0"/>
                      <w:bCs w:val="0"/>
                      <w:sz w:val="21"/>
                      <w:szCs w:val="21"/>
                      <w:highlight w:val="none"/>
                    </w:rPr>
                    <w:t>序号</w:t>
                  </w:r>
                  <w:bookmarkEnd w:id="63"/>
                  <w:bookmarkEnd w:id="64"/>
                  <w:bookmarkEnd w:id="65"/>
                  <w:bookmarkEnd w:id="66"/>
                  <w:bookmarkEnd w:id="67"/>
                  <w:bookmarkEnd w:id="68"/>
                  <w:bookmarkEnd w:id="69"/>
                  <w:bookmarkEnd w:id="70"/>
                  <w:bookmarkEnd w:id="71"/>
                  <w:bookmarkEnd w:id="72"/>
                  <w:bookmarkEnd w:id="73"/>
                </w:p>
              </w:tc>
              <w:tc>
                <w:tcPr>
                  <w:tcW w:w="794" w:type="pct"/>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bookmarkStart w:id="74" w:name="_Toc25899"/>
                  <w:bookmarkStart w:id="75" w:name="_Toc14857"/>
                  <w:bookmarkStart w:id="76" w:name="_Toc30222"/>
                  <w:bookmarkStart w:id="77" w:name="_Toc21386"/>
                  <w:bookmarkStart w:id="78" w:name="_Toc5950"/>
                  <w:bookmarkStart w:id="79" w:name="_Toc2110"/>
                  <w:bookmarkStart w:id="80" w:name="_Toc27647"/>
                  <w:bookmarkStart w:id="81" w:name="_Toc7703"/>
                  <w:bookmarkStart w:id="82" w:name="_Toc21226"/>
                  <w:bookmarkStart w:id="83" w:name="_Toc13715"/>
                  <w:bookmarkStart w:id="84" w:name="_Toc2358"/>
                  <w:r>
                    <w:rPr>
                      <w:rFonts w:ascii="Times New Roman" w:hAnsi="Times New Roman" w:eastAsia="宋体"/>
                      <w:b w:val="0"/>
                      <w:bCs w:val="0"/>
                      <w:sz w:val="21"/>
                      <w:szCs w:val="21"/>
                      <w:highlight w:val="none"/>
                    </w:rPr>
                    <w:t>排放口编号</w:t>
                  </w:r>
                  <w:bookmarkEnd w:id="74"/>
                  <w:bookmarkEnd w:id="75"/>
                  <w:bookmarkEnd w:id="76"/>
                  <w:bookmarkEnd w:id="77"/>
                  <w:bookmarkEnd w:id="78"/>
                  <w:bookmarkEnd w:id="79"/>
                  <w:bookmarkEnd w:id="80"/>
                  <w:bookmarkEnd w:id="81"/>
                  <w:bookmarkEnd w:id="82"/>
                  <w:bookmarkEnd w:id="83"/>
                  <w:bookmarkEnd w:id="84"/>
                </w:p>
              </w:tc>
              <w:tc>
                <w:tcPr>
                  <w:tcW w:w="801" w:type="pct"/>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bookmarkStart w:id="85" w:name="_Toc4026"/>
                  <w:bookmarkStart w:id="86" w:name="_Toc13788"/>
                  <w:bookmarkStart w:id="87" w:name="_Toc9432"/>
                  <w:bookmarkStart w:id="88" w:name="_Toc16937"/>
                  <w:bookmarkStart w:id="89" w:name="_Toc28129"/>
                  <w:bookmarkStart w:id="90" w:name="_Toc30576"/>
                  <w:bookmarkStart w:id="91" w:name="_Toc7853"/>
                  <w:bookmarkStart w:id="92" w:name="_Toc18304"/>
                  <w:bookmarkStart w:id="93" w:name="_Toc4468"/>
                  <w:bookmarkStart w:id="94" w:name="_Toc9709"/>
                  <w:bookmarkStart w:id="95" w:name="_Toc15326"/>
                  <w:r>
                    <w:rPr>
                      <w:rFonts w:ascii="Times New Roman" w:hAnsi="Times New Roman" w:eastAsia="宋体"/>
                      <w:b w:val="0"/>
                      <w:bCs w:val="0"/>
                      <w:sz w:val="21"/>
                      <w:szCs w:val="21"/>
                      <w:highlight w:val="none"/>
                    </w:rPr>
                    <w:t>污染物种类</w:t>
                  </w:r>
                  <w:bookmarkEnd w:id="85"/>
                  <w:bookmarkEnd w:id="86"/>
                  <w:bookmarkEnd w:id="87"/>
                  <w:bookmarkEnd w:id="88"/>
                  <w:bookmarkEnd w:id="89"/>
                  <w:bookmarkEnd w:id="90"/>
                  <w:bookmarkEnd w:id="91"/>
                  <w:bookmarkEnd w:id="92"/>
                  <w:bookmarkEnd w:id="93"/>
                  <w:bookmarkEnd w:id="94"/>
                  <w:bookmarkEnd w:id="95"/>
                </w:p>
              </w:tc>
              <w:tc>
                <w:tcPr>
                  <w:tcW w:w="1876" w:type="pct"/>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bookmarkStart w:id="96" w:name="_Toc19077"/>
                  <w:bookmarkStart w:id="97" w:name="_Toc15309"/>
                  <w:bookmarkStart w:id="98" w:name="_Toc15375"/>
                  <w:bookmarkStart w:id="99" w:name="_Toc15325"/>
                  <w:bookmarkStart w:id="100" w:name="_Toc16544"/>
                  <w:bookmarkStart w:id="101" w:name="_Toc17770"/>
                  <w:bookmarkStart w:id="102" w:name="_Toc26883"/>
                  <w:bookmarkStart w:id="103" w:name="_Toc31756"/>
                  <w:bookmarkStart w:id="104" w:name="_Toc25364"/>
                  <w:bookmarkStart w:id="105" w:name="_Toc19262"/>
                  <w:bookmarkStart w:id="106" w:name="_Toc8313"/>
                  <w:r>
                    <w:rPr>
                      <w:rFonts w:ascii="Times New Roman" w:hAnsi="Times New Roman" w:eastAsia="宋体"/>
                      <w:b w:val="0"/>
                      <w:bCs w:val="0"/>
                      <w:sz w:val="21"/>
                      <w:szCs w:val="21"/>
                      <w:highlight w:val="none"/>
                    </w:rPr>
                    <w:t>排放浓度/（mg/L）</w:t>
                  </w:r>
                  <w:bookmarkEnd w:id="96"/>
                  <w:bookmarkEnd w:id="97"/>
                  <w:bookmarkEnd w:id="98"/>
                  <w:bookmarkEnd w:id="99"/>
                  <w:bookmarkEnd w:id="100"/>
                  <w:bookmarkEnd w:id="101"/>
                  <w:bookmarkEnd w:id="102"/>
                  <w:bookmarkEnd w:id="103"/>
                  <w:bookmarkEnd w:id="104"/>
                  <w:bookmarkEnd w:id="105"/>
                  <w:bookmarkEnd w:id="106"/>
                </w:p>
              </w:tc>
              <w:tc>
                <w:tcPr>
                  <w:tcW w:w="1128" w:type="pct"/>
                  <w:vAlign w:val="center"/>
                </w:tcPr>
                <w:p>
                  <w:pPr>
                    <w:keepLines w:val="0"/>
                    <w:pageBreakBefore w:val="0"/>
                    <w:wordWrap/>
                    <w:topLinePunct w:val="0"/>
                    <w:bidi w:val="0"/>
                    <w:contextualSpacing/>
                    <w:jc w:val="center"/>
                    <w:outlineLvl w:val="9"/>
                    <w:rPr>
                      <w:szCs w:val="21"/>
                      <w:highlight w:val="none"/>
                    </w:rPr>
                  </w:pPr>
                  <w:r>
                    <w:rPr>
                      <w:szCs w:val="21"/>
                      <w:highlight w:val="none"/>
                    </w:rPr>
                    <w:t>年排放量/（t/a）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401" w:type="pct"/>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bookmarkStart w:id="107" w:name="_Toc16572"/>
                  <w:bookmarkStart w:id="108" w:name="_Toc23575"/>
                  <w:bookmarkStart w:id="109" w:name="_Toc32640"/>
                  <w:bookmarkStart w:id="110" w:name="_Toc11072"/>
                  <w:bookmarkStart w:id="111" w:name="_Toc12224"/>
                  <w:bookmarkStart w:id="112" w:name="_Toc30337"/>
                  <w:bookmarkStart w:id="113" w:name="_Toc7998"/>
                  <w:bookmarkStart w:id="114" w:name="_Toc13306"/>
                  <w:bookmarkStart w:id="115" w:name="_Toc8987"/>
                  <w:bookmarkStart w:id="116" w:name="_Toc25594"/>
                  <w:r>
                    <w:rPr>
                      <w:rFonts w:ascii="Times New Roman" w:hAnsi="Times New Roman" w:eastAsia="宋体"/>
                      <w:b w:val="0"/>
                      <w:bCs w:val="0"/>
                      <w:sz w:val="21"/>
                      <w:szCs w:val="21"/>
                      <w:highlight w:val="none"/>
                    </w:rPr>
                    <w:t>1</w:t>
                  </w:r>
                  <w:bookmarkEnd w:id="107"/>
                  <w:bookmarkEnd w:id="108"/>
                  <w:bookmarkEnd w:id="109"/>
                  <w:bookmarkEnd w:id="110"/>
                  <w:bookmarkEnd w:id="111"/>
                  <w:bookmarkEnd w:id="112"/>
                  <w:bookmarkEnd w:id="113"/>
                  <w:bookmarkEnd w:id="114"/>
                  <w:bookmarkEnd w:id="115"/>
                  <w:bookmarkEnd w:id="116"/>
                </w:p>
              </w:tc>
              <w:tc>
                <w:tcPr>
                  <w:tcW w:w="794" w:type="pct"/>
                  <w:vMerge w:val="restart"/>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bookmarkStart w:id="117" w:name="_Toc727"/>
                  <w:bookmarkStart w:id="118" w:name="_Toc30940"/>
                  <w:bookmarkStart w:id="119" w:name="_Toc31217"/>
                  <w:bookmarkStart w:id="120" w:name="_Toc20803"/>
                  <w:bookmarkStart w:id="121" w:name="_Toc19841"/>
                  <w:bookmarkStart w:id="122" w:name="_Toc22551"/>
                  <w:bookmarkStart w:id="123" w:name="_Toc32366"/>
                  <w:bookmarkStart w:id="124" w:name="_Toc31498"/>
                  <w:bookmarkStart w:id="125" w:name="_Toc29903"/>
                  <w:bookmarkStart w:id="126" w:name="_Toc21338"/>
                  <w:bookmarkStart w:id="127" w:name="_Toc2374"/>
                  <w:r>
                    <w:rPr>
                      <w:rFonts w:ascii="Times New Roman" w:hAnsi="Times New Roman" w:eastAsia="宋体"/>
                      <w:b w:val="0"/>
                      <w:bCs w:val="0"/>
                      <w:sz w:val="21"/>
                      <w:szCs w:val="21"/>
                      <w:highlight w:val="none"/>
                    </w:rPr>
                    <w:t>DW001</w:t>
                  </w:r>
                  <w:bookmarkEnd w:id="117"/>
                  <w:bookmarkEnd w:id="118"/>
                  <w:bookmarkEnd w:id="119"/>
                  <w:bookmarkEnd w:id="120"/>
                  <w:bookmarkEnd w:id="121"/>
                  <w:bookmarkEnd w:id="122"/>
                  <w:bookmarkEnd w:id="123"/>
                  <w:bookmarkEnd w:id="124"/>
                  <w:bookmarkEnd w:id="125"/>
                  <w:bookmarkEnd w:id="126"/>
                  <w:bookmarkEnd w:id="127"/>
                </w:p>
              </w:tc>
              <w:tc>
                <w:tcPr>
                  <w:tcW w:w="801" w:type="pct"/>
                  <w:vAlign w:val="center"/>
                </w:tcPr>
                <w:p>
                  <w:pPr>
                    <w:pStyle w:val="81"/>
                    <w:keepLines w:val="0"/>
                    <w:pageBreakBefore w:val="0"/>
                    <w:wordWrap/>
                    <w:topLinePunct w:val="0"/>
                    <w:bidi w:val="0"/>
                    <w:spacing w:line="240" w:lineRule="auto"/>
                    <w:outlineLvl w:val="9"/>
                    <w:rPr>
                      <w:rFonts w:cs="Times New Roman"/>
                      <w:szCs w:val="21"/>
                      <w:highlight w:val="none"/>
                    </w:rPr>
                  </w:pPr>
                  <w:r>
                    <w:rPr>
                      <w:rFonts w:cs="Times New Roman"/>
                      <w:spacing w:val="-10"/>
                      <w:szCs w:val="21"/>
                      <w:highlight w:val="none"/>
                    </w:rPr>
                    <w:t>COD</w:t>
                  </w:r>
                </w:p>
              </w:tc>
              <w:tc>
                <w:tcPr>
                  <w:tcW w:w="1876" w:type="pc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235 </w:t>
                  </w:r>
                </w:p>
              </w:tc>
              <w:tc>
                <w:tcPr>
                  <w:tcW w:w="1962" w:type="dxa"/>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0.08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401" w:type="pct"/>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bookmarkStart w:id="128" w:name="_Toc8225"/>
                  <w:bookmarkStart w:id="129" w:name="_Toc7009"/>
                  <w:bookmarkStart w:id="130" w:name="_Toc5391"/>
                  <w:bookmarkStart w:id="131" w:name="_Toc14565"/>
                  <w:bookmarkStart w:id="132" w:name="_Toc2651"/>
                  <w:bookmarkStart w:id="133" w:name="_Toc22145"/>
                  <w:bookmarkStart w:id="134" w:name="_Toc31939"/>
                  <w:bookmarkStart w:id="135" w:name="_Toc13235"/>
                  <w:bookmarkStart w:id="136" w:name="_Toc15419"/>
                  <w:bookmarkStart w:id="137" w:name="_Toc27734"/>
                  <w:bookmarkStart w:id="138" w:name="_Toc23128"/>
                  <w:r>
                    <w:rPr>
                      <w:rFonts w:ascii="Times New Roman" w:hAnsi="Times New Roman" w:eastAsia="宋体"/>
                      <w:b w:val="0"/>
                      <w:bCs w:val="0"/>
                      <w:sz w:val="21"/>
                      <w:szCs w:val="21"/>
                      <w:highlight w:val="none"/>
                    </w:rPr>
                    <w:t>4</w:t>
                  </w:r>
                  <w:bookmarkEnd w:id="128"/>
                  <w:bookmarkEnd w:id="129"/>
                  <w:bookmarkEnd w:id="130"/>
                  <w:bookmarkEnd w:id="131"/>
                  <w:bookmarkEnd w:id="132"/>
                  <w:bookmarkEnd w:id="133"/>
                  <w:bookmarkEnd w:id="134"/>
                  <w:bookmarkEnd w:id="135"/>
                  <w:bookmarkEnd w:id="136"/>
                  <w:bookmarkEnd w:id="137"/>
                  <w:bookmarkEnd w:id="138"/>
                </w:p>
              </w:tc>
              <w:tc>
                <w:tcPr>
                  <w:tcW w:w="794" w:type="pct"/>
                  <w:vMerge w:val="continue"/>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p>
              </w:tc>
              <w:tc>
                <w:tcPr>
                  <w:tcW w:w="801" w:type="pct"/>
                  <w:vAlign w:val="center"/>
                </w:tcPr>
                <w:p>
                  <w:pPr>
                    <w:pStyle w:val="81"/>
                    <w:keepLines w:val="0"/>
                    <w:pageBreakBefore w:val="0"/>
                    <w:wordWrap/>
                    <w:topLinePunct w:val="0"/>
                    <w:bidi w:val="0"/>
                    <w:spacing w:line="240" w:lineRule="auto"/>
                    <w:outlineLvl w:val="9"/>
                    <w:rPr>
                      <w:rFonts w:cs="Times New Roman"/>
                      <w:szCs w:val="21"/>
                      <w:highlight w:val="none"/>
                    </w:rPr>
                  </w:pPr>
                  <w:r>
                    <w:rPr>
                      <w:rFonts w:cs="Times New Roman"/>
                      <w:spacing w:val="-10"/>
                      <w:szCs w:val="21"/>
                      <w:highlight w:val="none"/>
                    </w:rPr>
                    <w:t>氨氮</w:t>
                  </w:r>
                </w:p>
              </w:tc>
              <w:tc>
                <w:tcPr>
                  <w:tcW w:w="1876" w:type="pc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20.6 </w:t>
                  </w:r>
                </w:p>
              </w:tc>
              <w:tc>
                <w:tcPr>
                  <w:tcW w:w="1962" w:type="dxa"/>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0.007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3" w:hRule="atLeast"/>
              </w:trPr>
              <w:tc>
                <w:tcPr>
                  <w:tcW w:w="1195" w:type="pct"/>
                  <w:gridSpan w:val="2"/>
                  <w:vMerge w:val="restart"/>
                  <w:vAlign w:val="center"/>
                </w:tcPr>
                <w:p>
                  <w:pPr>
                    <w:pStyle w:val="66"/>
                    <w:keepLines w:val="0"/>
                    <w:pageBreakBefore w:val="0"/>
                    <w:wordWrap/>
                    <w:topLinePunct w:val="0"/>
                    <w:bidi w:val="0"/>
                    <w:outlineLvl w:val="9"/>
                    <w:rPr>
                      <w:rFonts w:ascii="Times New Roman" w:cs="Times New Roman"/>
                      <w:color w:val="auto"/>
                      <w:sz w:val="21"/>
                      <w:szCs w:val="21"/>
                      <w:highlight w:val="none"/>
                    </w:rPr>
                  </w:pPr>
                  <w:r>
                    <w:rPr>
                      <w:rFonts w:ascii="Times New Roman" w:cs="Times New Roman"/>
                      <w:color w:val="auto"/>
                      <w:sz w:val="21"/>
                      <w:szCs w:val="21"/>
                      <w:highlight w:val="none"/>
                    </w:rPr>
                    <w:t>全厂排放口合计</w:t>
                  </w:r>
                </w:p>
              </w:tc>
              <w:tc>
                <w:tcPr>
                  <w:tcW w:w="2677" w:type="pct"/>
                  <w:gridSpan w:val="2"/>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bookmarkStart w:id="139" w:name="_Toc30701"/>
                  <w:bookmarkStart w:id="140" w:name="_Toc29555"/>
                  <w:bookmarkStart w:id="141" w:name="_Toc20116"/>
                  <w:bookmarkStart w:id="142" w:name="_Toc22593"/>
                  <w:bookmarkStart w:id="143" w:name="_Toc16031"/>
                  <w:bookmarkStart w:id="144" w:name="_Toc29946"/>
                  <w:bookmarkStart w:id="145" w:name="_Toc8925"/>
                  <w:bookmarkStart w:id="146" w:name="_Toc20275"/>
                  <w:bookmarkStart w:id="147" w:name="_Toc9401"/>
                  <w:bookmarkStart w:id="148" w:name="_Toc22081"/>
                  <w:bookmarkStart w:id="149" w:name="_Toc30505"/>
                  <w:r>
                    <w:rPr>
                      <w:rFonts w:ascii="Times New Roman" w:hAnsi="Times New Roman" w:eastAsia="宋体"/>
                      <w:b w:val="0"/>
                      <w:bCs w:val="0"/>
                      <w:sz w:val="21"/>
                      <w:szCs w:val="21"/>
                      <w:highlight w:val="none"/>
                    </w:rPr>
                    <w:t>COD</w:t>
                  </w:r>
                  <w:bookmarkEnd w:id="139"/>
                  <w:bookmarkEnd w:id="140"/>
                  <w:bookmarkEnd w:id="141"/>
                  <w:bookmarkEnd w:id="142"/>
                  <w:bookmarkEnd w:id="143"/>
                  <w:bookmarkEnd w:id="144"/>
                  <w:bookmarkEnd w:id="145"/>
                  <w:bookmarkEnd w:id="146"/>
                  <w:bookmarkEnd w:id="147"/>
                  <w:bookmarkEnd w:id="148"/>
                  <w:bookmarkEnd w:id="149"/>
                </w:p>
              </w:tc>
              <w:tc>
                <w:tcPr>
                  <w:tcW w:w="1962" w:type="dxa"/>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0.08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8" w:hRule="atLeast"/>
              </w:trPr>
              <w:tc>
                <w:tcPr>
                  <w:tcW w:w="1195" w:type="pct"/>
                  <w:gridSpan w:val="2"/>
                  <w:vMerge w:val="continue"/>
                  <w:vAlign w:val="center"/>
                </w:tcPr>
                <w:p>
                  <w:pPr>
                    <w:pStyle w:val="66"/>
                    <w:keepLines w:val="0"/>
                    <w:pageBreakBefore w:val="0"/>
                    <w:wordWrap/>
                    <w:topLinePunct w:val="0"/>
                    <w:bidi w:val="0"/>
                    <w:outlineLvl w:val="9"/>
                    <w:rPr>
                      <w:rFonts w:ascii="Times New Roman" w:cs="Times New Roman"/>
                      <w:color w:val="auto"/>
                      <w:sz w:val="21"/>
                      <w:szCs w:val="21"/>
                      <w:highlight w:val="none"/>
                    </w:rPr>
                  </w:pPr>
                </w:p>
              </w:tc>
              <w:tc>
                <w:tcPr>
                  <w:tcW w:w="2677" w:type="pct"/>
                  <w:gridSpan w:val="2"/>
                  <w:vAlign w:val="center"/>
                </w:tcPr>
                <w:p>
                  <w:pPr>
                    <w:pStyle w:val="76"/>
                    <w:keepLines w:val="0"/>
                    <w:pageBreakBefore w:val="0"/>
                    <w:wordWrap/>
                    <w:topLinePunct w:val="0"/>
                    <w:bidi w:val="0"/>
                    <w:spacing w:before="0" w:after="0"/>
                    <w:outlineLvl w:val="9"/>
                    <w:rPr>
                      <w:rFonts w:ascii="Times New Roman" w:hAnsi="Times New Roman" w:eastAsia="宋体"/>
                      <w:b w:val="0"/>
                      <w:bCs w:val="0"/>
                      <w:sz w:val="21"/>
                      <w:szCs w:val="21"/>
                      <w:highlight w:val="none"/>
                    </w:rPr>
                  </w:pPr>
                  <w:bookmarkStart w:id="150" w:name="_Toc14770"/>
                  <w:bookmarkStart w:id="151" w:name="_Toc5154"/>
                  <w:bookmarkStart w:id="152" w:name="_Toc6860"/>
                  <w:bookmarkStart w:id="153" w:name="_Toc19311"/>
                  <w:bookmarkStart w:id="154" w:name="_Toc16551"/>
                  <w:bookmarkStart w:id="155" w:name="_Toc24580"/>
                  <w:bookmarkStart w:id="156" w:name="_Toc28043"/>
                  <w:bookmarkStart w:id="157" w:name="_Toc1999"/>
                  <w:bookmarkStart w:id="158" w:name="_Toc27178"/>
                  <w:bookmarkStart w:id="159" w:name="_Toc7162"/>
                  <w:bookmarkStart w:id="160" w:name="_Toc27960"/>
                  <w:r>
                    <w:rPr>
                      <w:rFonts w:ascii="Times New Roman" w:hAnsi="Times New Roman" w:eastAsia="宋体"/>
                      <w:b w:val="0"/>
                      <w:bCs w:val="0"/>
                      <w:sz w:val="21"/>
                      <w:szCs w:val="21"/>
                      <w:highlight w:val="none"/>
                    </w:rPr>
                    <w:t>氨氮</w:t>
                  </w:r>
                  <w:bookmarkEnd w:id="150"/>
                  <w:bookmarkEnd w:id="151"/>
                  <w:bookmarkEnd w:id="152"/>
                  <w:bookmarkEnd w:id="153"/>
                  <w:bookmarkEnd w:id="154"/>
                  <w:bookmarkEnd w:id="155"/>
                  <w:bookmarkEnd w:id="156"/>
                  <w:bookmarkEnd w:id="157"/>
                  <w:bookmarkEnd w:id="158"/>
                  <w:bookmarkEnd w:id="159"/>
                  <w:bookmarkEnd w:id="160"/>
                </w:p>
              </w:tc>
              <w:tc>
                <w:tcPr>
                  <w:tcW w:w="1962" w:type="dxa"/>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 xml:space="preserve">0.007 </w:t>
                  </w:r>
                </w:p>
              </w:tc>
            </w:tr>
          </w:tbl>
          <w:p>
            <w:pPr>
              <w:pStyle w:val="76"/>
              <w:keepLines w:val="0"/>
              <w:pageBreakBefore w:val="0"/>
              <w:wordWrap/>
              <w:topLinePunct w:val="0"/>
              <w:bidi w:val="0"/>
              <w:spacing w:before="0" w:after="0"/>
              <w:outlineLvl w:val="9"/>
              <w:rPr>
                <w:rFonts w:ascii="Times New Roman" w:hAnsi="Times New Roman" w:eastAsia="宋体"/>
                <w:sz w:val="21"/>
                <w:szCs w:val="21"/>
                <w:highlight w:val="none"/>
              </w:rPr>
            </w:pPr>
            <w:bookmarkStart w:id="161" w:name="_Toc14367"/>
            <w:bookmarkStart w:id="162" w:name="_Toc11686"/>
            <w:bookmarkStart w:id="163" w:name="_Toc1000"/>
            <w:bookmarkStart w:id="164" w:name="_Toc2741"/>
            <w:bookmarkStart w:id="165" w:name="_Toc22479"/>
            <w:bookmarkStart w:id="166" w:name="_Toc23812"/>
            <w:bookmarkStart w:id="167" w:name="_Toc11843"/>
            <w:bookmarkStart w:id="168" w:name="_Toc31040"/>
            <w:bookmarkStart w:id="169" w:name="_Toc21916"/>
            <w:bookmarkStart w:id="170" w:name="_Toc11239"/>
            <w:bookmarkStart w:id="171" w:name="_Toc9869"/>
            <w:r>
              <w:rPr>
                <w:rFonts w:ascii="Times New Roman" w:hAnsi="Times New Roman" w:eastAsia="宋体"/>
                <w:sz w:val="21"/>
                <w:szCs w:val="21"/>
                <w:highlight w:val="none"/>
              </w:rPr>
              <w:t>表4-</w:t>
            </w:r>
            <w:r>
              <w:rPr>
                <w:rFonts w:hint="eastAsia" w:ascii="Times New Roman" w:hAnsi="Times New Roman" w:eastAsia="宋体"/>
                <w:sz w:val="21"/>
                <w:szCs w:val="21"/>
                <w:highlight w:val="none"/>
              </w:rPr>
              <w:t xml:space="preserve">4 </w:t>
            </w:r>
            <w:r>
              <w:rPr>
                <w:rFonts w:ascii="Times New Roman" w:hAnsi="Times New Roman" w:eastAsia="宋体"/>
                <w:sz w:val="21"/>
                <w:szCs w:val="21"/>
                <w:highlight w:val="none"/>
              </w:rPr>
              <w:t>废水间接排放口基本情况表</w:t>
            </w:r>
            <w:bookmarkEnd w:id="161"/>
            <w:bookmarkEnd w:id="162"/>
            <w:bookmarkEnd w:id="163"/>
            <w:bookmarkEnd w:id="164"/>
            <w:bookmarkEnd w:id="165"/>
            <w:bookmarkEnd w:id="166"/>
            <w:bookmarkEnd w:id="167"/>
            <w:bookmarkEnd w:id="168"/>
            <w:bookmarkEnd w:id="169"/>
            <w:bookmarkEnd w:id="170"/>
            <w:bookmarkEnd w:id="171"/>
          </w:p>
          <w:tbl>
            <w:tblPr>
              <w:tblStyle w:val="29"/>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418"/>
              <w:gridCol w:w="559"/>
              <w:gridCol w:w="831"/>
              <w:gridCol w:w="814"/>
              <w:gridCol w:w="909"/>
              <w:gridCol w:w="691"/>
              <w:gridCol w:w="1022"/>
              <w:gridCol w:w="613"/>
              <w:gridCol w:w="689"/>
              <w:gridCol w:w="737"/>
              <w:gridCol w:w="12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2" w:hRule="atLeast"/>
                <w:jc w:val="center"/>
              </w:trPr>
              <w:tc>
                <w:tcPr>
                  <w:tcW w:w="418" w:type="dxa"/>
                  <w:vMerge w:val="restart"/>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序号</w:t>
                  </w:r>
                </w:p>
              </w:tc>
              <w:tc>
                <w:tcPr>
                  <w:tcW w:w="559" w:type="dxa"/>
                  <w:vMerge w:val="restart"/>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排放口编号</w:t>
                  </w:r>
                </w:p>
              </w:tc>
              <w:tc>
                <w:tcPr>
                  <w:tcW w:w="1645" w:type="dxa"/>
                  <w:gridSpan w:val="2"/>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排放口地理坐标（°）</w:t>
                  </w:r>
                </w:p>
              </w:tc>
              <w:tc>
                <w:tcPr>
                  <w:tcW w:w="909" w:type="dxa"/>
                  <w:vMerge w:val="restart"/>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废水排放量（万t/a）</w:t>
                  </w:r>
                </w:p>
              </w:tc>
              <w:tc>
                <w:tcPr>
                  <w:tcW w:w="691" w:type="dxa"/>
                  <w:vMerge w:val="restart"/>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排放去向</w:t>
                  </w:r>
                </w:p>
              </w:tc>
              <w:tc>
                <w:tcPr>
                  <w:tcW w:w="1022" w:type="dxa"/>
                  <w:vMerge w:val="restart"/>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排放规律</w:t>
                  </w:r>
                </w:p>
              </w:tc>
              <w:tc>
                <w:tcPr>
                  <w:tcW w:w="613" w:type="dxa"/>
                  <w:vMerge w:val="restart"/>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间歇排放时段</w:t>
                  </w:r>
                </w:p>
              </w:tc>
              <w:tc>
                <w:tcPr>
                  <w:tcW w:w="2647" w:type="dxa"/>
                  <w:gridSpan w:val="3"/>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受纳污水处理厂信息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18" w:hRule="atLeast"/>
                <w:jc w:val="center"/>
              </w:trPr>
              <w:tc>
                <w:tcPr>
                  <w:tcW w:w="418"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55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31"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经度</w:t>
                  </w:r>
                </w:p>
              </w:tc>
              <w:tc>
                <w:tcPr>
                  <w:tcW w:w="814"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纬度</w:t>
                  </w:r>
                </w:p>
              </w:tc>
              <w:tc>
                <w:tcPr>
                  <w:tcW w:w="90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9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1022"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13"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89"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名称</w:t>
                  </w:r>
                </w:p>
              </w:tc>
              <w:tc>
                <w:tcPr>
                  <w:tcW w:w="737"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污染物种类</w:t>
                  </w:r>
                </w:p>
              </w:tc>
              <w:tc>
                <w:tcPr>
                  <w:tcW w:w="1221"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国家或地方污染物排放标准浓度限值（mg/L）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3" w:hRule="atLeast"/>
                <w:jc w:val="center"/>
              </w:trPr>
              <w:tc>
                <w:tcPr>
                  <w:tcW w:w="418" w:type="dxa"/>
                  <w:vMerge w:val="restart"/>
                  <w:tcBorders>
                    <w:tl2br w:val="nil"/>
                    <w:tr2bl w:val="nil"/>
                  </w:tcBorders>
                  <w:vAlign w:val="center"/>
                </w:tcPr>
                <w:p>
                  <w:pPr>
                    <w:keepLines w:val="0"/>
                    <w:pageBreakBefore w:val="0"/>
                    <w:wordWrap/>
                    <w:topLinePunct w:val="0"/>
                    <w:bidi w:val="0"/>
                    <w:contextualSpacing/>
                    <w:outlineLvl w:val="9"/>
                    <w:rPr>
                      <w:szCs w:val="21"/>
                      <w:highlight w:val="none"/>
                    </w:rPr>
                  </w:pPr>
                  <w:r>
                    <w:rPr>
                      <w:szCs w:val="21"/>
                      <w:highlight w:val="none"/>
                    </w:rPr>
                    <w:t>1</w:t>
                  </w:r>
                </w:p>
              </w:tc>
              <w:tc>
                <w:tcPr>
                  <w:tcW w:w="559" w:type="dxa"/>
                  <w:vMerge w:val="restart"/>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DW001</w:t>
                  </w:r>
                </w:p>
              </w:tc>
              <w:tc>
                <w:tcPr>
                  <w:tcW w:w="831" w:type="dxa"/>
                  <w:vMerge w:val="restart"/>
                  <w:tcBorders>
                    <w:tl2br w:val="nil"/>
                    <w:tr2bl w:val="nil"/>
                  </w:tcBorders>
                  <w:vAlign w:val="center"/>
                </w:tcPr>
                <w:p>
                  <w:pPr>
                    <w:keepLines w:val="0"/>
                    <w:pageBreakBefore w:val="0"/>
                    <w:wordWrap/>
                    <w:topLinePunct w:val="0"/>
                    <w:bidi w:val="0"/>
                    <w:contextualSpacing/>
                    <w:jc w:val="center"/>
                    <w:outlineLvl w:val="9"/>
                    <w:rPr>
                      <w:kern w:val="0"/>
                      <w:szCs w:val="21"/>
                      <w:highlight w:val="none"/>
                      <w:lang w:bidi="ar"/>
                    </w:rPr>
                  </w:pPr>
                  <w:r>
                    <w:rPr>
                      <w:kern w:val="0"/>
                      <w:szCs w:val="21"/>
                      <w:highlight w:val="none"/>
                      <w:lang w:bidi="ar"/>
                    </w:rPr>
                    <w:t>131.34450451</w:t>
                  </w:r>
                </w:p>
              </w:tc>
              <w:tc>
                <w:tcPr>
                  <w:tcW w:w="814" w:type="dxa"/>
                  <w:vMerge w:val="restart"/>
                  <w:tcBorders>
                    <w:tl2br w:val="nil"/>
                    <w:tr2bl w:val="nil"/>
                  </w:tcBorders>
                  <w:vAlign w:val="center"/>
                </w:tcPr>
                <w:p>
                  <w:pPr>
                    <w:keepLines w:val="0"/>
                    <w:pageBreakBefore w:val="0"/>
                    <w:wordWrap/>
                    <w:topLinePunct w:val="0"/>
                    <w:bidi w:val="0"/>
                    <w:contextualSpacing/>
                    <w:jc w:val="center"/>
                    <w:outlineLvl w:val="9"/>
                    <w:rPr>
                      <w:kern w:val="0"/>
                      <w:szCs w:val="21"/>
                      <w:highlight w:val="none"/>
                      <w:lang w:bidi="ar"/>
                    </w:rPr>
                  </w:pPr>
                  <w:r>
                    <w:rPr>
                      <w:kern w:val="0"/>
                      <w:szCs w:val="21"/>
                      <w:highlight w:val="none"/>
                      <w:lang w:bidi="ar"/>
                    </w:rPr>
                    <w:t>46.65425353</w:t>
                  </w:r>
                </w:p>
              </w:tc>
              <w:tc>
                <w:tcPr>
                  <w:tcW w:w="909" w:type="dxa"/>
                  <w:vMerge w:val="restart"/>
                  <w:tcBorders>
                    <w:tl2br w:val="nil"/>
                    <w:tr2bl w:val="nil"/>
                  </w:tcBorders>
                  <w:vAlign w:val="center"/>
                </w:tcPr>
                <w:p>
                  <w:pPr>
                    <w:keepLines w:val="0"/>
                    <w:pageBreakBefore w:val="0"/>
                    <w:wordWrap/>
                    <w:topLinePunct w:val="0"/>
                    <w:bidi w:val="0"/>
                    <w:contextualSpacing/>
                    <w:jc w:val="center"/>
                    <w:outlineLvl w:val="9"/>
                    <w:rPr>
                      <w:szCs w:val="21"/>
                      <w:highlight w:val="none"/>
                    </w:rPr>
                  </w:pPr>
                  <w:r>
                    <w:rPr>
                      <w:rFonts w:hint="eastAsia"/>
                      <w:szCs w:val="21"/>
                      <w:highlight w:val="none"/>
                    </w:rPr>
                    <w:t>0.033756</w:t>
                  </w:r>
                </w:p>
              </w:tc>
              <w:tc>
                <w:tcPr>
                  <w:tcW w:w="691" w:type="dxa"/>
                  <w:vMerge w:val="restart"/>
                  <w:tcBorders>
                    <w:tl2br w:val="nil"/>
                    <w:tr2bl w:val="nil"/>
                  </w:tcBorders>
                  <w:vAlign w:val="center"/>
                </w:tcPr>
                <w:p>
                  <w:pPr>
                    <w:keepLines w:val="0"/>
                    <w:pageBreakBefore w:val="0"/>
                    <w:wordWrap/>
                    <w:topLinePunct w:val="0"/>
                    <w:bidi w:val="0"/>
                    <w:contextualSpacing/>
                    <w:jc w:val="center"/>
                    <w:outlineLvl w:val="9"/>
                    <w:rPr>
                      <w:rFonts w:hint="eastAsia" w:eastAsia="宋体"/>
                      <w:szCs w:val="21"/>
                      <w:highlight w:val="none"/>
                      <w:lang w:eastAsia="zh-CN"/>
                    </w:rPr>
                  </w:pPr>
                  <w:r>
                    <w:rPr>
                      <w:rFonts w:hint="eastAsia"/>
                      <w:szCs w:val="21"/>
                      <w:highlight w:val="none"/>
                      <w:lang w:eastAsia="zh-CN"/>
                    </w:rPr>
                    <w:t>双鸭山市四洁水处理有限责任公司（四洁污水处理厂）</w:t>
                  </w:r>
                </w:p>
              </w:tc>
              <w:tc>
                <w:tcPr>
                  <w:tcW w:w="1022" w:type="dxa"/>
                  <w:vMerge w:val="restart"/>
                  <w:tcBorders>
                    <w:tl2br w:val="nil"/>
                    <w:tr2bl w:val="nil"/>
                  </w:tcBorders>
                  <w:vAlign w:val="center"/>
                </w:tcPr>
                <w:p>
                  <w:pPr>
                    <w:keepLines w:val="0"/>
                    <w:pageBreakBefore w:val="0"/>
                    <w:wordWrap/>
                    <w:topLinePunct w:val="0"/>
                    <w:bidi w:val="0"/>
                    <w:jc w:val="center"/>
                    <w:outlineLvl w:val="9"/>
                    <w:rPr>
                      <w:szCs w:val="21"/>
                      <w:highlight w:val="none"/>
                    </w:rPr>
                  </w:pPr>
                  <w:r>
                    <w:rPr>
                      <w:szCs w:val="21"/>
                      <w:highlight w:val="none"/>
                    </w:rPr>
                    <w:t>非连续排放，流量不稳定且无规律，但不属于冲击型排放</w:t>
                  </w:r>
                </w:p>
              </w:tc>
              <w:tc>
                <w:tcPr>
                  <w:tcW w:w="613" w:type="dxa"/>
                  <w:vMerge w:val="restart"/>
                  <w:tcBorders>
                    <w:tl2br w:val="nil"/>
                    <w:tr2bl w:val="nil"/>
                  </w:tcBorders>
                  <w:vAlign w:val="center"/>
                </w:tcPr>
                <w:p>
                  <w:pPr>
                    <w:keepLines w:val="0"/>
                    <w:pageBreakBefore w:val="0"/>
                    <w:widowControl/>
                    <w:wordWrap/>
                    <w:topLinePunct w:val="0"/>
                    <w:bidi w:val="0"/>
                    <w:spacing w:before="100" w:beforeAutospacing="1" w:after="100" w:afterAutospacing="1"/>
                    <w:ind w:firstLine="420" w:firstLineChars="200"/>
                    <w:jc w:val="center"/>
                    <w:outlineLvl w:val="9"/>
                    <w:rPr>
                      <w:kern w:val="0"/>
                      <w:szCs w:val="21"/>
                      <w:highlight w:val="none"/>
                    </w:rPr>
                  </w:pPr>
                  <w:r>
                    <w:rPr>
                      <w:kern w:val="0"/>
                      <w:szCs w:val="21"/>
                      <w:highlight w:val="none"/>
                    </w:rPr>
                    <w:t>//</w:t>
                  </w:r>
                </w:p>
              </w:tc>
              <w:tc>
                <w:tcPr>
                  <w:tcW w:w="689" w:type="dxa"/>
                  <w:vMerge w:val="restart"/>
                  <w:tcBorders>
                    <w:tl2br w:val="nil"/>
                    <w:tr2bl w:val="nil"/>
                  </w:tcBorders>
                  <w:vAlign w:val="center"/>
                </w:tcPr>
                <w:p>
                  <w:pPr>
                    <w:keepLines w:val="0"/>
                    <w:pageBreakBefore w:val="0"/>
                    <w:wordWrap/>
                    <w:topLinePunct w:val="0"/>
                    <w:bidi w:val="0"/>
                    <w:contextualSpacing/>
                    <w:jc w:val="center"/>
                    <w:outlineLvl w:val="9"/>
                    <w:rPr>
                      <w:rFonts w:hint="eastAsia" w:eastAsia="宋体"/>
                      <w:szCs w:val="21"/>
                      <w:highlight w:val="none"/>
                      <w:lang w:eastAsia="zh-CN"/>
                    </w:rPr>
                  </w:pPr>
                  <w:r>
                    <w:rPr>
                      <w:rFonts w:hint="eastAsia"/>
                      <w:szCs w:val="21"/>
                      <w:highlight w:val="none"/>
                      <w:lang w:eastAsia="zh-CN"/>
                    </w:rPr>
                    <w:t>双鸭山市四洁水处理有限责任公司（四洁污水处理厂）</w:t>
                  </w:r>
                </w:p>
              </w:tc>
              <w:tc>
                <w:tcPr>
                  <w:tcW w:w="737" w:type="dxa"/>
                  <w:tcBorders>
                    <w:tl2br w:val="nil"/>
                    <w:tr2bl w:val="nil"/>
                  </w:tcBorders>
                  <w:vAlign w:val="center"/>
                </w:tcPr>
                <w:p>
                  <w:pPr>
                    <w:pStyle w:val="81"/>
                    <w:keepLines w:val="0"/>
                    <w:pageBreakBefore w:val="0"/>
                    <w:wordWrap/>
                    <w:topLinePunct w:val="0"/>
                    <w:bidi w:val="0"/>
                    <w:spacing w:line="240" w:lineRule="auto"/>
                    <w:outlineLvl w:val="9"/>
                    <w:rPr>
                      <w:rFonts w:cs="Times New Roman"/>
                      <w:szCs w:val="21"/>
                      <w:highlight w:val="none"/>
                    </w:rPr>
                  </w:pPr>
                  <w:r>
                    <w:rPr>
                      <w:spacing w:val="-10"/>
                      <w:szCs w:val="21"/>
                      <w:highlight w:val="none"/>
                    </w:rPr>
                    <w:t>COD</w:t>
                  </w:r>
                </w:p>
              </w:tc>
              <w:tc>
                <w:tcPr>
                  <w:tcW w:w="1221"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418"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55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3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14"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90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9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1022"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13"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8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737" w:type="dxa"/>
                  <w:tcBorders>
                    <w:tl2br w:val="nil"/>
                    <w:tr2bl w:val="nil"/>
                  </w:tcBorders>
                  <w:vAlign w:val="center"/>
                </w:tcPr>
                <w:p>
                  <w:pPr>
                    <w:pStyle w:val="81"/>
                    <w:keepLines w:val="0"/>
                    <w:pageBreakBefore w:val="0"/>
                    <w:wordWrap/>
                    <w:topLinePunct w:val="0"/>
                    <w:bidi w:val="0"/>
                    <w:spacing w:line="240" w:lineRule="auto"/>
                    <w:outlineLvl w:val="9"/>
                    <w:rPr>
                      <w:rFonts w:cs="Times New Roman"/>
                      <w:szCs w:val="21"/>
                      <w:highlight w:val="none"/>
                    </w:rPr>
                  </w:pPr>
                  <w:r>
                    <w:rPr>
                      <w:spacing w:val="-10"/>
                      <w:szCs w:val="21"/>
                      <w:highlight w:val="none"/>
                    </w:rPr>
                    <w:t>BOD</w:t>
                  </w:r>
                  <w:r>
                    <w:rPr>
                      <w:spacing w:val="-10"/>
                      <w:szCs w:val="21"/>
                      <w:highlight w:val="none"/>
                      <w:vertAlign w:val="subscript"/>
                    </w:rPr>
                    <w:t>5</w:t>
                  </w:r>
                </w:p>
              </w:tc>
              <w:tc>
                <w:tcPr>
                  <w:tcW w:w="1221"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0" w:hRule="atLeast"/>
                <w:jc w:val="center"/>
              </w:trPr>
              <w:tc>
                <w:tcPr>
                  <w:tcW w:w="418"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55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3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14"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90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9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1022"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13"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8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737" w:type="dxa"/>
                  <w:tcBorders>
                    <w:tl2br w:val="nil"/>
                    <w:tr2bl w:val="nil"/>
                  </w:tcBorders>
                  <w:vAlign w:val="center"/>
                </w:tcPr>
                <w:p>
                  <w:pPr>
                    <w:pStyle w:val="81"/>
                    <w:keepLines w:val="0"/>
                    <w:pageBreakBefore w:val="0"/>
                    <w:wordWrap/>
                    <w:topLinePunct w:val="0"/>
                    <w:bidi w:val="0"/>
                    <w:spacing w:line="240" w:lineRule="auto"/>
                    <w:outlineLvl w:val="9"/>
                    <w:rPr>
                      <w:rFonts w:cs="Times New Roman"/>
                      <w:szCs w:val="21"/>
                      <w:highlight w:val="none"/>
                    </w:rPr>
                  </w:pPr>
                  <w:r>
                    <w:rPr>
                      <w:spacing w:val="-10"/>
                      <w:szCs w:val="21"/>
                      <w:highlight w:val="none"/>
                    </w:rPr>
                    <w:t>SS</w:t>
                  </w:r>
                </w:p>
              </w:tc>
              <w:tc>
                <w:tcPr>
                  <w:tcW w:w="1221"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42" w:hRule="atLeast"/>
                <w:jc w:val="center"/>
              </w:trPr>
              <w:tc>
                <w:tcPr>
                  <w:tcW w:w="418"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55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3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14"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90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9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1022"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13"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8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737" w:type="dxa"/>
                  <w:tcBorders>
                    <w:tl2br w:val="nil"/>
                    <w:tr2bl w:val="nil"/>
                  </w:tcBorders>
                  <w:vAlign w:val="center"/>
                </w:tcPr>
                <w:p>
                  <w:pPr>
                    <w:pStyle w:val="81"/>
                    <w:keepLines w:val="0"/>
                    <w:pageBreakBefore w:val="0"/>
                    <w:wordWrap/>
                    <w:topLinePunct w:val="0"/>
                    <w:bidi w:val="0"/>
                    <w:spacing w:line="240" w:lineRule="auto"/>
                    <w:outlineLvl w:val="9"/>
                    <w:rPr>
                      <w:rFonts w:cs="Times New Roman"/>
                      <w:szCs w:val="21"/>
                      <w:highlight w:val="none"/>
                    </w:rPr>
                  </w:pPr>
                  <w:r>
                    <w:rPr>
                      <w:rFonts w:hint="eastAsia"/>
                      <w:spacing w:val="-10"/>
                      <w:szCs w:val="21"/>
                      <w:highlight w:val="none"/>
                    </w:rPr>
                    <w:t>氨氮</w:t>
                  </w:r>
                </w:p>
              </w:tc>
              <w:tc>
                <w:tcPr>
                  <w:tcW w:w="1221"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18"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55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3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14"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90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9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1022"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13"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8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737" w:type="dxa"/>
                  <w:tcBorders>
                    <w:tl2br w:val="nil"/>
                    <w:tr2bl w:val="nil"/>
                  </w:tcBorders>
                  <w:vAlign w:val="center"/>
                </w:tcPr>
                <w:p>
                  <w:pPr>
                    <w:pStyle w:val="81"/>
                    <w:keepLines w:val="0"/>
                    <w:pageBreakBefore w:val="0"/>
                    <w:wordWrap/>
                    <w:topLinePunct w:val="0"/>
                    <w:bidi w:val="0"/>
                    <w:spacing w:line="240" w:lineRule="auto"/>
                    <w:outlineLvl w:val="9"/>
                    <w:rPr>
                      <w:rFonts w:cs="Times New Roman"/>
                      <w:szCs w:val="21"/>
                      <w:highlight w:val="none"/>
                    </w:rPr>
                  </w:pPr>
                  <w:r>
                    <w:rPr>
                      <w:spacing w:val="-10"/>
                      <w:szCs w:val="21"/>
                      <w:highlight w:val="none"/>
                    </w:rPr>
                    <w:t>总磷</w:t>
                  </w:r>
                </w:p>
              </w:tc>
              <w:tc>
                <w:tcPr>
                  <w:tcW w:w="1221"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rFonts w:hint="eastAsia"/>
                      <w:szCs w:val="21"/>
                      <w:highlight w:val="none"/>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418"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55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3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814"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90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91"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1022"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13"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689" w:type="dxa"/>
                  <w:vMerge w:val="continue"/>
                  <w:tcBorders>
                    <w:tl2br w:val="nil"/>
                    <w:tr2bl w:val="nil"/>
                  </w:tcBorders>
                  <w:vAlign w:val="center"/>
                </w:tcPr>
                <w:p>
                  <w:pPr>
                    <w:keepLines w:val="0"/>
                    <w:pageBreakBefore w:val="0"/>
                    <w:wordWrap/>
                    <w:topLinePunct w:val="0"/>
                    <w:bidi w:val="0"/>
                    <w:ind w:firstLine="420"/>
                    <w:contextualSpacing/>
                    <w:jc w:val="center"/>
                    <w:outlineLvl w:val="9"/>
                    <w:rPr>
                      <w:szCs w:val="21"/>
                      <w:highlight w:val="none"/>
                    </w:rPr>
                  </w:pPr>
                </w:p>
              </w:tc>
              <w:tc>
                <w:tcPr>
                  <w:tcW w:w="737" w:type="dxa"/>
                  <w:tcBorders>
                    <w:tl2br w:val="nil"/>
                    <w:tr2bl w:val="nil"/>
                  </w:tcBorders>
                  <w:vAlign w:val="center"/>
                </w:tcPr>
                <w:p>
                  <w:pPr>
                    <w:pStyle w:val="81"/>
                    <w:keepLines w:val="0"/>
                    <w:pageBreakBefore w:val="0"/>
                    <w:wordWrap/>
                    <w:topLinePunct w:val="0"/>
                    <w:bidi w:val="0"/>
                    <w:spacing w:line="240" w:lineRule="auto"/>
                    <w:outlineLvl w:val="9"/>
                    <w:rPr>
                      <w:rFonts w:cs="Times New Roman"/>
                      <w:szCs w:val="21"/>
                      <w:highlight w:val="none"/>
                    </w:rPr>
                  </w:pPr>
                  <w:r>
                    <w:rPr>
                      <w:rFonts w:hint="eastAsia"/>
                      <w:spacing w:val="-10"/>
                      <w:szCs w:val="21"/>
                      <w:highlight w:val="none"/>
                    </w:rPr>
                    <w:t>动植物油</w:t>
                  </w:r>
                </w:p>
              </w:tc>
              <w:tc>
                <w:tcPr>
                  <w:tcW w:w="1221" w:type="dxa"/>
                  <w:tcBorders>
                    <w:tl2br w:val="nil"/>
                    <w:tr2bl w:val="nil"/>
                  </w:tcBorders>
                  <w:vAlign w:val="center"/>
                </w:tcPr>
                <w:p>
                  <w:pPr>
                    <w:keepLines w:val="0"/>
                    <w:pageBreakBefore w:val="0"/>
                    <w:wordWrap/>
                    <w:topLinePunct w:val="0"/>
                    <w:bidi w:val="0"/>
                    <w:contextualSpacing/>
                    <w:jc w:val="center"/>
                    <w:outlineLvl w:val="9"/>
                    <w:rPr>
                      <w:szCs w:val="21"/>
                      <w:highlight w:val="none"/>
                    </w:rPr>
                  </w:pPr>
                  <w:r>
                    <w:rPr>
                      <w:szCs w:val="21"/>
                      <w:highlight w:val="none"/>
                    </w:rPr>
                    <w:t>10</w:t>
                  </w:r>
                  <w:r>
                    <w:rPr>
                      <w:szCs w:val="21"/>
                      <w:highlight w:val="none"/>
                      <w:vertAlign w:val="superscript"/>
                    </w:rPr>
                    <w:t>5</w:t>
                  </w:r>
                  <w:r>
                    <w:rPr>
                      <w:szCs w:val="21"/>
                      <w:highlight w:val="none"/>
                    </w:rPr>
                    <w:t>（个/L）</w:t>
                  </w:r>
                </w:p>
              </w:tc>
            </w:tr>
          </w:tbl>
          <w:p>
            <w:pPr>
              <w:keepLines w:val="0"/>
              <w:pageBreakBefore w:val="0"/>
              <w:wordWrap/>
              <w:topLinePunct w:val="0"/>
              <w:bidi w:val="0"/>
              <w:spacing w:line="360" w:lineRule="auto"/>
              <w:ind w:firstLine="480"/>
              <w:outlineLvl w:val="9"/>
              <w:rPr>
                <w:sz w:val="24"/>
                <w:highlight w:val="none"/>
              </w:rPr>
            </w:pPr>
            <w:r>
              <w:rPr>
                <w:sz w:val="24"/>
                <w:highlight w:val="none"/>
              </w:rPr>
              <w:t>（</w:t>
            </w:r>
            <w:r>
              <w:rPr>
                <w:rFonts w:hint="eastAsia"/>
                <w:sz w:val="24"/>
                <w:highlight w:val="none"/>
              </w:rPr>
              <w:t>2</w:t>
            </w:r>
            <w:r>
              <w:rPr>
                <w:sz w:val="24"/>
                <w:highlight w:val="none"/>
              </w:rPr>
              <w:t>）废水监测要求</w:t>
            </w:r>
          </w:p>
          <w:p>
            <w:pPr>
              <w:keepLines w:val="0"/>
              <w:pageBreakBefore w:val="0"/>
              <w:wordWrap/>
              <w:topLinePunct w:val="0"/>
              <w:bidi w:val="0"/>
              <w:spacing w:line="360" w:lineRule="auto"/>
              <w:ind w:firstLine="480"/>
              <w:outlineLvl w:val="9"/>
              <w:rPr>
                <w:sz w:val="24"/>
                <w:highlight w:val="none"/>
              </w:rPr>
            </w:pPr>
            <w:r>
              <w:rPr>
                <w:bCs/>
                <w:kern w:val="0"/>
                <w:sz w:val="24"/>
                <w:highlight w:val="none"/>
              </w:rPr>
              <w:t>依据《排污单位自行监测技术指南 总则》（HJ819-2017）</w:t>
            </w:r>
            <w:r>
              <w:rPr>
                <w:rFonts w:hint="eastAsia"/>
                <w:bCs/>
                <w:kern w:val="0"/>
                <w:sz w:val="24"/>
                <w:highlight w:val="none"/>
              </w:rPr>
              <w:t>、</w:t>
            </w:r>
            <w:r>
              <w:rPr>
                <w:bCs/>
                <w:spacing w:val="-10"/>
                <w:sz w:val="24"/>
                <w:highlight w:val="none"/>
              </w:rPr>
              <w:t>《排污单位自行监测技术指南 食品制造》（HJ1084-2020）</w:t>
            </w:r>
            <w:r>
              <w:rPr>
                <w:bCs/>
                <w:kern w:val="0"/>
                <w:sz w:val="24"/>
                <w:highlight w:val="none"/>
              </w:rPr>
              <w:t>要求，确定本项目废水污染源监测计划，具体</w:t>
            </w:r>
            <w:r>
              <w:rPr>
                <w:kern w:val="0"/>
                <w:sz w:val="24"/>
                <w:highlight w:val="none"/>
              </w:rPr>
              <w:t>见下表。</w:t>
            </w:r>
          </w:p>
          <w:p>
            <w:pPr>
              <w:pStyle w:val="76"/>
              <w:keepLines w:val="0"/>
              <w:pageBreakBefore w:val="0"/>
              <w:wordWrap/>
              <w:topLinePunct w:val="0"/>
              <w:bidi w:val="0"/>
              <w:spacing w:before="0" w:after="0"/>
              <w:outlineLvl w:val="9"/>
              <w:rPr>
                <w:rFonts w:ascii="Times New Roman" w:hAnsi="Times New Roman" w:eastAsia="宋体"/>
                <w:sz w:val="21"/>
                <w:szCs w:val="21"/>
                <w:highlight w:val="none"/>
              </w:rPr>
            </w:pPr>
            <w:bookmarkStart w:id="172" w:name="_Toc10919"/>
            <w:bookmarkStart w:id="173" w:name="_Toc26656"/>
            <w:bookmarkStart w:id="174" w:name="_Toc7684"/>
            <w:bookmarkStart w:id="175" w:name="_Toc23964"/>
            <w:bookmarkStart w:id="176" w:name="_Toc6417"/>
            <w:bookmarkStart w:id="177" w:name="_Toc10348"/>
            <w:bookmarkStart w:id="178" w:name="_Toc31407"/>
            <w:bookmarkStart w:id="179" w:name="_Toc1766"/>
            <w:bookmarkStart w:id="180" w:name="_Toc21946"/>
            <w:bookmarkStart w:id="181" w:name="_Toc750"/>
            <w:bookmarkStart w:id="182" w:name="_Toc7936"/>
            <w:r>
              <w:rPr>
                <w:rFonts w:ascii="Times New Roman" w:hAnsi="Times New Roman" w:eastAsia="宋体"/>
                <w:sz w:val="21"/>
                <w:szCs w:val="21"/>
                <w:highlight w:val="none"/>
              </w:rPr>
              <w:t>表4-</w:t>
            </w:r>
            <w:r>
              <w:rPr>
                <w:rFonts w:hint="eastAsia" w:ascii="Times New Roman" w:hAnsi="Times New Roman" w:eastAsia="宋体"/>
                <w:sz w:val="21"/>
                <w:szCs w:val="21"/>
                <w:highlight w:val="none"/>
              </w:rPr>
              <w:t xml:space="preserve">5 </w:t>
            </w:r>
            <w:r>
              <w:rPr>
                <w:rFonts w:ascii="Times New Roman" w:hAnsi="Times New Roman" w:eastAsia="宋体"/>
                <w:sz w:val="21"/>
                <w:szCs w:val="21"/>
                <w:highlight w:val="none"/>
              </w:rPr>
              <w:t>监测计划</w:t>
            </w:r>
            <w:bookmarkEnd w:id="172"/>
            <w:bookmarkEnd w:id="173"/>
            <w:bookmarkEnd w:id="174"/>
            <w:bookmarkEnd w:id="175"/>
            <w:bookmarkEnd w:id="176"/>
            <w:bookmarkEnd w:id="177"/>
            <w:bookmarkEnd w:id="178"/>
            <w:bookmarkEnd w:id="179"/>
            <w:bookmarkEnd w:id="180"/>
            <w:bookmarkEnd w:id="181"/>
            <w:bookmarkEnd w:id="182"/>
          </w:p>
          <w:tbl>
            <w:tblPr>
              <w:tblStyle w:val="29"/>
              <w:tblW w:w="497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Layout w:type="fixed"/>
              <w:tblCellMar>
                <w:top w:w="0" w:type="dxa"/>
                <w:left w:w="0" w:type="dxa"/>
                <w:bottom w:w="0" w:type="dxa"/>
                <w:right w:w="0" w:type="dxa"/>
              </w:tblCellMar>
            </w:tblPr>
            <w:tblGrid>
              <w:gridCol w:w="940"/>
              <w:gridCol w:w="1733"/>
              <w:gridCol w:w="3745"/>
              <w:gridCol w:w="2231"/>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211" w:hRule="atLeast"/>
                <w:jc w:val="center"/>
              </w:trPr>
              <w:tc>
                <w:tcPr>
                  <w:tcW w:w="543" w:type="pct"/>
                  <w:vAlign w:val="center"/>
                </w:tcPr>
                <w:p>
                  <w:pPr>
                    <w:keepLines w:val="0"/>
                    <w:pageBreakBefore w:val="0"/>
                    <w:wordWrap/>
                    <w:topLinePunct w:val="0"/>
                    <w:bidi w:val="0"/>
                    <w:contextualSpacing/>
                    <w:jc w:val="center"/>
                    <w:outlineLvl w:val="9"/>
                    <w:rPr>
                      <w:szCs w:val="21"/>
                      <w:highlight w:val="none"/>
                    </w:rPr>
                  </w:pPr>
                  <w:r>
                    <w:rPr>
                      <w:szCs w:val="21"/>
                      <w:highlight w:val="none"/>
                    </w:rPr>
                    <w:t>环境要素</w:t>
                  </w:r>
                </w:p>
              </w:tc>
              <w:tc>
                <w:tcPr>
                  <w:tcW w:w="1001" w:type="pct"/>
                  <w:vAlign w:val="center"/>
                </w:tcPr>
                <w:p>
                  <w:pPr>
                    <w:keepLines w:val="0"/>
                    <w:pageBreakBefore w:val="0"/>
                    <w:wordWrap/>
                    <w:topLinePunct w:val="0"/>
                    <w:bidi w:val="0"/>
                    <w:contextualSpacing/>
                    <w:jc w:val="center"/>
                    <w:outlineLvl w:val="9"/>
                    <w:rPr>
                      <w:szCs w:val="21"/>
                      <w:highlight w:val="none"/>
                    </w:rPr>
                  </w:pPr>
                  <w:r>
                    <w:rPr>
                      <w:szCs w:val="21"/>
                      <w:highlight w:val="none"/>
                    </w:rPr>
                    <w:t>监测地点</w:t>
                  </w:r>
                </w:p>
              </w:tc>
              <w:tc>
                <w:tcPr>
                  <w:tcW w:w="2164" w:type="pct"/>
                  <w:vAlign w:val="center"/>
                </w:tcPr>
                <w:p>
                  <w:pPr>
                    <w:keepLines w:val="0"/>
                    <w:pageBreakBefore w:val="0"/>
                    <w:wordWrap/>
                    <w:topLinePunct w:val="0"/>
                    <w:bidi w:val="0"/>
                    <w:contextualSpacing/>
                    <w:jc w:val="center"/>
                    <w:outlineLvl w:val="9"/>
                    <w:rPr>
                      <w:szCs w:val="21"/>
                      <w:highlight w:val="none"/>
                    </w:rPr>
                  </w:pPr>
                  <w:r>
                    <w:rPr>
                      <w:szCs w:val="21"/>
                      <w:highlight w:val="none"/>
                    </w:rPr>
                    <w:t>监测项目</w:t>
                  </w:r>
                </w:p>
              </w:tc>
              <w:tc>
                <w:tcPr>
                  <w:tcW w:w="1289" w:type="pct"/>
                  <w:vAlign w:val="center"/>
                </w:tcPr>
                <w:p>
                  <w:pPr>
                    <w:keepLines w:val="0"/>
                    <w:pageBreakBefore w:val="0"/>
                    <w:wordWrap/>
                    <w:topLinePunct w:val="0"/>
                    <w:bidi w:val="0"/>
                    <w:contextualSpacing/>
                    <w:jc w:val="center"/>
                    <w:outlineLvl w:val="9"/>
                    <w:rPr>
                      <w:szCs w:val="21"/>
                      <w:highlight w:val="none"/>
                    </w:rPr>
                  </w:pPr>
                  <w:r>
                    <w:rPr>
                      <w:szCs w:val="21"/>
                      <w:highlight w:val="none"/>
                    </w:rPr>
                    <w:t>监测时间及频率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6" w:space="0"/>
                </w:tblBorders>
                <w:tblCellMar>
                  <w:top w:w="0" w:type="dxa"/>
                  <w:left w:w="0" w:type="dxa"/>
                  <w:bottom w:w="0" w:type="dxa"/>
                  <w:right w:w="0" w:type="dxa"/>
                </w:tblCellMar>
              </w:tblPrEx>
              <w:trPr>
                <w:trHeight w:val="90" w:hRule="atLeast"/>
                <w:jc w:val="center"/>
              </w:trPr>
              <w:tc>
                <w:tcPr>
                  <w:tcW w:w="543" w:type="pct"/>
                  <w:vAlign w:val="center"/>
                </w:tcPr>
                <w:p>
                  <w:pPr>
                    <w:keepLines w:val="0"/>
                    <w:pageBreakBefore w:val="0"/>
                    <w:wordWrap/>
                    <w:topLinePunct w:val="0"/>
                    <w:bidi w:val="0"/>
                    <w:contextualSpacing/>
                    <w:jc w:val="center"/>
                    <w:outlineLvl w:val="9"/>
                    <w:rPr>
                      <w:szCs w:val="21"/>
                      <w:highlight w:val="none"/>
                    </w:rPr>
                  </w:pPr>
                  <w:r>
                    <w:rPr>
                      <w:szCs w:val="21"/>
                      <w:highlight w:val="none"/>
                    </w:rPr>
                    <w:t>水环境</w:t>
                  </w:r>
                </w:p>
              </w:tc>
              <w:tc>
                <w:tcPr>
                  <w:tcW w:w="1001" w:type="pct"/>
                  <w:vAlign w:val="center"/>
                </w:tcPr>
                <w:p>
                  <w:pPr>
                    <w:keepLines w:val="0"/>
                    <w:pageBreakBefore w:val="0"/>
                    <w:wordWrap/>
                    <w:topLinePunct w:val="0"/>
                    <w:bidi w:val="0"/>
                    <w:contextualSpacing/>
                    <w:jc w:val="center"/>
                    <w:outlineLvl w:val="9"/>
                    <w:rPr>
                      <w:szCs w:val="21"/>
                      <w:highlight w:val="none"/>
                    </w:rPr>
                  </w:pPr>
                  <w:r>
                    <w:rPr>
                      <w:rFonts w:hint="eastAsia"/>
                      <w:szCs w:val="21"/>
                      <w:highlight w:val="none"/>
                    </w:rPr>
                    <w:t>总排口</w:t>
                  </w:r>
                </w:p>
              </w:tc>
              <w:tc>
                <w:tcPr>
                  <w:tcW w:w="2164" w:type="pct"/>
                  <w:vAlign w:val="center"/>
                </w:tcPr>
                <w:p>
                  <w:pPr>
                    <w:keepLines w:val="0"/>
                    <w:pageBreakBefore w:val="0"/>
                    <w:wordWrap/>
                    <w:topLinePunct w:val="0"/>
                    <w:bidi w:val="0"/>
                    <w:contextualSpacing/>
                    <w:jc w:val="center"/>
                    <w:outlineLvl w:val="9"/>
                    <w:rPr>
                      <w:szCs w:val="21"/>
                      <w:highlight w:val="none"/>
                    </w:rPr>
                  </w:pPr>
                  <w:r>
                    <w:rPr>
                      <w:rFonts w:hint="eastAsia"/>
                      <w:szCs w:val="21"/>
                      <w:highlight w:val="none"/>
                    </w:rPr>
                    <w:t>pH、</w:t>
                  </w:r>
                  <w:r>
                    <w:rPr>
                      <w:spacing w:val="-10"/>
                      <w:szCs w:val="21"/>
                      <w:highlight w:val="none"/>
                    </w:rPr>
                    <w:t>COD</w:t>
                  </w:r>
                  <w:r>
                    <w:rPr>
                      <w:szCs w:val="21"/>
                      <w:highlight w:val="none"/>
                    </w:rPr>
                    <w:t>、</w:t>
                  </w:r>
                  <w:r>
                    <w:rPr>
                      <w:spacing w:val="-10"/>
                      <w:szCs w:val="21"/>
                      <w:highlight w:val="none"/>
                    </w:rPr>
                    <w:t>BOD</w:t>
                  </w:r>
                  <w:r>
                    <w:rPr>
                      <w:spacing w:val="-10"/>
                      <w:szCs w:val="21"/>
                      <w:highlight w:val="none"/>
                      <w:vertAlign w:val="subscript"/>
                    </w:rPr>
                    <w:t>5</w:t>
                  </w:r>
                  <w:r>
                    <w:rPr>
                      <w:szCs w:val="21"/>
                      <w:highlight w:val="none"/>
                    </w:rPr>
                    <w:t>、</w:t>
                  </w:r>
                  <w:r>
                    <w:rPr>
                      <w:spacing w:val="-10"/>
                      <w:szCs w:val="21"/>
                      <w:highlight w:val="none"/>
                    </w:rPr>
                    <w:t>SS</w:t>
                  </w:r>
                  <w:r>
                    <w:rPr>
                      <w:szCs w:val="21"/>
                      <w:highlight w:val="none"/>
                    </w:rPr>
                    <w:t>、氨氮、总磷</w:t>
                  </w:r>
                </w:p>
              </w:tc>
              <w:tc>
                <w:tcPr>
                  <w:tcW w:w="1289" w:type="pct"/>
                  <w:vAlign w:val="center"/>
                </w:tcPr>
                <w:p>
                  <w:pPr>
                    <w:keepLines w:val="0"/>
                    <w:pageBreakBefore w:val="0"/>
                    <w:wordWrap/>
                    <w:topLinePunct w:val="0"/>
                    <w:bidi w:val="0"/>
                    <w:contextualSpacing/>
                    <w:jc w:val="center"/>
                    <w:outlineLvl w:val="9"/>
                    <w:rPr>
                      <w:szCs w:val="21"/>
                      <w:highlight w:val="none"/>
                    </w:rPr>
                  </w:pPr>
                  <w:r>
                    <w:rPr>
                      <w:szCs w:val="21"/>
                      <w:highlight w:val="none"/>
                    </w:rPr>
                    <w:t>1 次/半年</w:t>
                  </w:r>
                </w:p>
              </w:tc>
            </w:tr>
          </w:tbl>
          <w:p>
            <w:pPr>
              <w:pStyle w:val="111"/>
              <w:keepLines w:val="0"/>
              <w:pageBreakBefore w:val="0"/>
              <w:wordWrap/>
              <w:topLinePunct w:val="0"/>
              <w:autoSpaceDE w:val="0"/>
              <w:autoSpaceDN w:val="0"/>
              <w:bidi w:val="0"/>
              <w:spacing w:line="360" w:lineRule="auto"/>
              <w:ind w:firstLine="480" w:firstLineChars="200"/>
              <w:jc w:val="both"/>
              <w:outlineLvl w:val="9"/>
              <w:rPr>
                <w:sz w:val="24"/>
                <w:szCs w:val="24"/>
                <w:highlight w:val="none"/>
              </w:rPr>
            </w:pPr>
            <w:r>
              <w:rPr>
                <w:sz w:val="24"/>
                <w:szCs w:val="24"/>
                <w:highlight w:val="none"/>
              </w:rPr>
              <w:t xml:space="preserve">（二）污染防治措施及可行性分析 </w:t>
            </w:r>
          </w:p>
          <w:p>
            <w:pPr>
              <w:pStyle w:val="111"/>
              <w:keepLines w:val="0"/>
              <w:pageBreakBefore w:val="0"/>
              <w:wordWrap/>
              <w:topLinePunct w:val="0"/>
              <w:autoSpaceDE w:val="0"/>
              <w:autoSpaceDN w:val="0"/>
              <w:bidi w:val="0"/>
              <w:spacing w:line="360" w:lineRule="auto"/>
              <w:ind w:firstLine="480" w:firstLineChars="200"/>
              <w:jc w:val="both"/>
              <w:outlineLvl w:val="9"/>
              <w:rPr>
                <w:sz w:val="24"/>
                <w:szCs w:val="24"/>
                <w:highlight w:val="none"/>
              </w:rPr>
            </w:pPr>
            <w:r>
              <w:rPr>
                <w:sz w:val="24"/>
                <w:szCs w:val="24"/>
                <w:highlight w:val="none"/>
              </w:rPr>
              <w:t>（1）废水污染防治措施</w:t>
            </w:r>
          </w:p>
          <w:p>
            <w:pPr>
              <w:pStyle w:val="111"/>
              <w:keepLines w:val="0"/>
              <w:pageBreakBefore w:val="0"/>
              <w:wordWrap/>
              <w:topLinePunct w:val="0"/>
              <w:autoSpaceDE w:val="0"/>
              <w:autoSpaceDN w:val="0"/>
              <w:bidi w:val="0"/>
              <w:spacing w:line="360" w:lineRule="auto"/>
              <w:ind w:firstLine="480" w:firstLineChars="200"/>
              <w:jc w:val="both"/>
              <w:outlineLvl w:val="9"/>
              <w:rPr>
                <w:sz w:val="24"/>
                <w:szCs w:val="24"/>
                <w:highlight w:val="none"/>
              </w:rPr>
            </w:pPr>
            <w:r>
              <w:rPr>
                <w:sz w:val="24"/>
                <w:highlight w:val="none"/>
              </w:rPr>
              <w:t>本项目锅炉排污水和软化处理废水用于锅炉除渣、除灰和锅炉间地面洒水降尘，不外排。</w:t>
            </w:r>
            <w:r>
              <w:rPr>
                <w:sz w:val="24"/>
                <w:szCs w:val="24"/>
                <w:highlight w:val="none"/>
              </w:rPr>
              <w:t>本项目</w:t>
            </w:r>
            <w:r>
              <w:rPr>
                <w:rFonts w:hint="eastAsia"/>
                <w:sz w:val="24"/>
                <w:szCs w:val="24"/>
                <w:highlight w:val="none"/>
              </w:rPr>
              <w:t>生活污水、</w:t>
            </w:r>
            <w:r>
              <w:rPr>
                <w:sz w:val="24"/>
                <w:highlight w:val="none"/>
                <w:lang w:val="zh-CN"/>
              </w:rPr>
              <w:t>设备清洗废水</w:t>
            </w:r>
            <w:r>
              <w:rPr>
                <w:sz w:val="24"/>
                <w:highlight w:val="none"/>
              </w:rPr>
              <w:t>、玉米清洗废水、</w:t>
            </w:r>
            <w:r>
              <w:rPr>
                <w:rFonts w:hint="eastAsia"/>
                <w:sz w:val="24"/>
                <w:highlight w:val="none"/>
              </w:rPr>
              <w:t>玉米蒸煮冷凝水</w:t>
            </w:r>
            <w:r>
              <w:rPr>
                <w:rFonts w:hint="eastAsia"/>
                <w:bCs/>
                <w:sz w:val="24"/>
                <w:szCs w:val="24"/>
                <w:highlight w:val="none"/>
              </w:rPr>
              <w:t>一同排入防渗污水储</w:t>
            </w:r>
            <w:r>
              <w:rPr>
                <w:rFonts w:hint="eastAsia"/>
                <w:bCs/>
                <w:sz w:val="24"/>
                <w:highlight w:val="none"/>
              </w:rPr>
              <w:t>池。</w:t>
            </w:r>
            <w:r>
              <w:rPr>
                <w:rFonts w:hint="eastAsia"/>
                <w:bCs/>
                <w:sz w:val="24"/>
                <w:highlight w:val="none"/>
                <w:lang w:val="en-US" w:eastAsia="zh-CN"/>
              </w:rPr>
              <w:t>综合</w:t>
            </w:r>
            <w:r>
              <w:rPr>
                <w:rFonts w:hint="eastAsia"/>
                <w:bCs/>
                <w:sz w:val="24"/>
                <w:highlight w:val="none"/>
              </w:rPr>
              <w:t>废水满足《污水综合排放标准》（GB8978-1996）三级标准</w:t>
            </w:r>
            <w:r>
              <w:rPr>
                <w:rFonts w:hint="eastAsia"/>
                <w:bCs/>
                <w:sz w:val="24"/>
                <w:highlight w:val="none"/>
                <w:lang w:val="en-US" w:eastAsia="zh-CN"/>
              </w:rPr>
              <w:t>及水水处理厂进水水质要求</w:t>
            </w:r>
            <w:r>
              <w:rPr>
                <w:rFonts w:hint="eastAsia"/>
                <w:bCs/>
                <w:sz w:val="24"/>
                <w:highlight w:val="none"/>
              </w:rPr>
              <w:t>，由罐车自行拉运排入</w:t>
            </w:r>
            <w:r>
              <w:rPr>
                <w:rFonts w:hint="eastAsia"/>
                <w:bCs/>
                <w:sz w:val="24"/>
                <w:highlight w:val="none"/>
                <w:lang w:eastAsia="zh-CN"/>
              </w:rPr>
              <w:t>双鸭山市四洁水处理有限责任公司（四洁污水处理厂）</w:t>
            </w:r>
            <w:r>
              <w:rPr>
                <w:rFonts w:hint="eastAsia"/>
                <w:bCs/>
                <w:sz w:val="24"/>
                <w:highlight w:val="none"/>
              </w:rPr>
              <w:t>，处理后排入扁石河，最终排入七星河。</w:t>
            </w:r>
          </w:p>
          <w:p>
            <w:pPr>
              <w:keepLines w:val="0"/>
              <w:pageBreakBefore w:val="0"/>
              <w:wordWrap/>
              <w:topLinePunct w:val="0"/>
              <w:bidi w:val="0"/>
              <w:spacing w:line="360" w:lineRule="auto"/>
              <w:ind w:firstLine="480"/>
              <w:outlineLvl w:val="9"/>
              <w:rPr>
                <w:position w:val="6"/>
                <w:sz w:val="24"/>
                <w:highlight w:val="none"/>
              </w:rPr>
            </w:pPr>
            <w:r>
              <w:rPr>
                <w:position w:val="6"/>
                <w:sz w:val="24"/>
                <w:highlight w:val="none"/>
              </w:rPr>
              <w:t>（2）</w:t>
            </w:r>
            <w:r>
              <w:rPr>
                <w:rFonts w:hint="eastAsia"/>
                <w:position w:val="6"/>
                <w:sz w:val="24"/>
                <w:highlight w:val="none"/>
                <w:lang w:eastAsia="zh-CN"/>
              </w:rPr>
              <w:t>双鸭山市四洁水处理有限责任公司（四洁污水处理厂）</w:t>
            </w:r>
            <w:r>
              <w:rPr>
                <w:position w:val="6"/>
                <w:sz w:val="24"/>
                <w:highlight w:val="none"/>
              </w:rPr>
              <w:t>依托可行性分析</w:t>
            </w:r>
          </w:p>
          <w:p>
            <w:pPr>
              <w:keepLines w:val="0"/>
              <w:pageBreakBefore w:val="0"/>
              <w:wordWrap/>
              <w:topLinePunct w:val="0"/>
              <w:bidi w:val="0"/>
              <w:spacing w:line="360" w:lineRule="auto"/>
              <w:ind w:firstLine="480"/>
              <w:outlineLvl w:val="9"/>
              <w:rPr>
                <w:position w:val="6"/>
                <w:sz w:val="24"/>
                <w:highlight w:val="none"/>
              </w:rPr>
            </w:pPr>
            <w:r>
              <w:rPr>
                <w:position w:val="6"/>
                <w:sz w:val="24"/>
                <w:highlight w:val="none"/>
              </w:rPr>
              <w:t>本项目废水</w:t>
            </w:r>
            <w:r>
              <w:rPr>
                <w:rFonts w:hint="eastAsia"/>
                <w:position w:val="6"/>
                <w:sz w:val="24"/>
                <w:highlight w:val="none"/>
              </w:rPr>
              <w:t>暂存于防渗污水储池，定期拉运至</w:t>
            </w:r>
            <w:r>
              <w:rPr>
                <w:rFonts w:hint="eastAsia"/>
                <w:position w:val="6"/>
                <w:sz w:val="24"/>
                <w:highlight w:val="none"/>
                <w:lang w:eastAsia="zh-CN"/>
              </w:rPr>
              <w:t>双鸭山市四洁水处理有限责任公司（四洁污水处理厂）</w:t>
            </w:r>
            <w:r>
              <w:rPr>
                <w:position w:val="6"/>
                <w:sz w:val="24"/>
                <w:highlight w:val="none"/>
              </w:rPr>
              <w:t>处理，</w:t>
            </w:r>
            <w:r>
              <w:rPr>
                <w:rFonts w:hint="eastAsia"/>
                <w:position w:val="6"/>
                <w:sz w:val="24"/>
                <w:highlight w:val="none"/>
                <w:lang w:eastAsia="zh-CN"/>
              </w:rPr>
              <w:t>双鸭山市四洁水处理有限责任公司（四洁污水处理厂）</w:t>
            </w:r>
            <w:r>
              <w:rPr>
                <w:position w:val="6"/>
                <w:sz w:val="24"/>
                <w:highlight w:val="none"/>
              </w:rPr>
              <w:t>设计处理规模</w:t>
            </w:r>
            <w:r>
              <w:rPr>
                <w:rFonts w:hint="eastAsia"/>
                <w:position w:val="6"/>
                <w:sz w:val="24"/>
                <w:highlight w:val="none"/>
              </w:rPr>
              <w:t>1万m</w:t>
            </w:r>
            <w:r>
              <w:rPr>
                <w:rFonts w:hint="eastAsia"/>
                <w:position w:val="6"/>
                <w:sz w:val="24"/>
                <w:highlight w:val="none"/>
                <w:vertAlign w:val="superscript"/>
              </w:rPr>
              <w:t>3</w:t>
            </w:r>
            <w:r>
              <w:rPr>
                <w:rFonts w:hint="eastAsia"/>
                <w:position w:val="6"/>
                <w:sz w:val="24"/>
                <w:highlight w:val="none"/>
              </w:rPr>
              <w:t>/d</w:t>
            </w:r>
            <w:r>
              <w:rPr>
                <w:position w:val="6"/>
                <w:sz w:val="24"/>
                <w:highlight w:val="none"/>
              </w:rPr>
              <w:t>，采用污水处理工艺为：进水→粗格栅及提升泵站→细格栅及旋流沉砂池→</w:t>
            </w:r>
            <w:r>
              <w:rPr>
                <w:rFonts w:hint="eastAsia"/>
                <w:position w:val="6"/>
                <w:sz w:val="24"/>
                <w:highlight w:val="none"/>
              </w:rPr>
              <w:t>调节池</w:t>
            </w:r>
            <w:r>
              <w:rPr>
                <w:position w:val="6"/>
                <w:sz w:val="24"/>
                <w:highlight w:val="none"/>
              </w:rPr>
              <w:t>→A</w:t>
            </w:r>
            <w:r>
              <w:rPr>
                <w:rFonts w:hint="eastAsia"/>
                <w:position w:val="6"/>
                <w:sz w:val="24"/>
                <w:highlight w:val="none"/>
              </w:rPr>
              <w:t>2</w:t>
            </w:r>
            <w:r>
              <w:rPr>
                <w:position w:val="6"/>
                <w:sz w:val="24"/>
                <w:highlight w:val="none"/>
              </w:rPr>
              <w:t>/O</w:t>
            </w:r>
            <w:r>
              <w:rPr>
                <w:rFonts w:hint="eastAsia"/>
                <w:position w:val="6"/>
                <w:sz w:val="24"/>
                <w:highlight w:val="none"/>
              </w:rPr>
              <w:t>反应池</w:t>
            </w:r>
            <w:r>
              <w:rPr>
                <w:position w:val="6"/>
                <w:sz w:val="24"/>
                <w:highlight w:val="none"/>
              </w:rPr>
              <w:t>→</w:t>
            </w:r>
            <w:r>
              <w:rPr>
                <w:rFonts w:hint="eastAsia"/>
                <w:position w:val="6"/>
                <w:sz w:val="24"/>
                <w:highlight w:val="none"/>
              </w:rPr>
              <w:t>二沉池</w:t>
            </w:r>
            <w:r>
              <w:rPr>
                <w:position w:val="6"/>
                <w:sz w:val="24"/>
                <w:highlight w:val="none"/>
              </w:rPr>
              <w:t>→二次提升泵站及污泥泵站→</w:t>
            </w:r>
            <w:r>
              <w:rPr>
                <w:rFonts w:hint="eastAsia"/>
                <w:position w:val="6"/>
                <w:sz w:val="24"/>
                <w:highlight w:val="none"/>
              </w:rPr>
              <w:t>絮凝沉淀池</w:t>
            </w:r>
            <w:r>
              <w:rPr>
                <w:position w:val="6"/>
                <w:sz w:val="24"/>
                <w:highlight w:val="none"/>
              </w:rPr>
              <w:t>→紫外消毒，</w:t>
            </w:r>
            <w:r>
              <w:rPr>
                <w:rFonts w:hint="eastAsia"/>
                <w:position w:val="6"/>
                <w:sz w:val="24"/>
                <w:highlight w:val="none"/>
              </w:rPr>
              <w:t>入厂废水</w:t>
            </w:r>
            <w:r>
              <w:rPr>
                <w:position w:val="6"/>
                <w:sz w:val="24"/>
                <w:highlight w:val="none"/>
              </w:rPr>
              <w:t>经处理达到一级A标准后</w:t>
            </w:r>
            <w:r>
              <w:rPr>
                <w:rFonts w:hint="eastAsia"/>
                <w:position w:val="6"/>
                <w:sz w:val="24"/>
                <w:highlight w:val="none"/>
              </w:rPr>
              <w:t>排入扁石河</w:t>
            </w:r>
            <w:r>
              <w:rPr>
                <w:position w:val="6"/>
                <w:sz w:val="24"/>
                <w:highlight w:val="none"/>
              </w:rPr>
              <w:t>，汇入</w:t>
            </w:r>
            <w:r>
              <w:rPr>
                <w:rFonts w:hint="eastAsia"/>
                <w:position w:val="6"/>
                <w:sz w:val="24"/>
                <w:highlight w:val="none"/>
              </w:rPr>
              <w:t>七星河</w:t>
            </w:r>
            <w:r>
              <w:rPr>
                <w:rFonts w:hint="eastAsia"/>
                <w:sz w:val="24"/>
                <w:highlight w:val="none"/>
              </w:rPr>
              <w:t>；</w:t>
            </w:r>
            <w:r>
              <w:rPr>
                <w:rFonts w:hint="eastAsia"/>
                <w:position w:val="6"/>
                <w:sz w:val="24"/>
                <w:highlight w:val="none"/>
              </w:rPr>
              <w:t>本项目</w:t>
            </w:r>
            <w:r>
              <w:rPr>
                <w:position w:val="6"/>
                <w:sz w:val="24"/>
                <w:highlight w:val="none"/>
              </w:rPr>
              <w:t>新增废水量为</w:t>
            </w:r>
            <w:r>
              <w:rPr>
                <w:rFonts w:hint="eastAsia"/>
                <w:position w:val="6"/>
                <w:sz w:val="24"/>
                <w:highlight w:val="none"/>
              </w:rPr>
              <w:t>2.81t/d</w:t>
            </w:r>
            <w:r>
              <w:rPr>
                <w:position w:val="6"/>
                <w:sz w:val="24"/>
                <w:highlight w:val="none"/>
              </w:rPr>
              <w:t>，负荷量很小，水质不复杂，本项目排水水质符合</w:t>
            </w:r>
            <w:r>
              <w:rPr>
                <w:rFonts w:hint="eastAsia"/>
                <w:position w:val="6"/>
                <w:sz w:val="24"/>
                <w:highlight w:val="none"/>
                <w:lang w:eastAsia="zh-CN"/>
              </w:rPr>
              <w:t>双鸭山市四洁水处理有限责任公司（四洁污水处理厂）</w:t>
            </w:r>
            <w:r>
              <w:rPr>
                <w:position w:val="6"/>
                <w:sz w:val="24"/>
                <w:highlight w:val="none"/>
              </w:rPr>
              <w:t>进水水质要求。因此，本项目废水进入</w:t>
            </w:r>
            <w:r>
              <w:rPr>
                <w:rFonts w:hint="eastAsia"/>
                <w:position w:val="6"/>
                <w:sz w:val="24"/>
                <w:highlight w:val="none"/>
                <w:lang w:eastAsia="zh-CN"/>
              </w:rPr>
              <w:t>双鸭山市四洁水处理有限责任公司（四洁污水处理厂）</w:t>
            </w:r>
            <w:r>
              <w:rPr>
                <w:position w:val="6"/>
                <w:sz w:val="24"/>
                <w:highlight w:val="none"/>
              </w:rPr>
              <w:t>处理是可行的。</w:t>
            </w:r>
          </w:p>
          <w:p>
            <w:pPr>
              <w:pStyle w:val="27"/>
              <w:keepLines w:val="0"/>
              <w:pageBreakBefore w:val="0"/>
              <w:wordWrap/>
              <w:topLinePunct w:val="0"/>
              <w:bidi w:val="0"/>
              <w:snapToGrid/>
              <w:spacing w:before="0" w:after="0" w:line="360" w:lineRule="auto"/>
              <w:ind w:right="0" w:firstLine="0" w:firstLineChars="0"/>
              <w:outlineLvl w:val="9"/>
              <w:rPr>
                <w:b/>
                <w:bCs/>
                <w:sz w:val="24"/>
                <w:szCs w:val="24"/>
                <w:highlight w:val="none"/>
              </w:rPr>
            </w:pPr>
            <w:r>
              <w:rPr>
                <w:b/>
                <w:bCs/>
                <w:sz w:val="24"/>
                <w:szCs w:val="24"/>
                <w:highlight w:val="none"/>
              </w:rPr>
              <w:t>二、废气</w:t>
            </w:r>
          </w:p>
          <w:p>
            <w:pPr>
              <w:pStyle w:val="88"/>
              <w:keepLines w:val="0"/>
              <w:pageBreakBefore w:val="0"/>
              <w:wordWrap/>
              <w:topLinePunct w:val="0"/>
              <w:bidi w:val="0"/>
              <w:ind w:firstLine="480"/>
              <w:outlineLvl w:val="9"/>
              <w:rPr>
                <w:rFonts w:ascii="Times New Roman" w:hAnsi="Times New Roman"/>
                <w:highlight w:val="none"/>
              </w:rPr>
            </w:pPr>
            <w:r>
              <w:rPr>
                <w:rFonts w:hint="eastAsia"/>
                <w:highlight w:val="none"/>
              </w:rPr>
              <w:t>（一）源强核算及达标排放情况</w:t>
            </w:r>
          </w:p>
          <w:p>
            <w:pPr>
              <w:keepLines w:val="0"/>
              <w:pageBreakBefore w:val="0"/>
              <w:wordWrap/>
              <w:topLinePunct w:val="0"/>
              <w:bidi w:val="0"/>
              <w:spacing w:line="360" w:lineRule="auto"/>
              <w:ind w:firstLine="480"/>
              <w:outlineLvl w:val="9"/>
              <w:rPr>
                <w:sz w:val="24"/>
                <w:highlight w:val="none"/>
              </w:rPr>
            </w:pPr>
            <w:r>
              <w:rPr>
                <w:rFonts w:hint="eastAsia"/>
                <w:sz w:val="24"/>
                <w:highlight w:val="none"/>
              </w:rPr>
              <w:t>（1）正常工况</w:t>
            </w:r>
          </w:p>
          <w:p>
            <w:pPr>
              <w:pStyle w:val="109"/>
              <w:keepLines w:val="0"/>
              <w:pageBreakBefore w:val="0"/>
              <w:wordWrap/>
              <w:topLinePunct w:val="0"/>
              <w:bidi w:val="0"/>
              <w:spacing w:line="360" w:lineRule="auto"/>
              <w:ind w:firstLine="480"/>
              <w:outlineLvl w:val="9"/>
              <w:rPr>
                <w:highlight w:val="none"/>
              </w:rPr>
            </w:pPr>
            <w:r>
              <w:rPr>
                <w:rFonts w:hint="eastAsia"/>
                <w:highlight w:val="none"/>
              </w:rPr>
              <w:t>本项目锅炉除渣过程在锅炉房内完成，并配合洒水降尘措施，锅炉灰渣暂存在锅炉房内，杜绝露天堆放。锅炉渣在室内存放，并配合表面洒水降尘不会形成动力起尘的粉尘影响。本项目不考虑锅炉灰渣库粉尘影响。</w:t>
            </w:r>
          </w:p>
          <w:p>
            <w:pPr>
              <w:pStyle w:val="109"/>
              <w:keepLines w:val="0"/>
              <w:pageBreakBefore w:val="0"/>
              <w:wordWrap/>
              <w:topLinePunct w:val="0"/>
              <w:bidi w:val="0"/>
              <w:spacing w:line="360" w:lineRule="auto"/>
              <w:ind w:firstLine="480"/>
              <w:outlineLvl w:val="9"/>
              <w:rPr>
                <w:highlight w:val="none"/>
              </w:rPr>
            </w:pPr>
            <w:r>
              <w:rPr>
                <w:highlight w:val="none"/>
              </w:rPr>
              <w:t>本项目</w:t>
            </w:r>
            <w:r>
              <w:rPr>
                <w:rFonts w:hint="eastAsia"/>
                <w:highlight w:val="none"/>
              </w:rPr>
              <w:t>运行期产生的废气为</w:t>
            </w:r>
            <w:r>
              <w:rPr>
                <w:rFonts w:hint="eastAsia"/>
                <w:bCs/>
                <w:highlight w:val="none"/>
              </w:rPr>
              <w:t>储池产生恶臭气体、</w:t>
            </w:r>
            <w:r>
              <w:rPr>
                <w:rFonts w:hint="eastAsia"/>
                <w:highlight w:val="none"/>
              </w:rPr>
              <w:t>和燃生物质锅炉产生的锅炉烟气。</w:t>
            </w:r>
          </w:p>
          <w:p>
            <w:pPr>
              <w:keepLines w:val="0"/>
              <w:pageBreakBefore w:val="0"/>
              <w:wordWrap/>
              <w:topLinePunct w:val="0"/>
              <w:bidi w:val="0"/>
              <w:adjustRightInd w:val="0"/>
              <w:snapToGrid w:val="0"/>
              <w:spacing w:line="360" w:lineRule="auto"/>
              <w:ind w:firstLine="480" w:firstLineChars="200"/>
              <w:outlineLvl w:val="9"/>
              <w:rPr>
                <w:bCs/>
                <w:sz w:val="24"/>
                <w:highlight w:val="none"/>
              </w:rPr>
            </w:pPr>
            <w:r>
              <w:rPr>
                <w:rFonts w:hint="eastAsia"/>
                <w:sz w:val="24"/>
                <w:highlight w:val="none"/>
              </w:rPr>
              <w:t>①</w:t>
            </w:r>
            <w:r>
              <w:rPr>
                <w:rFonts w:hint="eastAsia"/>
                <w:bCs/>
                <w:sz w:val="24"/>
                <w:highlight w:val="none"/>
              </w:rPr>
              <w:t>恶臭气体</w:t>
            </w:r>
          </w:p>
          <w:p>
            <w:pPr>
              <w:pStyle w:val="72"/>
              <w:keepLines w:val="0"/>
              <w:pageBreakBefore w:val="0"/>
              <w:wordWrap/>
              <w:topLinePunct w:val="0"/>
              <w:bidi w:val="0"/>
              <w:spacing w:line="360" w:lineRule="auto"/>
              <w:ind w:firstLine="482"/>
              <w:outlineLvl w:val="9"/>
              <w:rPr>
                <w:bCs/>
                <w:highlight w:val="none"/>
              </w:rPr>
            </w:pPr>
            <w:r>
              <w:rPr>
                <w:rFonts w:hint="eastAsia"/>
                <w:highlight w:val="none"/>
              </w:rPr>
              <w:t>项目采用污水储池密闭，企业定期在储池区域喷洒除臭剂，臭气对环境影响小。</w:t>
            </w:r>
          </w:p>
          <w:p>
            <w:pPr>
              <w:keepLines w:val="0"/>
              <w:pageBreakBefore w:val="0"/>
              <w:wordWrap/>
              <w:topLinePunct w:val="0"/>
              <w:bidi w:val="0"/>
              <w:adjustRightInd w:val="0"/>
              <w:snapToGrid w:val="0"/>
              <w:spacing w:line="360" w:lineRule="auto"/>
              <w:ind w:firstLine="480" w:firstLineChars="200"/>
              <w:outlineLvl w:val="9"/>
              <w:rPr>
                <w:sz w:val="24"/>
                <w:highlight w:val="none"/>
              </w:rPr>
            </w:pPr>
            <w:r>
              <w:rPr>
                <w:rFonts w:hint="eastAsia"/>
                <w:sz w:val="24"/>
                <w:highlight w:val="none"/>
              </w:rPr>
              <w:t>②</w:t>
            </w:r>
            <w:r>
              <w:rPr>
                <w:sz w:val="24"/>
                <w:highlight w:val="none"/>
              </w:rPr>
              <w:t>锅炉烟气</w:t>
            </w:r>
          </w:p>
          <w:p>
            <w:pPr>
              <w:pStyle w:val="113"/>
              <w:keepLines w:val="0"/>
              <w:pageBreakBefore w:val="0"/>
              <w:wordWrap/>
              <w:topLinePunct w:val="0"/>
              <w:bidi w:val="0"/>
              <w:adjustRightInd w:val="0"/>
              <w:spacing w:line="360" w:lineRule="auto"/>
              <w:ind w:firstLine="480"/>
              <w:outlineLvl w:val="9"/>
              <w:rPr>
                <w:color w:val="auto"/>
                <w:sz w:val="24"/>
                <w:highlight w:val="none"/>
              </w:rPr>
            </w:pPr>
            <w:r>
              <w:rPr>
                <w:rFonts w:hint="eastAsia"/>
                <w:color w:val="auto"/>
                <w:sz w:val="24"/>
                <w:highlight w:val="none"/>
              </w:rPr>
              <w:t>本项目年燃生物质成型燃料的量为672t/a。秸秆中汞含量微小</w:t>
            </w:r>
            <w:r>
              <w:rPr>
                <w:rFonts w:hint="eastAsia"/>
                <w:color w:val="auto"/>
                <w:sz w:val="24"/>
                <w:highlight w:val="none"/>
                <w:lang w:eastAsia="zh-CN"/>
              </w:rPr>
              <w:t>，</w:t>
            </w:r>
            <w:r>
              <w:rPr>
                <w:rFonts w:hint="eastAsia"/>
                <w:color w:val="auto"/>
                <w:sz w:val="24"/>
                <w:highlight w:val="none"/>
              </w:rPr>
              <w:t>因此不进行污染物的核算</w:t>
            </w:r>
            <w:r>
              <w:rPr>
                <w:rFonts w:hint="eastAsia"/>
                <w:color w:val="auto"/>
                <w:sz w:val="24"/>
                <w:highlight w:val="none"/>
                <w:lang w:eastAsia="zh-CN"/>
              </w:rPr>
              <w:t>。</w:t>
            </w:r>
            <w:r>
              <w:rPr>
                <w:rFonts w:hint="eastAsia"/>
                <w:color w:val="auto"/>
                <w:sz w:val="24"/>
                <w:highlight w:val="none"/>
                <w:lang w:val="en-US" w:eastAsia="zh-CN"/>
              </w:rPr>
              <w:t>本项目锅炉大气污染物</w:t>
            </w:r>
            <w:r>
              <w:rPr>
                <w:rFonts w:hint="eastAsia"/>
                <w:color w:val="auto"/>
                <w:sz w:val="24"/>
                <w:highlight w:val="none"/>
                <w:lang w:eastAsia="zh-CN"/>
              </w:rPr>
              <w:t>核算方法是物料衡算法。</w:t>
            </w:r>
          </w:p>
          <w:p>
            <w:pPr>
              <w:pStyle w:val="126"/>
              <w:keepLines w:val="0"/>
              <w:pageBreakBefore w:val="0"/>
              <w:wordWrap/>
              <w:topLinePunct w:val="0"/>
              <w:bidi w:val="0"/>
              <w:adjustRightInd w:val="0"/>
              <w:snapToGrid w:val="0"/>
              <w:ind w:firstLine="480"/>
              <w:outlineLvl w:val="9"/>
              <w:rPr>
                <w:rFonts w:cs="Times New Roman"/>
                <w:snapToGrid w:val="0"/>
                <w:color w:val="auto"/>
                <w:sz w:val="24"/>
                <w:highlight w:val="none"/>
              </w:rPr>
            </w:pPr>
            <w:r>
              <w:rPr>
                <w:rFonts w:cs="Times New Roman"/>
                <w:snapToGrid w:val="0"/>
                <w:color w:val="auto"/>
                <w:sz w:val="24"/>
                <w:highlight w:val="none"/>
              </w:rPr>
              <w:t>根据《污染源源强核算技术指南 锅炉》（HJ991-2018）附录C烟气量计算C.5没有元素分析时，干烟气排放量的经验公式计算参照HJ953。计算公示如下：</w:t>
            </w:r>
          </w:p>
          <w:p>
            <w:pPr>
              <w:pStyle w:val="126"/>
              <w:keepLines w:val="0"/>
              <w:pageBreakBefore w:val="0"/>
              <w:wordWrap/>
              <w:topLinePunct w:val="0"/>
              <w:bidi w:val="0"/>
              <w:adjustRightInd w:val="0"/>
              <w:snapToGrid w:val="0"/>
              <w:spacing w:line="500" w:lineRule="exact"/>
              <w:ind w:firstLine="0" w:firstLineChars="0"/>
              <w:jc w:val="center"/>
              <w:outlineLvl w:val="9"/>
              <w:rPr>
                <w:rFonts w:cs="Times New Roman"/>
                <w:snapToGrid w:val="0"/>
                <w:color w:val="auto"/>
                <w:sz w:val="24"/>
                <w:highlight w:val="none"/>
              </w:rPr>
            </w:pPr>
            <w:r>
              <w:rPr>
                <w:rFonts w:cs="Times New Roman"/>
                <w:iCs/>
                <w:snapToGrid w:val="0"/>
                <w:color w:val="auto"/>
                <w:sz w:val="24"/>
                <w:highlight w:val="none"/>
              </w:rPr>
              <w:t>V</w:t>
            </w:r>
            <w:r>
              <w:rPr>
                <w:rFonts w:cs="Times New Roman"/>
                <w:iCs/>
                <w:snapToGrid w:val="0"/>
                <w:color w:val="auto"/>
                <w:sz w:val="24"/>
                <w:highlight w:val="none"/>
                <w:vertAlign w:val="subscript"/>
              </w:rPr>
              <w:t>gy</w:t>
            </w:r>
            <w:r>
              <w:rPr>
                <w:rFonts w:cs="Times New Roman"/>
                <w:iCs/>
                <w:snapToGrid w:val="0"/>
                <w:color w:val="auto"/>
                <w:sz w:val="24"/>
                <w:highlight w:val="none"/>
              </w:rPr>
              <w:t>=</w:t>
            </w:r>
            <w:r>
              <w:rPr>
                <w:rFonts w:cs="Times New Roman"/>
                <w:snapToGrid w:val="0"/>
                <w:color w:val="auto"/>
                <w:sz w:val="24"/>
                <w:highlight w:val="none"/>
              </w:rPr>
              <w:t>0.393Q</w:t>
            </w:r>
            <w:r>
              <w:rPr>
                <w:rFonts w:cs="Times New Roman"/>
                <w:snapToGrid w:val="0"/>
                <w:color w:val="auto"/>
                <w:sz w:val="24"/>
                <w:highlight w:val="none"/>
                <w:vertAlign w:val="subscript"/>
              </w:rPr>
              <w:t>net,ar</w:t>
            </w:r>
            <w:r>
              <w:rPr>
                <w:rFonts w:cs="Times New Roman"/>
                <w:snapToGrid w:val="0"/>
                <w:color w:val="auto"/>
                <w:sz w:val="24"/>
                <w:highlight w:val="none"/>
              </w:rPr>
              <w:t>+0.876</w:t>
            </w:r>
          </w:p>
          <w:p>
            <w:pPr>
              <w:pStyle w:val="27"/>
              <w:keepLines w:val="0"/>
              <w:pageBreakBefore w:val="0"/>
              <w:wordWrap/>
              <w:topLinePunct w:val="0"/>
              <w:bidi w:val="0"/>
              <w:adjustRightInd w:val="0"/>
              <w:spacing w:after="0" w:line="500" w:lineRule="exact"/>
              <w:ind w:firstLine="480" w:firstLineChars="200"/>
              <w:outlineLvl w:val="9"/>
              <w:rPr>
                <w:snapToGrid w:val="0"/>
                <w:sz w:val="24"/>
                <w:highlight w:val="none"/>
              </w:rPr>
            </w:pPr>
            <w:r>
              <w:rPr>
                <w:snapToGrid w:val="0"/>
                <w:sz w:val="24"/>
                <w:highlight w:val="none"/>
              </w:rPr>
              <w:t>则本项目的基准烟气量为V</w:t>
            </w:r>
            <w:r>
              <w:rPr>
                <w:snapToGrid w:val="0"/>
                <w:sz w:val="24"/>
                <w:highlight w:val="none"/>
                <w:vertAlign w:val="subscript"/>
              </w:rPr>
              <w:t>gy</w:t>
            </w:r>
            <w:r>
              <w:rPr>
                <w:snapToGrid w:val="0"/>
                <w:sz w:val="24"/>
                <w:highlight w:val="none"/>
              </w:rPr>
              <w:t>=（0.393×16.77+0.876）Nm</w:t>
            </w:r>
            <w:r>
              <w:rPr>
                <w:snapToGrid w:val="0"/>
                <w:sz w:val="24"/>
                <w:highlight w:val="none"/>
                <w:vertAlign w:val="superscript"/>
              </w:rPr>
              <w:t>3</w:t>
            </w:r>
            <w:r>
              <w:rPr>
                <w:snapToGrid w:val="0"/>
                <w:sz w:val="24"/>
                <w:highlight w:val="none"/>
              </w:rPr>
              <w:t>/kg×10</w:t>
            </w:r>
            <w:r>
              <w:rPr>
                <w:snapToGrid w:val="0"/>
                <w:sz w:val="24"/>
                <w:highlight w:val="none"/>
                <w:vertAlign w:val="superscript"/>
              </w:rPr>
              <w:t>3</w:t>
            </w:r>
            <w:r>
              <w:rPr>
                <w:snapToGrid w:val="0"/>
                <w:sz w:val="24"/>
                <w:highlight w:val="none"/>
              </w:rPr>
              <w:t>=7466.61Nm</w:t>
            </w:r>
            <w:r>
              <w:rPr>
                <w:snapToGrid w:val="0"/>
                <w:sz w:val="24"/>
                <w:highlight w:val="none"/>
                <w:vertAlign w:val="superscript"/>
              </w:rPr>
              <w:t>3</w:t>
            </w:r>
            <w:r>
              <w:rPr>
                <w:snapToGrid w:val="0"/>
                <w:sz w:val="24"/>
                <w:highlight w:val="none"/>
              </w:rPr>
              <w:t>/t</w:t>
            </w:r>
          </w:p>
          <w:p>
            <w:pPr>
              <w:pStyle w:val="126"/>
              <w:keepLines w:val="0"/>
              <w:pageBreakBefore w:val="0"/>
              <w:wordWrap/>
              <w:topLinePunct w:val="0"/>
              <w:bidi w:val="0"/>
              <w:adjustRightInd w:val="0"/>
              <w:snapToGrid w:val="0"/>
              <w:spacing w:line="500" w:lineRule="exact"/>
              <w:ind w:firstLine="480"/>
              <w:outlineLvl w:val="9"/>
              <w:rPr>
                <w:rFonts w:cs="Times New Roman"/>
                <w:snapToGrid w:val="0"/>
                <w:color w:val="auto"/>
                <w:sz w:val="24"/>
                <w:highlight w:val="none"/>
              </w:rPr>
            </w:pPr>
            <w:r>
              <w:rPr>
                <w:rFonts w:cs="Times New Roman"/>
                <w:snapToGrid w:val="0"/>
                <w:color w:val="auto"/>
                <w:sz w:val="24"/>
                <w:highlight w:val="none"/>
              </w:rPr>
              <w:fldChar w:fldCharType="begin"/>
            </w:r>
            <w:r>
              <w:rPr>
                <w:rFonts w:cs="Times New Roman"/>
                <w:snapToGrid w:val="0"/>
                <w:color w:val="auto"/>
                <w:sz w:val="24"/>
                <w:highlight w:val="none"/>
              </w:rPr>
              <w:instrText xml:space="preserve"> = 2 \* alphabetic </w:instrText>
            </w:r>
            <w:r>
              <w:rPr>
                <w:rFonts w:cs="Times New Roman"/>
                <w:snapToGrid w:val="0"/>
                <w:color w:val="auto"/>
                <w:sz w:val="24"/>
                <w:highlight w:val="none"/>
              </w:rPr>
              <w:fldChar w:fldCharType="separate"/>
            </w:r>
            <w:r>
              <w:rPr>
                <w:rFonts w:cs="Times New Roman"/>
                <w:snapToGrid w:val="0"/>
                <w:color w:val="auto"/>
                <w:sz w:val="24"/>
                <w:highlight w:val="none"/>
              </w:rPr>
              <w:t>b</w:t>
            </w:r>
            <w:r>
              <w:rPr>
                <w:rFonts w:cs="Times New Roman"/>
                <w:snapToGrid w:val="0"/>
                <w:color w:val="auto"/>
                <w:sz w:val="24"/>
                <w:highlight w:val="none"/>
              </w:rPr>
              <w:fldChar w:fldCharType="end"/>
            </w:r>
            <w:r>
              <w:rPr>
                <w:rFonts w:cs="Times New Roman"/>
                <w:snapToGrid w:val="0"/>
                <w:color w:val="auto"/>
                <w:sz w:val="24"/>
                <w:highlight w:val="none"/>
              </w:rPr>
              <w:t>颗粒物排放量按下式计算：</w:t>
            </w:r>
          </w:p>
          <w:p>
            <w:pPr>
              <w:pStyle w:val="72"/>
              <w:keepLines w:val="0"/>
              <w:pageBreakBefore w:val="0"/>
              <w:wordWrap/>
              <w:topLinePunct w:val="0"/>
              <w:bidi w:val="0"/>
              <w:ind w:firstLine="0"/>
              <w:jc w:val="center"/>
              <w:outlineLvl w:val="9"/>
              <w:rPr>
                <w:iCs/>
                <w:snapToGrid w:val="0"/>
                <w:highlight w:val="none"/>
              </w:rPr>
            </w:pPr>
            <w:r>
              <w:rPr>
                <w:highlight w:val="none"/>
              </w:rPr>
              <w:drawing>
                <wp:inline distT="0" distB="0" distL="114300" distR="114300">
                  <wp:extent cx="1705610" cy="839470"/>
                  <wp:effectExtent l="0" t="0" r="8890" b="1778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20"/>
                          <a:stretch>
                            <a:fillRect/>
                          </a:stretch>
                        </pic:blipFill>
                        <pic:spPr>
                          <a:xfrm>
                            <a:off x="0" y="0"/>
                            <a:ext cx="1705610" cy="839470"/>
                          </a:xfrm>
                          <a:prstGeom prst="rect">
                            <a:avLst/>
                          </a:prstGeom>
                          <a:noFill/>
                          <a:ln>
                            <a:noFill/>
                          </a:ln>
                        </pic:spPr>
                      </pic:pic>
                    </a:graphicData>
                  </a:graphic>
                </wp:inline>
              </w:drawing>
            </w:r>
          </w:p>
          <w:p>
            <w:pPr>
              <w:pStyle w:val="72"/>
              <w:keepLines w:val="0"/>
              <w:pageBreakBefore w:val="0"/>
              <w:wordWrap/>
              <w:topLinePunct w:val="0"/>
              <w:bidi w:val="0"/>
              <w:adjustRightInd w:val="0"/>
              <w:snapToGrid w:val="0"/>
              <w:spacing w:line="500" w:lineRule="exact"/>
              <w:outlineLvl w:val="9"/>
              <w:rPr>
                <w:iCs/>
                <w:snapToGrid w:val="0"/>
                <w:highlight w:val="none"/>
              </w:rPr>
            </w:pPr>
            <w:r>
              <w:rPr>
                <w:iCs/>
                <w:snapToGrid w:val="0"/>
                <w:highlight w:val="none"/>
              </w:rPr>
              <w:t>式中：</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t>E</w:t>
            </w:r>
            <w:r>
              <w:rPr>
                <w:snapToGrid w:val="0"/>
                <w:highlight w:val="none"/>
                <w:vertAlign w:val="subscript"/>
              </w:rPr>
              <w:t>A</w:t>
            </w:r>
            <w:r>
              <w:rPr>
                <w:snapToGrid w:val="0"/>
                <w:highlight w:val="none"/>
              </w:rPr>
              <w:t>——核算时段内颗粒物（烟囱）排放量，t；</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t>R——核算时段内锅炉燃料耗量，t，为</w:t>
            </w:r>
            <w:r>
              <w:rPr>
                <w:rFonts w:hint="eastAsia"/>
                <w:highlight w:val="none"/>
              </w:rPr>
              <w:t>672</w:t>
            </w:r>
            <w:r>
              <w:rPr>
                <w:snapToGrid w:val="0"/>
                <w:highlight w:val="none"/>
              </w:rPr>
              <w:t>t；</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t>A</w:t>
            </w:r>
            <w:r>
              <w:rPr>
                <w:snapToGrid w:val="0"/>
                <w:highlight w:val="none"/>
                <w:vertAlign w:val="subscript"/>
              </w:rPr>
              <w:t>ar</w:t>
            </w:r>
            <w:r>
              <w:rPr>
                <w:snapToGrid w:val="0"/>
                <w:highlight w:val="none"/>
              </w:rPr>
              <w:t>——收到基灰分质量分数，%，收到基灰分质量分数为6.563%；</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t>d</w:t>
            </w:r>
            <w:r>
              <w:rPr>
                <w:snapToGrid w:val="0"/>
                <w:highlight w:val="none"/>
                <w:vertAlign w:val="subscript"/>
              </w:rPr>
              <w:t>fh</w:t>
            </w:r>
            <w:r>
              <w:rPr>
                <w:snapToGrid w:val="0"/>
                <w:highlight w:val="none"/>
              </w:rPr>
              <w:t>——锅炉烟气带出的飞灰份额，%，本项目为生物质常压蒸汽锅炉，飞灰份额为</w:t>
            </w:r>
            <w:r>
              <w:rPr>
                <w:rFonts w:hint="eastAsia"/>
                <w:snapToGrid w:val="0"/>
                <w:highlight w:val="none"/>
                <w:lang w:val="en-US" w:eastAsia="zh-CN"/>
              </w:rPr>
              <w:t>25</w:t>
            </w:r>
            <w:r>
              <w:rPr>
                <w:snapToGrid w:val="0"/>
                <w:highlight w:val="none"/>
              </w:rPr>
              <w:t>%；</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t>η</w:t>
            </w:r>
            <w:r>
              <w:rPr>
                <w:snapToGrid w:val="0"/>
                <w:highlight w:val="none"/>
                <w:vertAlign w:val="subscript"/>
              </w:rPr>
              <w:t>c</w:t>
            </w:r>
            <w:r>
              <w:rPr>
                <w:snapToGrid w:val="0"/>
                <w:highlight w:val="none"/>
              </w:rPr>
              <w:t>——综合除尘效率，%，为99%；</w:t>
            </w:r>
          </w:p>
          <w:p>
            <w:pPr>
              <w:pStyle w:val="72"/>
              <w:keepLines w:val="0"/>
              <w:pageBreakBefore w:val="0"/>
              <w:wordWrap/>
              <w:topLinePunct w:val="0"/>
              <w:bidi w:val="0"/>
              <w:adjustRightInd w:val="0"/>
              <w:snapToGrid w:val="0"/>
              <w:spacing w:line="500" w:lineRule="exact"/>
              <w:outlineLvl w:val="9"/>
              <w:rPr>
                <w:snapToGrid w:val="0"/>
                <w:highlight w:val="none"/>
              </w:rPr>
            </w:pPr>
            <w:r>
              <w:rPr>
                <w:iCs/>
                <w:snapToGrid w:val="0"/>
                <w:highlight w:val="none"/>
              </w:rPr>
              <w:t>C</w:t>
            </w:r>
            <w:r>
              <w:rPr>
                <w:iCs/>
                <w:snapToGrid w:val="0"/>
                <w:highlight w:val="none"/>
                <w:vertAlign w:val="subscript"/>
              </w:rPr>
              <w:t>fh</w:t>
            </w:r>
            <w:r>
              <w:rPr>
                <w:snapToGrid w:val="0"/>
                <w:highlight w:val="none"/>
              </w:rPr>
              <w:t>——飞灰中的可燃物含量，%，参考《燃煤工业锅炉节能监测》（GB/T15317-2009），本次评价</w:t>
            </w:r>
            <w:r>
              <w:rPr>
                <w:iCs/>
                <w:snapToGrid w:val="0"/>
                <w:highlight w:val="none"/>
              </w:rPr>
              <w:t>C</w:t>
            </w:r>
            <w:r>
              <w:rPr>
                <w:iCs/>
                <w:snapToGrid w:val="0"/>
                <w:highlight w:val="none"/>
                <w:vertAlign w:val="subscript"/>
              </w:rPr>
              <w:t>fh</w:t>
            </w:r>
            <w:r>
              <w:rPr>
                <w:snapToGrid w:val="0"/>
                <w:highlight w:val="none"/>
              </w:rPr>
              <w:t>取20%；</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t>经计算本项目锅炉烟气颗粒物排放量为</w:t>
            </w:r>
            <w:r>
              <w:rPr>
                <w:rFonts w:hint="eastAsia"/>
                <w:snapToGrid w:val="0"/>
                <w:highlight w:val="none"/>
                <w:lang w:val="en-US" w:eastAsia="zh-CN"/>
              </w:rPr>
              <w:t>0.14</w:t>
            </w:r>
            <w:r>
              <w:rPr>
                <w:snapToGrid w:val="0"/>
                <w:highlight w:val="none"/>
              </w:rPr>
              <w:t>t/a；</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fldChar w:fldCharType="begin"/>
            </w:r>
            <w:r>
              <w:rPr>
                <w:snapToGrid w:val="0"/>
                <w:highlight w:val="none"/>
              </w:rPr>
              <w:instrText xml:space="preserve"> = 3 \* alphabetic </w:instrText>
            </w:r>
            <w:r>
              <w:rPr>
                <w:snapToGrid w:val="0"/>
                <w:highlight w:val="none"/>
              </w:rPr>
              <w:fldChar w:fldCharType="separate"/>
            </w:r>
            <w:r>
              <w:rPr>
                <w:snapToGrid w:val="0"/>
                <w:highlight w:val="none"/>
              </w:rPr>
              <w:t>c</w:t>
            </w:r>
            <w:r>
              <w:rPr>
                <w:snapToGrid w:val="0"/>
                <w:highlight w:val="none"/>
              </w:rPr>
              <w:fldChar w:fldCharType="end"/>
            </w:r>
            <w:r>
              <w:rPr>
                <w:snapToGrid w:val="0"/>
                <w:highlight w:val="none"/>
              </w:rPr>
              <w:t>二氧化硫排放量按下式计算：</w:t>
            </w:r>
          </w:p>
          <w:p>
            <w:pPr>
              <w:pStyle w:val="72"/>
              <w:keepLines w:val="0"/>
              <w:pageBreakBefore w:val="0"/>
              <w:wordWrap/>
              <w:topLinePunct w:val="0"/>
              <w:bidi w:val="0"/>
              <w:adjustRightInd w:val="0"/>
              <w:snapToGrid w:val="0"/>
              <w:jc w:val="center"/>
              <w:outlineLvl w:val="9"/>
              <w:rPr>
                <w:snapToGrid w:val="0"/>
                <w:highlight w:val="none"/>
              </w:rPr>
            </w:pPr>
            <w:r>
              <w:rPr>
                <w:rFonts w:hint="eastAsia"/>
                <w:snapToGrid w:val="0"/>
                <w:highlight w:val="none"/>
              </w:rPr>
              <w:drawing>
                <wp:inline distT="0" distB="0" distL="114300" distR="114300">
                  <wp:extent cx="3286125" cy="571500"/>
                  <wp:effectExtent l="0" t="0" r="9525" b="0"/>
                  <wp:docPr id="59" name="图片 59" descr="169698940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96989403643"/>
                          <pic:cNvPicPr>
                            <a:picLocks noChangeAspect="1"/>
                          </pic:cNvPicPr>
                        </pic:nvPicPr>
                        <pic:blipFill>
                          <a:blip r:embed="rId21"/>
                          <a:stretch>
                            <a:fillRect/>
                          </a:stretch>
                        </pic:blipFill>
                        <pic:spPr>
                          <a:xfrm>
                            <a:off x="0" y="0"/>
                            <a:ext cx="3286125" cy="571500"/>
                          </a:xfrm>
                          <a:prstGeom prst="rect">
                            <a:avLst/>
                          </a:prstGeom>
                        </pic:spPr>
                      </pic:pic>
                    </a:graphicData>
                  </a:graphic>
                </wp:inline>
              </w:drawing>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t>式中：</w:t>
            </w:r>
          </w:p>
          <w:p>
            <w:pPr>
              <w:pStyle w:val="72"/>
              <w:keepLines w:val="0"/>
              <w:pageBreakBefore w:val="0"/>
              <w:wordWrap/>
              <w:topLinePunct w:val="0"/>
              <w:bidi w:val="0"/>
              <w:adjustRightInd w:val="0"/>
              <w:snapToGrid w:val="0"/>
              <w:spacing w:line="500" w:lineRule="exact"/>
              <w:outlineLvl w:val="9"/>
              <w:rPr>
                <w:snapToGrid w:val="0"/>
                <w:highlight w:val="none"/>
              </w:rPr>
            </w:pPr>
            <w:r>
              <w:rPr>
                <w:iCs/>
                <w:snapToGrid w:val="0"/>
                <w:highlight w:val="none"/>
              </w:rPr>
              <w:t>E</w:t>
            </w:r>
            <w:r>
              <w:rPr>
                <w:iCs/>
                <w:snapToGrid w:val="0"/>
                <w:highlight w:val="none"/>
                <w:vertAlign w:val="subscript"/>
              </w:rPr>
              <w:t>SO2</w:t>
            </w:r>
            <w:r>
              <w:rPr>
                <w:snapToGrid w:val="0"/>
                <w:highlight w:val="none"/>
              </w:rPr>
              <w:t>——核算时段内二氧化硫排放量，t；</w:t>
            </w:r>
          </w:p>
          <w:p>
            <w:pPr>
              <w:pStyle w:val="72"/>
              <w:keepLines w:val="0"/>
              <w:pageBreakBefore w:val="0"/>
              <w:wordWrap/>
              <w:topLinePunct w:val="0"/>
              <w:bidi w:val="0"/>
              <w:adjustRightInd w:val="0"/>
              <w:snapToGrid w:val="0"/>
              <w:spacing w:line="500" w:lineRule="exact"/>
              <w:outlineLvl w:val="9"/>
              <w:rPr>
                <w:snapToGrid w:val="0"/>
                <w:highlight w:val="none"/>
              </w:rPr>
            </w:pPr>
            <w:r>
              <w:rPr>
                <w:iCs/>
                <w:snapToGrid w:val="0"/>
                <w:highlight w:val="none"/>
              </w:rPr>
              <w:t>R</w:t>
            </w:r>
            <w:r>
              <w:rPr>
                <w:snapToGrid w:val="0"/>
                <w:highlight w:val="none"/>
              </w:rPr>
              <w:t>——核算时段内锅炉燃料耗量，t，为</w:t>
            </w:r>
            <w:r>
              <w:rPr>
                <w:rFonts w:hint="eastAsia"/>
                <w:highlight w:val="none"/>
              </w:rPr>
              <w:t>672</w:t>
            </w:r>
            <w:r>
              <w:rPr>
                <w:snapToGrid w:val="0"/>
                <w:highlight w:val="none"/>
              </w:rPr>
              <w:t>；</w:t>
            </w:r>
          </w:p>
          <w:p>
            <w:pPr>
              <w:pStyle w:val="72"/>
              <w:keepLines w:val="0"/>
              <w:pageBreakBefore w:val="0"/>
              <w:wordWrap/>
              <w:topLinePunct w:val="0"/>
              <w:bidi w:val="0"/>
              <w:adjustRightInd w:val="0"/>
              <w:snapToGrid w:val="0"/>
              <w:spacing w:line="500" w:lineRule="exact"/>
              <w:outlineLvl w:val="9"/>
              <w:rPr>
                <w:snapToGrid w:val="0"/>
                <w:highlight w:val="none"/>
              </w:rPr>
            </w:pPr>
            <w:r>
              <w:rPr>
                <w:iCs/>
                <w:snapToGrid w:val="0"/>
                <w:highlight w:val="none"/>
              </w:rPr>
              <w:t>S</w:t>
            </w:r>
            <w:r>
              <w:rPr>
                <w:iCs/>
                <w:snapToGrid w:val="0"/>
                <w:highlight w:val="none"/>
                <w:vertAlign w:val="subscript"/>
              </w:rPr>
              <w:t>ar</w:t>
            </w:r>
            <w:r>
              <w:rPr>
                <w:snapToGrid w:val="0"/>
                <w:highlight w:val="none"/>
              </w:rPr>
              <w:t>——收到基硫的质量分数，%，根据检测报告，收到基硫的质量分数0.02%；</w:t>
            </w:r>
          </w:p>
          <w:p>
            <w:pPr>
              <w:pStyle w:val="72"/>
              <w:keepLines w:val="0"/>
              <w:pageBreakBefore w:val="0"/>
              <w:wordWrap/>
              <w:topLinePunct w:val="0"/>
              <w:bidi w:val="0"/>
              <w:adjustRightInd w:val="0"/>
              <w:snapToGrid w:val="0"/>
              <w:spacing w:line="500" w:lineRule="exact"/>
              <w:outlineLvl w:val="9"/>
              <w:rPr>
                <w:snapToGrid w:val="0"/>
                <w:highlight w:val="none"/>
              </w:rPr>
            </w:pPr>
            <w:r>
              <w:rPr>
                <w:iCs/>
                <w:snapToGrid w:val="0"/>
                <w:highlight w:val="none"/>
              </w:rPr>
              <w:t>q</w:t>
            </w:r>
            <w:r>
              <w:rPr>
                <w:iCs/>
                <w:snapToGrid w:val="0"/>
                <w:highlight w:val="none"/>
                <w:vertAlign w:val="subscript"/>
              </w:rPr>
              <w:t>4</w:t>
            </w:r>
            <w:r>
              <w:rPr>
                <w:snapToGrid w:val="0"/>
                <w:highlight w:val="none"/>
              </w:rPr>
              <w:t>——锅炉机械不完全燃烧热损失，%，本项目取7；</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t>η</w:t>
            </w:r>
            <w:r>
              <w:rPr>
                <w:snapToGrid w:val="0"/>
                <w:highlight w:val="none"/>
                <w:vertAlign w:val="subscript"/>
              </w:rPr>
              <w:t>s</w:t>
            </w:r>
            <w:r>
              <w:rPr>
                <w:snapToGrid w:val="0"/>
                <w:highlight w:val="none"/>
              </w:rPr>
              <w:t>——脱硫效率，%，为0；</w:t>
            </w:r>
          </w:p>
          <w:p>
            <w:pPr>
              <w:pStyle w:val="72"/>
              <w:keepLines w:val="0"/>
              <w:pageBreakBefore w:val="0"/>
              <w:wordWrap/>
              <w:topLinePunct w:val="0"/>
              <w:bidi w:val="0"/>
              <w:adjustRightInd w:val="0"/>
              <w:snapToGrid w:val="0"/>
              <w:spacing w:line="500" w:lineRule="exact"/>
              <w:outlineLvl w:val="9"/>
              <w:rPr>
                <w:snapToGrid w:val="0"/>
                <w:highlight w:val="none"/>
              </w:rPr>
            </w:pPr>
            <w:r>
              <w:rPr>
                <w:iCs/>
                <w:snapToGrid w:val="0"/>
                <w:highlight w:val="none"/>
              </w:rPr>
              <w:t>K</w:t>
            </w:r>
            <w:r>
              <w:rPr>
                <w:snapToGrid w:val="0"/>
                <w:highlight w:val="none"/>
              </w:rPr>
              <w:t>——燃料中的硫燃烧后氧化成而二氧化硫的份额，量纲一的量，取0.4。</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t>经计算本项目锅炉烟气二氧化硫排放量为0.</w:t>
            </w:r>
            <w:r>
              <w:rPr>
                <w:rFonts w:hint="eastAsia"/>
                <w:snapToGrid w:val="0"/>
                <w:highlight w:val="none"/>
              </w:rPr>
              <w:t>1</w:t>
            </w:r>
            <w:r>
              <w:rPr>
                <w:snapToGrid w:val="0"/>
                <w:highlight w:val="none"/>
              </w:rPr>
              <w:t>t/a。</w:t>
            </w:r>
          </w:p>
          <w:p>
            <w:pPr>
              <w:pStyle w:val="72"/>
              <w:keepLines w:val="0"/>
              <w:pageBreakBefore w:val="0"/>
              <w:wordWrap/>
              <w:topLinePunct w:val="0"/>
              <w:bidi w:val="0"/>
              <w:adjustRightInd w:val="0"/>
              <w:snapToGrid w:val="0"/>
              <w:spacing w:line="500" w:lineRule="exact"/>
              <w:outlineLvl w:val="9"/>
              <w:rPr>
                <w:snapToGrid w:val="0"/>
                <w:highlight w:val="none"/>
              </w:rPr>
            </w:pPr>
            <w:r>
              <w:rPr>
                <w:snapToGrid w:val="0"/>
                <w:highlight w:val="none"/>
              </w:rPr>
              <w:fldChar w:fldCharType="begin"/>
            </w:r>
            <w:r>
              <w:rPr>
                <w:snapToGrid w:val="0"/>
                <w:highlight w:val="none"/>
              </w:rPr>
              <w:instrText xml:space="preserve"> = 4 \* alphabetic </w:instrText>
            </w:r>
            <w:r>
              <w:rPr>
                <w:snapToGrid w:val="0"/>
                <w:highlight w:val="none"/>
              </w:rPr>
              <w:fldChar w:fldCharType="separate"/>
            </w:r>
            <w:r>
              <w:rPr>
                <w:snapToGrid w:val="0"/>
                <w:highlight w:val="none"/>
              </w:rPr>
              <w:t>d</w:t>
            </w:r>
            <w:r>
              <w:rPr>
                <w:snapToGrid w:val="0"/>
                <w:highlight w:val="none"/>
              </w:rPr>
              <w:fldChar w:fldCharType="end"/>
            </w:r>
            <w:r>
              <w:rPr>
                <w:snapToGrid w:val="0"/>
                <w:highlight w:val="none"/>
              </w:rPr>
              <w:t>氮氧化物排放量按下式计算：</w:t>
            </w:r>
          </w:p>
          <w:p>
            <w:pPr>
              <w:pStyle w:val="91"/>
              <w:keepLines w:val="0"/>
              <w:pageBreakBefore w:val="0"/>
              <w:wordWrap/>
              <w:topLinePunct w:val="0"/>
              <w:bidi w:val="0"/>
              <w:spacing w:line="240" w:lineRule="auto"/>
              <w:outlineLvl w:val="9"/>
              <w:rPr>
                <w:rFonts w:eastAsia="宋体"/>
                <w:snapToGrid w:val="0"/>
                <w:highlight w:val="none"/>
              </w:rPr>
            </w:pPr>
            <w:r>
              <w:rPr>
                <w:rFonts w:hint="eastAsia" w:eastAsia="宋体"/>
                <w:snapToGrid w:val="0"/>
                <w:highlight w:val="none"/>
              </w:rPr>
              <w:drawing>
                <wp:inline distT="0" distB="0" distL="114300" distR="114300">
                  <wp:extent cx="3756025" cy="689610"/>
                  <wp:effectExtent l="0" t="0" r="15875" b="15240"/>
                  <wp:docPr id="60" name="图片 60" descr="169698959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696989598711"/>
                          <pic:cNvPicPr>
                            <a:picLocks noChangeAspect="1"/>
                          </pic:cNvPicPr>
                        </pic:nvPicPr>
                        <pic:blipFill>
                          <a:blip r:embed="rId22"/>
                          <a:stretch>
                            <a:fillRect/>
                          </a:stretch>
                        </pic:blipFill>
                        <pic:spPr>
                          <a:xfrm>
                            <a:off x="0" y="0"/>
                            <a:ext cx="3756025" cy="689610"/>
                          </a:xfrm>
                          <a:prstGeom prst="rect">
                            <a:avLst/>
                          </a:prstGeom>
                        </pic:spPr>
                      </pic:pic>
                    </a:graphicData>
                  </a:graphic>
                </wp:inline>
              </w:drawing>
            </w:r>
          </w:p>
          <w:p>
            <w:pPr>
              <w:pStyle w:val="72"/>
              <w:keepLines w:val="0"/>
              <w:pageBreakBefore w:val="0"/>
              <w:wordWrap/>
              <w:topLinePunct w:val="0"/>
              <w:bidi w:val="0"/>
              <w:outlineLvl w:val="9"/>
              <w:rPr>
                <w:snapToGrid w:val="0"/>
                <w:highlight w:val="none"/>
              </w:rPr>
            </w:pPr>
            <w:r>
              <w:rPr>
                <w:snapToGrid w:val="0"/>
                <w:highlight w:val="none"/>
              </w:rPr>
              <w:t>式中：</w:t>
            </w:r>
          </w:p>
          <w:p>
            <w:pPr>
              <w:pStyle w:val="72"/>
              <w:keepLines w:val="0"/>
              <w:pageBreakBefore w:val="0"/>
              <w:wordWrap/>
              <w:topLinePunct w:val="0"/>
              <w:bidi w:val="0"/>
              <w:spacing w:line="360" w:lineRule="auto"/>
              <w:outlineLvl w:val="9"/>
              <w:rPr>
                <w:snapToGrid w:val="0"/>
                <w:highlight w:val="none"/>
              </w:rPr>
            </w:pPr>
            <w:r>
              <w:rPr>
                <w:iCs/>
                <w:snapToGrid w:val="0"/>
                <w:highlight w:val="none"/>
              </w:rPr>
              <w:t>E</w:t>
            </w:r>
            <w:r>
              <w:rPr>
                <w:iCs/>
                <w:snapToGrid w:val="0"/>
                <w:highlight w:val="none"/>
                <w:vertAlign w:val="subscript"/>
              </w:rPr>
              <w:t>NOX</w:t>
            </w:r>
            <w:r>
              <w:rPr>
                <w:snapToGrid w:val="0"/>
                <w:highlight w:val="none"/>
              </w:rPr>
              <w:t>——核算时段内氮氧化物排放量，t；</w:t>
            </w:r>
          </w:p>
          <w:p>
            <w:pPr>
              <w:pStyle w:val="72"/>
              <w:keepLines w:val="0"/>
              <w:pageBreakBefore w:val="0"/>
              <w:wordWrap/>
              <w:topLinePunct w:val="0"/>
              <w:bidi w:val="0"/>
              <w:snapToGrid w:val="0"/>
              <w:spacing w:line="360" w:lineRule="auto"/>
              <w:textAlignment w:val="baseline"/>
              <w:outlineLvl w:val="9"/>
              <w:rPr>
                <w:snapToGrid w:val="0"/>
                <w:highlight w:val="none"/>
              </w:rPr>
            </w:pPr>
            <w:r>
              <w:rPr>
                <w:iCs/>
                <w:snapToGrid w:val="0"/>
                <w:highlight w:val="none"/>
              </w:rPr>
              <w:t>ρ</w:t>
            </w:r>
            <w:r>
              <w:rPr>
                <w:snapToGrid w:val="0"/>
                <w:highlight w:val="none"/>
                <w:vertAlign w:val="subscript"/>
              </w:rPr>
              <w:t>NOX</w:t>
            </w:r>
            <w:r>
              <w:rPr>
                <w:snapToGrid w:val="0"/>
                <w:highlight w:val="none"/>
              </w:rPr>
              <w:t>——锅炉炉膛出口氮氧化物质量浓度，mg/m</w:t>
            </w:r>
            <w:r>
              <w:rPr>
                <w:snapToGrid w:val="0"/>
                <w:highlight w:val="none"/>
                <w:vertAlign w:val="superscript"/>
              </w:rPr>
              <w:t>3</w:t>
            </w:r>
            <w:r>
              <w:rPr>
                <w:snapToGrid w:val="0"/>
                <w:highlight w:val="none"/>
              </w:rPr>
              <w:t>，</w:t>
            </w:r>
            <w:r>
              <w:rPr>
                <w:bCs/>
                <w:highlight w:val="none"/>
              </w:rPr>
              <w:t>本项目锅炉出口NO</w:t>
            </w:r>
            <w:r>
              <w:rPr>
                <w:bCs/>
                <w:highlight w:val="none"/>
                <w:vertAlign w:val="subscript"/>
              </w:rPr>
              <w:t>x</w:t>
            </w:r>
            <w:r>
              <w:rPr>
                <w:bCs/>
                <w:highlight w:val="none"/>
              </w:rPr>
              <w:t>产生浓度无法估算，故氮氧化物采用系数法核算（无实测值无法采用类比法，无法用物料衡算），根据“4430工业锅炉（热力生产和供应行业）产排污系数表-生物质工业锅炉”，氮氧化物产排污系数1.02kg/吨.原料，</w:t>
            </w:r>
            <w:r>
              <w:rPr>
                <w:snapToGrid w:val="0"/>
                <w:highlight w:val="none"/>
              </w:rPr>
              <w:t>经计算本项目锅炉烟气氮氧化物排放量为</w:t>
            </w:r>
            <w:r>
              <w:rPr>
                <w:rFonts w:hint="eastAsia"/>
                <w:snapToGrid w:val="0"/>
                <w:highlight w:val="none"/>
              </w:rPr>
              <w:t>0.685</w:t>
            </w:r>
            <w:r>
              <w:rPr>
                <w:snapToGrid w:val="0"/>
                <w:highlight w:val="none"/>
              </w:rPr>
              <w:t>t/a</w:t>
            </w:r>
            <w:r>
              <w:rPr>
                <w:rFonts w:hint="eastAsia"/>
                <w:snapToGrid w:val="0"/>
                <w:highlight w:val="none"/>
              </w:rPr>
              <w:t>，</w:t>
            </w:r>
            <w:r>
              <w:rPr>
                <w:bCs/>
                <w:highlight w:val="none"/>
              </w:rPr>
              <w:t>工业废气量</w:t>
            </w:r>
            <w:r>
              <w:rPr>
                <w:snapToGrid w:val="0"/>
                <w:kern w:val="0"/>
                <w:highlight w:val="none"/>
              </w:rPr>
              <w:t>7466.61</w:t>
            </w:r>
            <w:r>
              <w:rPr>
                <w:bCs/>
                <w:highlight w:val="none"/>
              </w:rPr>
              <w:t>标立方米/吨-原料，计算出</w:t>
            </w:r>
            <w:bookmarkStart w:id="183" w:name="_Hlk132119641"/>
            <w:r>
              <w:rPr>
                <w:bCs/>
                <w:highlight w:val="none"/>
              </w:rPr>
              <w:t>NOx排放浓度为155.</w:t>
            </w:r>
            <w:r>
              <w:rPr>
                <w:rFonts w:hint="eastAsia"/>
                <w:bCs/>
                <w:highlight w:val="none"/>
              </w:rPr>
              <w:t>5</w:t>
            </w:r>
            <w:r>
              <w:rPr>
                <w:bCs/>
                <w:highlight w:val="none"/>
              </w:rPr>
              <w:t>7mg/m</w:t>
            </w:r>
            <w:r>
              <w:rPr>
                <w:bCs/>
                <w:highlight w:val="none"/>
                <w:vertAlign w:val="superscript"/>
              </w:rPr>
              <w:t>3</w:t>
            </w:r>
            <w:bookmarkEnd w:id="183"/>
            <w:r>
              <w:rPr>
                <w:snapToGrid w:val="0"/>
                <w:highlight w:val="none"/>
              </w:rPr>
              <w:t>。</w:t>
            </w:r>
          </w:p>
          <w:p>
            <w:pPr>
              <w:pStyle w:val="134"/>
              <w:keepLines w:val="0"/>
              <w:pageBreakBefore w:val="0"/>
              <w:wordWrap/>
              <w:topLinePunct w:val="0"/>
              <w:bidi w:val="0"/>
              <w:outlineLvl w:val="9"/>
              <w:rPr>
                <w:rFonts w:cs="Times New Roman"/>
                <w:highlight w:val="none"/>
              </w:rPr>
            </w:pPr>
          </w:p>
          <w:p>
            <w:pPr>
              <w:pStyle w:val="91"/>
              <w:keepLines w:val="0"/>
              <w:pageBreakBefore w:val="0"/>
              <w:wordWrap/>
              <w:topLinePunct w:val="0"/>
              <w:bidi w:val="0"/>
              <w:spacing w:line="240" w:lineRule="auto"/>
              <w:outlineLvl w:val="9"/>
              <w:rPr>
                <w:rFonts w:eastAsia="宋体"/>
                <w:b/>
                <w:bCs/>
                <w:sz w:val="21"/>
                <w:szCs w:val="21"/>
                <w:highlight w:val="none"/>
              </w:rPr>
            </w:pPr>
            <w:r>
              <w:rPr>
                <w:rFonts w:eastAsia="宋体"/>
                <w:b/>
                <w:bCs/>
                <w:sz w:val="21"/>
                <w:szCs w:val="21"/>
                <w:highlight w:val="none"/>
              </w:rPr>
              <w:t>表</w:t>
            </w:r>
            <w:r>
              <w:rPr>
                <w:rFonts w:hint="eastAsia" w:eastAsia="宋体"/>
                <w:b/>
                <w:bCs/>
                <w:sz w:val="21"/>
                <w:szCs w:val="21"/>
                <w:highlight w:val="none"/>
              </w:rPr>
              <w:t xml:space="preserve">4-6 </w:t>
            </w:r>
            <w:r>
              <w:rPr>
                <w:rFonts w:eastAsia="宋体"/>
                <w:b/>
                <w:bCs/>
                <w:sz w:val="21"/>
                <w:szCs w:val="21"/>
                <w:highlight w:val="none"/>
              </w:rPr>
              <w:t>废气产生及排放情况一览表</w:t>
            </w:r>
          </w:p>
          <w:tbl>
            <w:tblPr>
              <w:tblStyle w:val="29"/>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45"/>
              <w:gridCol w:w="721"/>
              <w:gridCol w:w="736"/>
              <w:gridCol w:w="425"/>
              <w:gridCol w:w="597"/>
              <w:gridCol w:w="691"/>
              <w:gridCol w:w="690"/>
              <w:gridCol w:w="571"/>
              <w:gridCol w:w="585"/>
              <w:gridCol w:w="594"/>
              <w:gridCol w:w="387"/>
              <w:gridCol w:w="504"/>
              <w:gridCol w:w="704"/>
              <w:gridCol w:w="691"/>
              <w:gridCol w:w="5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23" w:hRule="atLeast"/>
                <w:jc w:val="center"/>
              </w:trPr>
              <w:tc>
                <w:tcPr>
                  <w:tcW w:w="345" w:type="dxa"/>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类型</w:t>
                  </w:r>
                </w:p>
              </w:tc>
              <w:tc>
                <w:tcPr>
                  <w:tcW w:w="721" w:type="dxa"/>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排放</w:t>
                  </w:r>
                  <w:r>
                    <w:rPr>
                      <w:sz w:val="21"/>
                      <w:szCs w:val="21"/>
                      <w:highlight w:val="none"/>
                    </w:rPr>
                    <w:t>源</w:t>
                  </w:r>
                </w:p>
              </w:tc>
              <w:tc>
                <w:tcPr>
                  <w:tcW w:w="736" w:type="dxa"/>
                  <w:vMerge w:val="restar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污染物</w:t>
                  </w:r>
                </w:p>
              </w:tc>
              <w:tc>
                <w:tcPr>
                  <w:tcW w:w="2403" w:type="dxa"/>
                  <w:gridSpan w:val="4"/>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污染物产生</w:t>
                  </w:r>
                </w:p>
              </w:tc>
              <w:tc>
                <w:tcPr>
                  <w:tcW w:w="1750" w:type="dxa"/>
                  <w:gridSpan w:val="3"/>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治理措施</w:t>
                  </w:r>
                </w:p>
              </w:tc>
              <w:tc>
                <w:tcPr>
                  <w:tcW w:w="2286" w:type="dxa"/>
                  <w:gridSpan w:val="4"/>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污染物排放</w:t>
                  </w:r>
                </w:p>
              </w:tc>
              <w:tc>
                <w:tcPr>
                  <w:tcW w:w="546" w:type="dxa"/>
                  <w:vMerge w:val="restart"/>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排放</w:t>
                  </w:r>
                </w:p>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时间（h）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9" w:hRule="atLeast"/>
                <w:jc w:val="center"/>
              </w:trPr>
              <w:tc>
                <w:tcPr>
                  <w:tcW w:w="345"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721"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736"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425" w:type="dxa"/>
                  <w:vAlign w:val="center"/>
                </w:tcPr>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核算方法</w:t>
                  </w:r>
                </w:p>
              </w:tc>
              <w:tc>
                <w:tcPr>
                  <w:tcW w:w="597" w:type="dxa"/>
                  <w:vAlign w:val="center"/>
                </w:tcPr>
                <w:p>
                  <w:pPr>
                    <w:pStyle w:val="112"/>
                    <w:keepLines w:val="0"/>
                    <w:pageBreakBefore w:val="0"/>
                    <w:wordWrap/>
                    <w:topLinePunct w:val="0"/>
                    <w:bidi w:val="0"/>
                    <w:jc w:val="both"/>
                    <w:outlineLvl w:val="9"/>
                    <w:rPr>
                      <w:szCs w:val="21"/>
                      <w:highlight w:val="none"/>
                    </w:rPr>
                  </w:pPr>
                  <w:r>
                    <w:rPr>
                      <w:spacing w:val="-8"/>
                      <w:szCs w:val="21"/>
                      <w:highlight w:val="none"/>
                    </w:rPr>
                    <w:t>废气产生量m</w:t>
                  </w:r>
                  <w:r>
                    <w:rPr>
                      <w:spacing w:val="-8"/>
                      <w:szCs w:val="21"/>
                      <w:highlight w:val="none"/>
                      <w:vertAlign w:val="superscript"/>
                    </w:rPr>
                    <w:t>3</w:t>
                  </w:r>
                  <w:r>
                    <w:rPr>
                      <w:spacing w:val="-8"/>
                      <w:szCs w:val="21"/>
                      <w:highlight w:val="none"/>
                    </w:rPr>
                    <w:t>/h</w:t>
                  </w:r>
                </w:p>
              </w:tc>
              <w:tc>
                <w:tcPr>
                  <w:tcW w:w="691" w:type="dxa"/>
                  <w:vAlign w:val="center"/>
                </w:tcPr>
                <w:p>
                  <w:pPr>
                    <w:pStyle w:val="112"/>
                    <w:keepLines w:val="0"/>
                    <w:pageBreakBefore w:val="0"/>
                    <w:wordWrap/>
                    <w:topLinePunct w:val="0"/>
                    <w:bidi w:val="0"/>
                    <w:outlineLvl w:val="9"/>
                    <w:rPr>
                      <w:szCs w:val="21"/>
                      <w:highlight w:val="none"/>
                    </w:rPr>
                  </w:pPr>
                  <w:r>
                    <w:rPr>
                      <w:szCs w:val="21"/>
                      <w:highlight w:val="none"/>
                    </w:rPr>
                    <w:t>产生浓度</w:t>
                  </w:r>
                </w:p>
                <w:p>
                  <w:pPr>
                    <w:pStyle w:val="112"/>
                    <w:keepLines w:val="0"/>
                    <w:pageBreakBefore w:val="0"/>
                    <w:wordWrap/>
                    <w:topLinePunct w:val="0"/>
                    <w:bidi w:val="0"/>
                    <w:jc w:val="both"/>
                    <w:outlineLvl w:val="9"/>
                    <w:rPr>
                      <w:szCs w:val="21"/>
                      <w:highlight w:val="none"/>
                    </w:rPr>
                  </w:pPr>
                  <w:r>
                    <w:rPr>
                      <w:szCs w:val="21"/>
                      <w:highlight w:val="none"/>
                    </w:rPr>
                    <w:t>（mg/m</w:t>
                  </w:r>
                  <w:r>
                    <w:rPr>
                      <w:szCs w:val="21"/>
                      <w:highlight w:val="none"/>
                      <w:vertAlign w:val="superscript"/>
                    </w:rPr>
                    <w:t>3</w:t>
                  </w:r>
                  <w:r>
                    <w:rPr>
                      <w:szCs w:val="21"/>
                      <w:highlight w:val="none"/>
                    </w:rPr>
                    <w:t>）</w:t>
                  </w:r>
                </w:p>
              </w:tc>
              <w:tc>
                <w:tcPr>
                  <w:tcW w:w="690" w:type="dxa"/>
                  <w:vAlign w:val="center"/>
                </w:tcPr>
                <w:p>
                  <w:pPr>
                    <w:pStyle w:val="112"/>
                    <w:keepLines w:val="0"/>
                    <w:pageBreakBefore w:val="0"/>
                    <w:wordWrap/>
                    <w:topLinePunct w:val="0"/>
                    <w:bidi w:val="0"/>
                    <w:outlineLvl w:val="9"/>
                    <w:rPr>
                      <w:szCs w:val="21"/>
                      <w:highlight w:val="none"/>
                    </w:rPr>
                  </w:pPr>
                  <w:r>
                    <w:rPr>
                      <w:szCs w:val="21"/>
                      <w:highlight w:val="none"/>
                    </w:rPr>
                    <w:t>产生量</w:t>
                  </w:r>
                </w:p>
                <w:p>
                  <w:pPr>
                    <w:pStyle w:val="112"/>
                    <w:keepLines w:val="0"/>
                    <w:pageBreakBefore w:val="0"/>
                    <w:wordWrap/>
                    <w:topLinePunct w:val="0"/>
                    <w:bidi w:val="0"/>
                    <w:outlineLvl w:val="9"/>
                    <w:rPr>
                      <w:szCs w:val="21"/>
                      <w:highlight w:val="none"/>
                    </w:rPr>
                  </w:pPr>
                  <w:r>
                    <w:rPr>
                      <w:szCs w:val="21"/>
                      <w:highlight w:val="none"/>
                    </w:rPr>
                    <w:t>（kg/h）</w:t>
                  </w:r>
                </w:p>
              </w:tc>
              <w:tc>
                <w:tcPr>
                  <w:tcW w:w="571" w:type="dxa"/>
                  <w:vAlign w:val="center"/>
                </w:tcPr>
                <w:p>
                  <w:pPr>
                    <w:pStyle w:val="112"/>
                    <w:keepLines w:val="0"/>
                    <w:pageBreakBefore w:val="0"/>
                    <w:wordWrap/>
                    <w:topLinePunct w:val="0"/>
                    <w:bidi w:val="0"/>
                    <w:outlineLvl w:val="9"/>
                    <w:rPr>
                      <w:szCs w:val="21"/>
                      <w:highlight w:val="none"/>
                    </w:rPr>
                  </w:pPr>
                  <w:r>
                    <w:rPr>
                      <w:szCs w:val="21"/>
                      <w:highlight w:val="none"/>
                    </w:rPr>
                    <w:t>工艺</w:t>
                  </w:r>
                </w:p>
              </w:tc>
              <w:tc>
                <w:tcPr>
                  <w:tcW w:w="585" w:type="dxa"/>
                  <w:vAlign w:val="center"/>
                </w:tcPr>
                <w:p>
                  <w:pPr>
                    <w:pStyle w:val="112"/>
                    <w:keepLines w:val="0"/>
                    <w:pageBreakBefore w:val="0"/>
                    <w:wordWrap/>
                    <w:topLinePunct w:val="0"/>
                    <w:bidi w:val="0"/>
                    <w:outlineLvl w:val="9"/>
                    <w:rPr>
                      <w:szCs w:val="21"/>
                      <w:highlight w:val="none"/>
                    </w:rPr>
                  </w:pPr>
                  <w:r>
                    <w:rPr>
                      <w:szCs w:val="21"/>
                      <w:highlight w:val="none"/>
                    </w:rPr>
                    <w:t>效率</w:t>
                  </w:r>
                </w:p>
                <w:p>
                  <w:pPr>
                    <w:pStyle w:val="112"/>
                    <w:keepLines w:val="0"/>
                    <w:pageBreakBefore w:val="0"/>
                    <w:wordWrap/>
                    <w:topLinePunct w:val="0"/>
                    <w:bidi w:val="0"/>
                    <w:outlineLvl w:val="9"/>
                    <w:rPr>
                      <w:szCs w:val="21"/>
                      <w:highlight w:val="none"/>
                    </w:rPr>
                  </w:pPr>
                  <w:r>
                    <w:rPr>
                      <w:szCs w:val="21"/>
                      <w:highlight w:val="none"/>
                    </w:rPr>
                    <w:t>（%）</w:t>
                  </w:r>
                </w:p>
              </w:tc>
              <w:tc>
                <w:tcPr>
                  <w:tcW w:w="594" w:type="dxa"/>
                  <w:vAlign w:val="center"/>
                </w:tcPr>
                <w:p>
                  <w:pPr>
                    <w:pStyle w:val="112"/>
                    <w:keepLines w:val="0"/>
                    <w:pageBreakBefore w:val="0"/>
                    <w:wordWrap/>
                    <w:topLinePunct w:val="0"/>
                    <w:bidi w:val="0"/>
                    <w:outlineLvl w:val="9"/>
                    <w:rPr>
                      <w:szCs w:val="21"/>
                      <w:highlight w:val="none"/>
                    </w:rPr>
                  </w:pPr>
                  <w:r>
                    <w:rPr>
                      <w:rFonts w:hint="eastAsia"/>
                      <w:szCs w:val="21"/>
                      <w:highlight w:val="none"/>
                    </w:rPr>
                    <w:t>是否为可行性技术</w:t>
                  </w:r>
                </w:p>
              </w:tc>
              <w:tc>
                <w:tcPr>
                  <w:tcW w:w="387" w:type="dxa"/>
                  <w:vAlign w:val="center"/>
                </w:tcPr>
                <w:p>
                  <w:pPr>
                    <w:pStyle w:val="112"/>
                    <w:keepLines w:val="0"/>
                    <w:pageBreakBefore w:val="0"/>
                    <w:wordWrap/>
                    <w:topLinePunct w:val="0"/>
                    <w:bidi w:val="0"/>
                    <w:outlineLvl w:val="9"/>
                    <w:rPr>
                      <w:szCs w:val="21"/>
                      <w:highlight w:val="none"/>
                    </w:rPr>
                  </w:pPr>
                  <w:r>
                    <w:rPr>
                      <w:szCs w:val="21"/>
                      <w:highlight w:val="none"/>
                    </w:rPr>
                    <w:t>核算</w:t>
                  </w:r>
                </w:p>
                <w:p>
                  <w:pPr>
                    <w:pStyle w:val="112"/>
                    <w:keepLines w:val="0"/>
                    <w:pageBreakBefore w:val="0"/>
                    <w:wordWrap/>
                    <w:topLinePunct w:val="0"/>
                    <w:bidi w:val="0"/>
                    <w:outlineLvl w:val="9"/>
                    <w:rPr>
                      <w:szCs w:val="21"/>
                      <w:highlight w:val="none"/>
                    </w:rPr>
                  </w:pPr>
                  <w:r>
                    <w:rPr>
                      <w:szCs w:val="21"/>
                      <w:highlight w:val="none"/>
                    </w:rPr>
                    <w:t>方法</w:t>
                  </w:r>
                </w:p>
              </w:tc>
              <w:tc>
                <w:tcPr>
                  <w:tcW w:w="504" w:type="dxa"/>
                  <w:vAlign w:val="center"/>
                </w:tcPr>
                <w:p>
                  <w:pPr>
                    <w:pStyle w:val="112"/>
                    <w:keepLines w:val="0"/>
                    <w:pageBreakBefore w:val="0"/>
                    <w:wordWrap/>
                    <w:topLinePunct w:val="0"/>
                    <w:bidi w:val="0"/>
                    <w:outlineLvl w:val="9"/>
                    <w:rPr>
                      <w:szCs w:val="21"/>
                      <w:highlight w:val="none"/>
                    </w:rPr>
                  </w:pPr>
                  <w:r>
                    <w:rPr>
                      <w:spacing w:val="-8"/>
                      <w:szCs w:val="21"/>
                      <w:highlight w:val="none"/>
                    </w:rPr>
                    <w:t>废气</w:t>
                  </w:r>
                  <w:r>
                    <w:rPr>
                      <w:rFonts w:hint="eastAsia"/>
                      <w:spacing w:val="-8"/>
                      <w:szCs w:val="21"/>
                      <w:highlight w:val="none"/>
                    </w:rPr>
                    <w:t>排放</w:t>
                  </w:r>
                  <w:r>
                    <w:rPr>
                      <w:spacing w:val="-8"/>
                      <w:szCs w:val="21"/>
                      <w:highlight w:val="none"/>
                    </w:rPr>
                    <w:t>量m</w:t>
                  </w:r>
                  <w:r>
                    <w:rPr>
                      <w:spacing w:val="-8"/>
                      <w:szCs w:val="21"/>
                      <w:highlight w:val="none"/>
                      <w:vertAlign w:val="superscript"/>
                    </w:rPr>
                    <w:t>3</w:t>
                  </w:r>
                  <w:r>
                    <w:rPr>
                      <w:spacing w:val="-8"/>
                      <w:szCs w:val="21"/>
                      <w:highlight w:val="none"/>
                    </w:rPr>
                    <w:t>/h</w:t>
                  </w:r>
                </w:p>
              </w:tc>
              <w:tc>
                <w:tcPr>
                  <w:tcW w:w="704" w:type="dxa"/>
                  <w:vAlign w:val="center"/>
                </w:tcPr>
                <w:p>
                  <w:pPr>
                    <w:pStyle w:val="112"/>
                    <w:keepLines w:val="0"/>
                    <w:pageBreakBefore w:val="0"/>
                    <w:wordWrap/>
                    <w:topLinePunct w:val="0"/>
                    <w:bidi w:val="0"/>
                    <w:outlineLvl w:val="9"/>
                    <w:rPr>
                      <w:szCs w:val="21"/>
                      <w:highlight w:val="none"/>
                    </w:rPr>
                  </w:pPr>
                  <w:r>
                    <w:rPr>
                      <w:szCs w:val="21"/>
                      <w:highlight w:val="none"/>
                    </w:rPr>
                    <w:t>排放浓度</w:t>
                  </w:r>
                </w:p>
                <w:p>
                  <w:pPr>
                    <w:pStyle w:val="112"/>
                    <w:keepLines w:val="0"/>
                    <w:pageBreakBefore w:val="0"/>
                    <w:wordWrap/>
                    <w:topLinePunct w:val="0"/>
                    <w:bidi w:val="0"/>
                    <w:outlineLvl w:val="9"/>
                    <w:rPr>
                      <w:szCs w:val="21"/>
                      <w:highlight w:val="none"/>
                    </w:rPr>
                  </w:pPr>
                  <w:r>
                    <w:rPr>
                      <w:szCs w:val="21"/>
                      <w:highlight w:val="none"/>
                    </w:rPr>
                    <w:t>（mg/m</w:t>
                  </w:r>
                  <w:r>
                    <w:rPr>
                      <w:szCs w:val="21"/>
                      <w:highlight w:val="none"/>
                      <w:vertAlign w:val="superscript"/>
                    </w:rPr>
                    <w:t>3</w:t>
                  </w:r>
                  <w:r>
                    <w:rPr>
                      <w:szCs w:val="21"/>
                      <w:highlight w:val="none"/>
                    </w:rPr>
                    <w:t>）</w:t>
                  </w:r>
                </w:p>
              </w:tc>
              <w:tc>
                <w:tcPr>
                  <w:tcW w:w="691" w:type="dxa"/>
                  <w:vAlign w:val="center"/>
                </w:tcPr>
                <w:p>
                  <w:pPr>
                    <w:pStyle w:val="112"/>
                    <w:keepLines w:val="0"/>
                    <w:pageBreakBefore w:val="0"/>
                    <w:wordWrap/>
                    <w:topLinePunct w:val="0"/>
                    <w:bidi w:val="0"/>
                    <w:outlineLvl w:val="9"/>
                    <w:rPr>
                      <w:szCs w:val="21"/>
                      <w:highlight w:val="none"/>
                    </w:rPr>
                  </w:pPr>
                  <w:r>
                    <w:rPr>
                      <w:szCs w:val="21"/>
                      <w:highlight w:val="none"/>
                    </w:rPr>
                    <w:t>排放量</w:t>
                  </w:r>
                </w:p>
                <w:p>
                  <w:pPr>
                    <w:pStyle w:val="112"/>
                    <w:keepLines w:val="0"/>
                    <w:pageBreakBefore w:val="0"/>
                    <w:wordWrap/>
                    <w:topLinePunct w:val="0"/>
                    <w:bidi w:val="0"/>
                    <w:outlineLvl w:val="9"/>
                    <w:rPr>
                      <w:szCs w:val="21"/>
                      <w:highlight w:val="none"/>
                    </w:rPr>
                  </w:pPr>
                  <w:r>
                    <w:rPr>
                      <w:szCs w:val="21"/>
                      <w:highlight w:val="none"/>
                    </w:rPr>
                    <w:t>（kg/h）</w:t>
                  </w:r>
                </w:p>
              </w:tc>
              <w:tc>
                <w:tcPr>
                  <w:tcW w:w="546"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51" w:hRule="atLeast"/>
                <w:jc w:val="center"/>
              </w:trPr>
              <w:tc>
                <w:tcPr>
                  <w:tcW w:w="345" w:type="dxa"/>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有组织废气</w:t>
                  </w:r>
                </w:p>
              </w:tc>
              <w:tc>
                <w:tcPr>
                  <w:tcW w:w="721" w:type="dxa"/>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生物质锅炉（DA001）</w:t>
                  </w:r>
                </w:p>
              </w:tc>
              <w:tc>
                <w:tcPr>
                  <w:tcW w:w="736" w:type="dxa"/>
                  <w:vAlign w:val="center"/>
                </w:tcPr>
                <w:p>
                  <w:pPr>
                    <w:keepLines w:val="0"/>
                    <w:pageBreakBefore w:val="0"/>
                    <w:wordWrap/>
                    <w:topLinePunct w:val="0"/>
                    <w:bidi w:val="0"/>
                    <w:jc w:val="center"/>
                    <w:outlineLvl w:val="9"/>
                    <w:rPr>
                      <w:szCs w:val="21"/>
                      <w:highlight w:val="none"/>
                    </w:rPr>
                  </w:pPr>
                  <w:r>
                    <w:rPr>
                      <w:szCs w:val="21"/>
                      <w:highlight w:val="none"/>
                    </w:rPr>
                    <w:t>二氧化硫</w:t>
                  </w:r>
                </w:p>
              </w:tc>
              <w:tc>
                <w:tcPr>
                  <w:tcW w:w="425" w:type="dxa"/>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物料衡算法</w:t>
                  </w:r>
                </w:p>
              </w:tc>
              <w:tc>
                <w:tcPr>
                  <w:tcW w:w="597" w:type="dxa"/>
                  <w:vMerge w:val="restart"/>
                  <w:vAlign w:val="center"/>
                </w:tcPr>
                <w:p>
                  <w:pPr>
                    <w:keepLines w:val="0"/>
                    <w:pageBreakBefore w:val="0"/>
                    <w:wordWrap/>
                    <w:topLinePunct w:val="0"/>
                    <w:bidi w:val="0"/>
                    <w:jc w:val="center"/>
                    <w:outlineLvl w:val="9"/>
                    <w:rPr>
                      <w:bCs/>
                      <w:szCs w:val="21"/>
                      <w:highlight w:val="none"/>
                    </w:rPr>
                  </w:pPr>
                  <w:r>
                    <w:rPr>
                      <w:rFonts w:hint="eastAsia"/>
                      <w:snapToGrid w:val="0"/>
                      <w:kern w:val="0"/>
                      <w:szCs w:val="21"/>
                      <w:highlight w:val="none"/>
                    </w:rPr>
                    <w:t>5</w:t>
                  </w:r>
                  <w:r>
                    <w:rPr>
                      <w:snapToGrid w:val="0"/>
                      <w:kern w:val="0"/>
                      <w:szCs w:val="21"/>
                      <w:highlight w:val="none"/>
                    </w:rPr>
                    <w:t>226.63</w:t>
                  </w:r>
                </w:p>
              </w:tc>
              <w:tc>
                <w:tcPr>
                  <w:tcW w:w="691" w:type="dxa"/>
                  <w:vAlign w:val="center"/>
                </w:tcPr>
                <w:p>
                  <w:pPr>
                    <w:keepLines w:val="0"/>
                    <w:pageBreakBefore w:val="0"/>
                    <w:wordWrap/>
                    <w:topLinePunct w:val="0"/>
                    <w:bidi w:val="0"/>
                    <w:adjustRightInd w:val="0"/>
                    <w:snapToGrid w:val="0"/>
                    <w:jc w:val="center"/>
                    <w:outlineLvl w:val="9"/>
                    <w:rPr>
                      <w:bCs/>
                      <w:szCs w:val="21"/>
                      <w:highlight w:val="none"/>
                    </w:rPr>
                  </w:pPr>
                  <w:r>
                    <w:rPr>
                      <w:rFonts w:hint="eastAsia"/>
                      <w:snapToGrid w:val="0"/>
                      <w:kern w:val="0"/>
                      <w:szCs w:val="21"/>
                      <w:highlight w:val="none"/>
                    </w:rPr>
                    <w:t>19.92</w:t>
                  </w:r>
                </w:p>
              </w:tc>
              <w:tc>
                <w:tcPr>
                  <w:tcW w:w="690" w:type="dxa"/>
                  <w:vAlign w:val="center"/>
                </w:tcPr>
                <w:p>
                  <w:pPr>
                    <w:pStyle w:val="71"/>
                    <w:keepLines w:val="0"/>
                    <w:pageBreakBefore w:val="0"/>
                    <w:wordWrap/>
                    <w:topLinePunct w:val="0"/>
                    <w:bidi w:val="0"/>
                    <w:adjustRightInd w:val="0"/>
                    <w:snapToGrid w:val="0"/>
                    <w:outlineLvl w:val="9"/>
                    <w:rPr>
                      <w:bCs/>
                      <w:sz w:val="21"/>
                      <w:szCs w:val="21"/>
                      <w:highlight w:val="none"/>
                    </w:rPr>
                  </w:pPr>
                  <w:r>
                    <w:rPr>
                      <w:rFonts w:hint="eastAsia"/>
                      <w:bCs/>
                      <w:sz w:val="21"/>
                      <w:szCs w:val="21"/>
                      <w:highlight w:val="none"/>
                    </w:rPr>
                    <w:t>0.104</w:t>
                  </w:r>
                </w:p>
              </w:tc>
              <w:tc>
                <w:tcPr>
                  <w:tcW w:w="571" w:type="dxa"/>
                  <w:vMerge w:val="restart"/>
                  <w:vAlign w:val="center"/>
                </w:tcPr>
                <w:p>
                  <w:pPr>
                    <w:pStyle w:val="71"/>
                    <w:keepLines w:val="0"/>
                    <w:pageBreakBefore w:val="0"/>
                    <w:wordWrap/>
                    <w:topLinePunct w:val="0"/>
                    <w:bidi w:val="0"/>
                    <w:adjustRightInd w:val="0"/>
                    <w:snapToGrid w:val="0"/>
                    <w:outlineLvl w:val="9"/>
                    <w:rPr>
                      <w:bCs/>
                      <w:sz w:val="21"/>
                      <w:szCs w:val="21"/>
                      <w:highlight w:val="none"/>
                    </w:rPr>
                  </w:pPr>
                  <w:r>
                    <w:rPr>
                      <w:sz w:val="21"/>
                      <w:szCs w:val="21"/>
                      <w:highlight w:val="none"/>
                    </w:rPr>
                    <w:t>布袋除尘器，</w:t>
                  </w:r>
                  <w:r>
                    <w:rPr>
                      <w:rFonts w:hint="eastAsia"/>
                      <w:sz w:val="21"/>
                      <w:szCs w:val="21"/>
                      <w:highlight w:val="none"/>
                    </w:rPr>
                    <w:t>35m</w:t>
                  </w:r>
                  <w:r>
                    <w:rPr>
                      <w:sz w:val="21"/>
                      <w:szCs w:val="21"/>
                      <w:highlight w:val="none"/>
                    </w:rPr>
                    <w:t>高烟筒排放</w:t>
                  </w:r>
                </w:p>
              </w:tc>
              <w:tc>
                <w:tcPr>
                  <w:tcW w:w="585" w:type="dxa"/>
                  <w:vAlign w:val="center"/>
                </w:tcPr>
                <w:p>
                  <w:pPr>
                    <w:keepLines w:val="0"/>
                    <w:pageBreakBefore w:val="0"/>
                    <w:wordWrap/>
                    <w:topLinePunct w:val="0"/>
                    <w:bidi w:val="0"/>
                    <w:adjustRightInd w:val="0"/>
                    <w:snapToGrid w:val="0"/>
                    <w:jc w:val="center"/>
                    <w:outlineLvl w:val="9"/>
                    <w:rPr>
                      <w:szCs w:val="21"/>
                      <w:highlight w:val="none"/>
                    </w:rPr>
                  </w:pPr>
                  <w:r>
                    <w:rPr>
                      <w:rFonts w:hint="eastAsia"/>
                      <w:szCs w:val="21"/>
                      <w:highlight w:val="none"/>
                    </w:rPr>
                    <w:t>/</w:t>
                  </w:r>
                </w:p>
              </w:tc>
              <w:tc>
                <w:tcPr>
                  <w:tcW w:w="594" w:type="dxa"/>
                  <w:vAlign w:val="center"/>
                </w:tcPr>
                <w:p>
                  <w:pPr>
                    <w:keepLines w:val="0"/>
                    <w:pageBreakBefore w:val="0"/>
                    <w:wordWrap/>
                    <w:topLinePunct w:val="0"/>
                    <w:bidi w:val="0"/>
                    <w:adjustRightInd w:val="0"/>
                    <w:snapToGrid w:val="0"/>
                    <w:jc w:val="center"/>
                    <w:outlineLvl w:val="9"/>
                    <w:rPr>
                      <w:szCs w:val="21"/>
                      <w:highlight w:val="none"/>
                    </w:rPr>
                  </w:pPr>
                  <w:r>
                    <w:rPr>
                      <w:rFonts w:hint="eastAsia"/>
                      <w:szCs w:val="21"/>
                      <w:highlight w:val="none"/>
                    </w:rPr>
                    <w:t>/</w:t>
                  </w:r>
                </w:p>
              </w:tc>
              <w:tc>
                <w:tcPr>
                  <w:tcW w:w="387" w:type="dxa"/>
                  <w:vMerge w:val="restart"/>
                  <w:vAlign w:val="center"/>
                </w:tcPr>
                <w:p>
                  <w:pPr>
                    <w:pStyle w:val="112"/>
                    <w:keepLines w:val="0"/>
                    <w:pageBreakBefore w:val="0"/>
                    <w:wordWrap/>
                    <w:topLinePunct w:val="0"/>
                    <w:bidi w:val="0"/>
                    <w:outlineLvl w:val="9"/>
                    <w:rPr>
                      <w:szCs w:val="21"/>
                      <w:highlight w:val="none"/>
                    </w:rPr>
                  </w:pPr>
                  <w:r>
                    <w:rPr>
                      <w:szCs w:val="21"/>
                      <w:highlight w:val="none"/>
                    </w:rPr>
                    <w:t>物料</w:t>
                  </w:r>
                </w:p>
                <w:p>
                  <w:pPr>
                    <w:pStyle w:val="71"/>
                    <w:keepLines w:val="0"/>
                    <w:pageBreakBefore w:val="0"/>
                    <w:wordWrap/>
                    <w:topLinePunct w:val="0"/>
                    <w:bidi w:val="0"/>
                    <w:adjustRightInd w:val="0"/>
                    <w:snapToGrid w:val="0"/>
                    <w:outlineLvl w:val="9"/>
                    <w:rPr>
                      <w:sz w:val="21"/>
                      <w:szCs w:val="21"/>
                      <w:highlight w:val="none"/>
                    </w:rPr>
                  </w:pPr>
                  <w:r>
                    <w:rPr>
                      <w:sz w:val="21"/>
                      <w:szCs w:val="21"/>
                      <w:highlight w:val="none"/>
                    </w:rPr>
                    <w:t>衡算</w:t>
                  </w:r>
                </w:p>
              </w:tc>
              <w:tc>
                <w:tcPr>
                  <w:tcW w:w="504" w:type="dxa"/>
                  <w:vMerge w:val="restart"/>
                  <w:vAlign w:val="center"/>
                </w:tcPr>
                <w:p>
                  <w:pPr>
                    <w:keepLines w:val="0"/>
                    <w:pageBreakBefore w:val="0"/>
                    <w:wordWrap/>
                    <w:topLinePunct w:val="0"/>
                    <w:bidi w:val="0"/>
                    <w:jc w:val="center"/>
                    <w:outlineLvl w:val="9"/>
                    <w:rPr>
                      <w:szCs w:val="21"/>
                      <w:highlight w:val="none"/>
                    </w:rPr>
                  </w:pPr>
                  <w:r>
                    <w:rPr>
                      <w:rFonts w:hint="eastAsia"/>
                      <w:snapToGrid w:val="0"/>
                      <w:kern w:val="0"/>
                      <w:szCs w:val="21"/>
                      <w:highlight w:val="none"/>
                    </w:rPr>
                    <w:t>5</w:t>
                  </w:r>
                  <w:r>
                    <w:rPr>
                      <w:snapToGrid w:val="0"/>
                      <w:kern w:val="0"/>
                      <w:szCs w:val="21"/>
                      <w:highlight w:val="none"/>
                    </w:rPr>
                    <w:t>226.63</w:t>
                  </w:r>
                </w:p>
              </w:tc>
              <w:tc>
                <w:tcPr>
                  <w:tcW w:w="704" w:type="dxa"/>
                  <w:vAlign w:val="center"/>
                </w:tcPr>
                <w:p>
                  <w:pPr>
                    <w:keepLines w:val="0"/>
                    <w:pageBreakBefore w:val="0"/>
                    <w:wordWrap/>
                    <w:topLinePunct w:val="0"/>
                    <w:bidi w:val="0"/>
                    <w:adjustRightInd w:val="0"/>
                    <w:snapToGrid w:val="0"/>
                    <w:jc w:val="center"/>
                    <w:outlineLvl w:val="9"/>
                    <w:rPr>
                      <w:szCs w:val="21"/>
                      <w:highlight w:val="none"/>
                    </w:rPr>
                  </w:pPr>
                  <w:r>
                    <w:rPr>
                      <w:rFonts w:hint="eastAsia"/>
                      <w:snapToGrid w:val="0"/>
                      <w:kern w:val="0"/>
                      <w:szCs w:val="21"/>
                      <w:highlight w:val="none"/>
                    </w:rPr>
                    <w:t>19.92</w:t>
                  </w:r>
                </w:p>
              </w:tc>
              <w:tc>
                <w:tcPr>
                  <w:tcW w:w="691" w:type="dxa"/>
                  <w:vAlign w:val="center"/>
                </w:tcPr>
                <w:p>
                  <w:pPr>
                    <w:pStyle w:val="71"/>
                    <w:keepLines w:val="0"/>
                    <w:pageBreakBefore w:val="0"/>
                    <w:wordWrap/>
                    <w:topLinePunct w:val="0"/>
                    <w:bidi w:val="0"/>
                    <w:adjustRightInd w:val="0"/>
                    <w:snapToGrid w:val="0"/>
                    <w:outlineLvl w:val="9"/>
                    <w:rPr>
                      <w:bCs/>
                      <w:sz w:val="21"/>
                      <w:szCs w:val="21"/>
                      <w:highlight w:val="none"/>
                    </w:rPr>
                  </w:pPr>
                  <w:r>
                    <w:rPr>
                      <w:rFonts w:hint="eastAsia"/>
                      <w:bCs/>
                      <w:sz w:val="21"/>
                      <w:szCs w:val="21"/>
                      <w:highlight w:val="none"/>
                    </w:rPr>
                    <w:t>0.104</w:t>
                  </w:r>
                </w:p>
              </w:tc>
              <w:tc>
                <w:tcPr>
                  <w:tcW w:w="546" w:type="dxa"/>
                  <w:vMerge w:val="restart"/>
                  <w:vAlign w:val="center"/>
                </w:tcPr>
                <w:p>
                  <w:pPr>
                    <w:pStyle w:val="71"/>
                    <w:keepLines w:val="0"/>
                    <w:pageBreakBefore w:val="0"/>
                    <w:wordWrap/>
                    <w:topLinePunct w:val="0"/>
                    <w:bidi w:val="0"/>
                    <w:adjustRightInd w:val="0"/>
                    <w:snapToGrid w:val="0"/>
                    <w:outlineLvl w:val="9"/>
                    <w:rPr>
                      <w:sz w:val="21"/>
                      <w:szCs w:val="21"/>
                      <w:highlight w:val="none"/>
                    </w:rPr>
                  </w:pPr>
                  <w:r>
                    <w:rPr>
                      <w:rFonts w:hint="eastAsia"/>
                      <w:sz w:val="21"/>
                      <w:szCs w:val="21"/>
                      <w:highlight w:val="none"/>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08" w:hRule="atLeast"/>
                <w:jc w:val="center"/>
              </w:trPr>
              <w:tc>
                <w:tcPr>
                  <w:tcW w:w="345"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721"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736" w:type="dxa"/>
                  <w:vAlign w:val="center"/>
                </w:tcPr>
                <w:p>
                  <w:pPr>
                    <w:keepLines w:val="0"/>
                    <w:pageBreakBefore w:val="0"/>
                    <w:wordWrap/>
                    <w:topLinePunct w:val="0"/>
                    <w:bidi w:val="0"/>
                    <w:jc w:val="center"/>
                    <w:outlineLvl w:val="9"/>
                    <w:rPr>
                      <w:szCs w:val="21"/>
                      <w:highlight w:val="none"/>
                    </w:rPr>
                  </w:pPr>
                  <w:r>
                    <w:rPr>
                      <w:szCs w:val="21"/>
                      <w:highlight w:val="none"/>
                    </w:rPr>
                    <w:t>氮氧化物</w:t>
                  </w:r>
                </w:p>
              </w:tc>
              <w:tc>
                <w:tcPr>
                  <w:tcW w:w="425"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597" w:type="dxa"/>
                  <w:vMerge w:val="continue"/>
                  <w:vAlign w:val="center"/>
                </w:tcPr>
                <w:p>
                  <w:pPr>
                    <w:keepLines w:val="0"/>
                    <w:pageBreakBefore w:val="0"/>
                    <w:wordWrap/>
                    <w:topLinePunct w:val="0"/>
                    <w:bidi w:val="0"/>
                    <w:jc w:val="center"/>
                    <w:outlineLvl w:val="9"/>
                    <w:rPr>
                      <w:bCs/>
                      <w:szCs w:val="21"/>
                      <w:highlight w:val="none"/>
                    </w:rPr>
                  </w:pPr>
                </w:p>
              </w:tc>
              <w:tc>
                <w:tcPr>
                  <w:tcW w:w="691" w:type="dxa"/>
                  <w:vAlign w:val="center"/>
                </w:tcPr>
                <w:p>
                  <w:pPr>
                    <w:keepLines w:val="0"/>
                    <w:pageBreakBefore w:val="0"/>
                    <w:wordWrap/>
                    <w:topLinePunct w:val="0"/>
                    <w:bidi w:val="0"/>
                    <w:adjustRightInd w:val="0"/>
                    <w:snapToGrid w:val="0"/>
                    <w:jc w:val="center"/>
                    <w:outlineLvl w:val="9"/>
                    <w:rPr>
                      <w:bCs/>
                      <w:szCs w:val="21"/>
                      <w:highlight w:val="none"/>
                    </w:rPr>
                  </w:pPr>
                  <w:r>
                    <w:rPr>
                      <w:rFonts w:hint="eastAsia"/>
                      <w:snapToGrid w:val="0"/>
                      <w:kern w:val="0"/>
                      <w:szCs w:val="21"/>
                      <w:highlight w:val="none"/>
                    </w:rPr>
                    <w:t>155.57</w:t>
                  </w:r>
                </w:p>
              </w:tc>
              <w:tc>
                <w:tcPr>
                  <w:tcW w:w="690" w:type="dxa"/>
                  <w:vAlign w:val="center"/>
                </w:tcPr>
                <w:p>
                  <w:pPr>
                    <w:pStyle w:val="71"/>
                    <w:keepLines w:val="0"/>
                    <w:pageBreakBefore w:val="0"/>
                    <w:wordWrap/>
                    <w:topLinePunct w:val="0"/>
                    <w:bidi w:val="0"/>
                    <w:adjustRightInd w:val="0"/>
                    <w:snapToGrid w:val="0"/>
                    <w:outlineLvl w:val="9"/>
                    <w:rPr>
                      <w:bCs/>
                      <w:sz w:val="21"/>
                      <w:szCs w:val="21"/>
                      <w:highlight w:val="none"/>
                    </w:rPr>
                  </w:pPr>
                  <w:r>
                    <w:rPr>
                      <w:rFonts w:hint="eastAsia"/>
                      <w:bCs/>
                      <w:sz w:val="21"/>
                      <w:szCs w:val="21"/>
                      <w:highlight w:val="none"/>
                    </w:rPr>
                    <w:t>0.714</w:t>
                  </w:r>
                </w:p>
              </w:tc>
              <w:tc>
                <w:tcPr>
                  <w:tcW w:w="571" w:type="dxa"/>
                  <w:vMerge w:val="continue"/>
                  <w:vAlign w:val="center"/>
                </w:tcPr>
                <w:p>
                  <w:pPr>
                    <w:pStyle w:val="71"/>
                    <w:keepLines w:val="0"/>
                    <w:pageBreakBefore w:val="0"/>
                    <w:wordWrap/>
                    <w:topLinePunct w:val="0"/>
                    <w:bidi w:val="0"/>
                    <w:adjustRightInd w:val="0"/>
                    <w:snapToGrid w:val="0"/>
                    <w:outlineLvl w:val="9"/>
                    <w:rPr>
                      <w:bCs/>
                      <w:sz w:val="21"/>
                      <w:szCs w:val="21"/>
                      <w:highlight w:val="none"/>
                    </w:rPr>
                  </w:pPr>
                </w:p>
              </w:tc>
              <w:tc>
                <w:tcPr>
                  <w:tcW w:w="585" w:type="dxa"/>
                  <w:vAlign w:val="center"/>
                </w:tcPr>
                <w:p>
                  <w:pPr>
                    <w:keepLines w:val="0"/>
                    <w:pageBreakBefore w:val="0"/>
                    <w:wordWrap/>
                    <w:topLinePunct w:val="0"/>
                    <w:bidi w:val="0"/>
                    <w:adjustRightInd w:val="0"/>
                    <w:snapToGrid w:val="0"/>
                    <w:jc w:val="center"/>
                    <w:outlineLvl w:val="9"/>
                    <w:rPr>
                      <w:szCs w:val="21"/>
                      <w:highlight w:val="none"/>
                    </w:rPr>
                  </w:pPr>
                  <w:r>
                    <w:rPr>
                      <w:rFonts w:hint="eastAsia"/>
                      <w:szCs w:val="21"/>
                      <w:highlight w:val="none"/>
                    </w:rPr>
                    <w:t>/</w:t>
                  </w:r>
                </w:p>
              </w:tc>
              <w:tc>
                <w:tcPr>
                  <w:tcW w:w="594" w:type="dxa"/>
                  <w:vAlign w:val="center"/>
                </w:tcPr>
                <w:p>
                  <w:pPr>
                    <w:keepLines w:val="0"/>
                    <w:pageBreakBefore w:val="0"/>
                    <w:wordWrap/>
                    <w:topLinePunct w:val="0"/>
                    <w:bidi w:val="0"/>
                    <w:adjustRightInd w:val="0"/>
                    <w:snapToGrid w:val="0"/>
                    <w:jc w:val="center"/>
                    <w:outlineLvl w:val="9"/>
                    <w:rPr>
                      <w:szCs w:val="21"/>
                      <w:highlight w:val="none"/>
                    </w:rPr>
                  </w:pPr>
                  <w:r>
                    <w:rPr>
                      <w:rFonts w:hint="eastAsia"/>
                      <w:szCs w:val="21"/>
                      <w:highlight w:val="none"/>
                    </w:rPr>
                    <w:t>/</w:t>
                  </w:r>
                </w:p>
              </w:tc>
              <w:tc>
                <w:tcPr>
                  <w:tcW w:w="387"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504" w:type="dxa"/>
                  <w:vMerge w:val="continue"/>
                  <w:vAlign w:val="center"/>
                </w:tcPr>
                <w:p>
                  <w:pPr>
                    <w:keepLines w:val="0"/>
                    <w:pageBreakBefore w:val="0"/>
                    <w:wordWrap/>
                    <w:topLinePunct w:val="0"/>
                    <w:bidi w:val="0"/>
                    <w:jc w:val="center"/>
                    <w:outlineLvl w:val="9"/>
                    <w:rPr>
                      <w:szCs w:val="21"/>
                      <w:highlight w:val="none"/>
                    </w:rPr>
                  </w:pPr>
                </w:p>
              </w:tc>
              <w:tc>
                <w:tcPr>
                  <w:tcW w:w="704" w:type="dxa"/>
                  <w:vAlign w:val="center"/>
                </w:tcPr>
                <w:p>
                  <w:pPr>
                    <w:keepLines w:val="0"/>
                    <w:pageBreakBefore w:val="0"/>
                    <w:wordWrap/>
                    <w:topLinePunct w:val="0"/>
                    <w:bidi w:val="0"/>
                    <w:adjustRightInd w:val="0"/>
                    <w:snapToGrid w:val="0"/>
                    <w:jc w:val="center"/>
                    <w:outlineLvl w:val="9"/>
                    <w:rPr>
                      <w:szCs w:val="21"/>
                      <w:highlight w:val="none"/>
                    </w:rPr>
                  </w:pPr>
                  <w:r>
                    <w:rPr>
                      <w:rFonts w:hint="eastAsia"/>
                      <w:snapToGrid w:val="0"/>
                      <w:kern w:val="0"/>
                      <w:szCs w:val="21"/>
                      <w:highlight w:val="none"/>
                    </w:rPr>
                    <w:t>155.57</w:t>
                  </w:r>
                </w:p>
              </w:tc>
              <w:tc>
                <w:tcPr>
                  <w:tcW w:w="691" w:type="dxa"/>
                  <w:vAlign w:val="center"/>
                </w:tcPr>
                <w:p>
                  <w:pPr>
                    <w:pStyle w:val="71"/>
                    <w:keepLines w:val="0"/>
                    <w:pageBreakBefore w:val="0"/>
                    <w:wordWrap/>
                    <w:topLinePunct w:val="0"/>
                    <w:bidi w:val="0"/>
                    <w:adjustRightInd w:val="0"/>
                    <w:snapToGrid w:val="0"/>
                    <w:outlineLvl w:val="9"/>
                    <w:rPr>
                      <w:bCs/>
                      <w:sz w:val="21"/>
                      <w:szCs w:val="21"/>
                      <w:highlight w:val="none"/>
                    </w:rPr>
                  </w:pPr>
                  <w:r>
                    <w:rPr>
                      <w:rFonts w:hint="eastAsia"/>
                      <w:bCs/>
                      <w:sz w:val="21"/>
                      <w:szCs w:val="21"/>
                      <w:highlight w:val="none"/>
                    </w:rPr>
                    <w:t>0.714</w:t>
                  </w:r>
                </w:p>
              </w:tc>
              <w:tc>
                <w:tcPr>
                  <w:tcW w:w="546"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7" w:hRule="atLeast"/>
                <w:jc w:val="center"/>
              </w:trPr>
              <w:tc>
                <w:tcPr>
                  <w:tcW w:w="345"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721"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736" w:type="dxa"/>
                  <w:vAlign w:val="center"/>
                </w:tcPr>
                <w:p>
                  <w:pPr>
                    <w:keepLines w:val="0"/>
                    <w:pageBreakBefore w:val="0"/>
                    <w:wordWrap/>
                    <w:topLinePunct w:val="0"/>
                    <w:bidi w:val="0"/>
                    <w:jc w:val="center"/>
                    <w:outlineLvl w:val="9"/>
                    <w:rPr>
                      <w:szCs w:val="21"/>
                      <w:highlight w:val="none"/>
                    </w:rPr>
                  </w:pPr>
                  <w:r>
                    <w:rPr>
                      <w:szCs w:val="21"/>
                      <w:highlight w:val="none"/>
                    </w:rPr>
                    <w:t>颗粒物</w:t>
                  </w:r>
                </w:p>
              </w:tc>
              <w:tc>
                <w:tcPr>
                  <w:tcW w:w="425"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597" w:type="dxa"/>
                  <w:vMerge w:val="continue"/>
                  <w:vAlign w:val="center"/>
                </w:tcPr>
                <w:p>
                  <w:pPr>
                    <w:keepLines w:val="0"/>
                    <w:pageBreakBefore w:val="0"/>
                    <w:wordWrap/>
                    <w:topLinePunct w:val="0"/>
                    <w:bidi w:val="0"/>
                    <w:jc w:val="center"/>
                    <w:outlineLvl w:val="9"/>
                    <w:rPr>
                      <w:bCs/>
                      <w:szCs w:val="21"/>
                      <w:highlight w:val="none"/>
                    </w:rPr>
                  </w:pPr>
                </w:p>
              </w:tc>
              <w:tc>
                <w:tcPr>
                  <w:tcW w:w="691" w:type="dxa"/>
                  <w:vAlign w:val="center"/>
                </w:tcPr>
                <w:p>
                  <w:pPr>
                    <w:keepLines w:val="0"/>
                    <w:pageBreakBefore w:val="0"/>
                    <w:wordWrap/>
                    <w:topLinePunct w:val="0"/>
                    <w:bidi w:val="0"/>
                    <w:adjustRightInd w:val="0"/>
                    <w:snapToGrid w:val="0"/>
                    <w:jc w:val="center"/>
                    <w:outlineLvl w:val="9"/>
                    <w:rPr>
                      <w:rFonts w:hint="default" w:eastAsia="宋体"/>
                      <w:bCs/>
                      <w:szCs w:val="21"/>
                      <w:highlight w:val="none"/>
                      <w:lang w:val="en-US" w:eastAsia="zh-CN"/>
                    </w:rPr>
                  </w:pPr>
                  <w:r>
                    <w:rPr>
                      <w:rFonts w:hint="eastAsia"/>
                      <w:snapToGrid w:val="0"/>
                      <w:kern w:val="0"/>
                      <w:szCs w:val="21"/>
                      <w:highlight w:val="none"/>
                      <w:lang w:val="en-US" w:eastAsia="zh-CN"/>
                    </w:rPr>
                    <w:t>2678.59</w:t>
                  </w:r>
                </w:p>
              </w:tc>
              <w:tc>
                <w:tcPr>
                  <w:tcW w:w="690" w:type="dxa"/>
                  <w:vAlign w:val="center"/>
                </w:tcPr>
                <w:p>
                  <w:pPr>
                    <w:pStyle w:val="71"/>
                    <w:keepLines w:val="0"/>
                    <w:pageBreakBefore w:val="0"/>
                    <w:wordWrap/>
                    <w:topLinePunct w:val="0"/>
                    <w:bidi w:val="0"/>
                    <w:adjustRightInd w:val="0"/>
                    <w:snapToGrid w:val="0"/>
                    <w:outlineLvl w:val="9"/>
                    <w:rPr>
                      <w:rFonts w:hint="default" w:eastAsia="宋体"/>
                      <w:bCs/>
                      <w:sz w:val="21"/>
                      <w:szCs w:val="21"/>
                      <w:highlight w:val="none"/>
                      <w:lang w:val="en-US" w:eastAsia="zh-CN"/>
                    </w:rPr>
                  </w:pPr>
                  <w:r>
                    <w:rPr>
                      <w:rFonts w:hint="eastAsia"/>
                      <w:bCs/>
                      <w:sz w:val="21"/>
                      <w:szCs w:val="21"/>
                      <w:highlight w:val="none"/>
                      <w:lang w:val="en-US" w:eastAsia="zh-CN"/>
                    </w:rPr>
                    <w:t>14.58</w:t>
                  </w:r>
                </w:p>
              </w:tc>
              <w:tc>
                <w:tcPr>
                  <w:tcW w:w="571" w:type="dxa"/>
                  <w:vMerge w:val="continue"/>
                  <w:vAlign w:val="center"/>
                </w:tcPr>
                <w:p>
                  <w:pPr>
                    <w:pStyle w:val="71"/>
                    <w:keepLines w:val="0"/>
                    <w:pageBreakBefore w:val="0"/>
                    <w:wordWrap/>
                    <w:topLinePunct w:val="0"/>
                    <w:bidi w:val="0"/>
                    <w:adjustRightInd w:val="0"/>
                    <w:snapToGrid w:val="0"/>
                    <w:outlineLvl w:val="9"/>
                    <w:rPr>
                      <w:bCs/>
                      <w:sz w:val="21"/>
                      <w:szCs w:val="21"/>
                      <w:highlight w:val="none"/>
                    </w:rPr>
                  </w:pPr>
                </w:p>
              </w:tc>
              <w:tc>
                <w:tcPr>
                  <w:tcW w:w="585" w:type="dxa"/>
                  <w:vAlign w:val="center"/>
                </w:tcPr>
                <w:p>
                  <w:pPr>
                    <w:keepLines w:val="0"/>
                    <w:pageBreakBefore w:val="0"/>
                    <w:wordWrap/>
                    <w:topLinePunct w:val="0"/>
                    <w:bidi w:val="0"/>
                    <w:adjustRightInd w:val="0"/>
                    <w:snapToGrid w:val="0"/>
                    <w:jc w:val="center"/>
                    <w:outlineLvl w:val="9"/>
                    <w:rPr>
                      <w:szCs w:val="21"/>
                      <w:highlight w:val="none"/>
                    </w:rPr>
                  </w:pPr>
                  <w:r>
                    <w:rPr>
                      <w:rFonts w:hint="eastAsia"/>
                      <w:szCs w:val="21"/>
                      <w:highlight w:val="none"/>
                    </w:rPr>
                    <w:t>99</w:t>
                  </w:r>
                </w:p>
              </w:tc>
              <w:tc>
                <w:tcPr>
                  <w:tcW w:w="594" w:type="dxa"/>
                  <w:vAlign w:val="center"/>
                </w:tcPr>
                <w:p>
                  <w:pPr>
                    <w:keepLines w:val="0"/>
                    <w:pageBreakBefore w:val="0"/>
                    <w:wordWrap/>
                    <w:topLinePunct w:val="0"/>
                    <w:bidi w:val="0"/>
                    <w:adjustRightInd w:val="0"/>
                    <w:snapToGrid w:val="0"/>
                    <w:jc w:val="center"/>
                    <w:outlineLvl w:val="9"/>
                    <w:rPr>
                      <w:szCs w:val="21"/>
                      <w:highlight w:val="none"/>
                    </w:rPr>
                  </w:pPr>
                  <w:r>
                    <w:rPr>
                      <w:rFonts w:hint="eastAsia"/>
                      <w:szCs w:val="21"/>
                      <w:highlight w:val="none"/>
                    </w:rPr>
                    <w:t>是</w:t>
                  </w:r>
                </w:p>
              </w:tc>
              <w:tc>
                <w:tcPr>
                  <w:tcW w:w="387"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c>
                <w:tcPr>
                  <w:tcW w:w="504" w:type="dxa"/>
                  <w:vMerge w:val="continue"/>
                  <w:vAlign w:val="center"/>
                </w:tcPr>
                <w:p>
                  <w:pPr>
                    <w:keepLines w:val="0"/>
                    <w:pageBreakBefore w:val="0"/>
                    <w:wordWrap/>
                    <w:topLinePunct w:val="0"/>
                    <w:bidi w:val="0"/>
                    <w:jc w:val="center"/>
                    <w:outlineLvl w:val="9"/>
                    <w:rPr>
                      <w:szCs w:val="21"/>
                      <w:highlight w:val="none"/>
                    </w:rPr>
                  </w:pPr>
                </w:p>
              </w:tc>
              <w:tc>
                <w:tcPr>
                  <w:tcW w:w="704" w:type="dxa"/>
                  <w:vAlign w:val="center"/>
                </w:tcPr>
                <w:p>
                  <w:pPr>
                    <w:keepLines w:val="0"/>
                    <w:pageBreakBefore w:val="0"/>
                    <w:wordWrap/>
                    <w:topLinePunct w:val="0"/>
                    <w:bidi w:val="0"/>
                    <w:jc w:val="center"/>
                    <w:outlineLvl w:val="9"/>
                    <w:rPr>
                      <w:rFonts w:hint="default" w:eastAsia="宋体"/>
                      <w:szCs w:val="21"/>
                      <w:highlight w:val="none"/>
                      <w:lang w:val="en-US" w:eastAsia="zh-CN"/>
                    </w:rPr>
                  </w:pPr>
                  <w:r>
                    <w:rPr>
                      <w:rFonts w:hint="eastAsia"/>
                      <w:szCs w:val="21"/>
                      <w:highlight w:val="none"/>
                      <w:lang w:val="en-US" w:eastAsia="zh-CN"/>
                    </w:rPr>
                    <w:t>26.79</w:t>
                  </w:r>
                </w:p>
              </w:tc>
              <w:tc>
                <w:tcPr>
                  <w:tcW w:w="691" w:type="dxa"/>
                  <w:vAlign w:val="center"/>
                </w:tcPr>
                <w:p>
                  <w:pPr>
                    <w:pStyle w:val="71"/>
                    <w:keepLines w:val="0"/>
                    <w:pageBreakBefore w:val="0"/>
                    <w:wordWrap/>
                    <w:topLinePunct w:val="0"/>
                    <w:bidi w:val="0"/>
                    <w:adjustRightInd w:val="0"/>
                    <w:snapToGrid w:val="0"/>
                    <w:outlineLvl w:val="9"/>
                    <w:rPr>
                      <w:rFonts w:hint="default" w:eastAsia="宋体"/>
                      <w:bCs/>
                      <w:sz w:val="21"/>
                      <w:szCs w:val="21"/>
                      <w:highlight w:val="none"/>
                      <w:lang w:val="en-US" w:eastAsia="zh-CN"/>
                    </w:rPr>
                  </w:pPr>
                  <w:r>
                    <w:rPr>
                      <w:rFonts w:hint="eastAsia"/>
                      <w:bCs/>
                      <w:sz w:val="21"/>
                      <w:szCs w:val="21"/>
                      <w:highlight w:val="none"/>
                      <w:lang w:val="en-US" w:eastAsia="zh-CN"/>
                    </w:rPr>
                    <w:t>0.15</w:t>
                  </w:r>
                </w:p>
              </w:tc>
              <w:tc>
                <w:tcPr>
                  <w:tcW w:w="546" w:type="dxa"/>
                  <w:vMerge w:val="continue"/>
                  <w:vAlign w:val="center"/>
                </w:tcPr>
                <w:p>
                  <w:pPr>
                    <w:pStyle w:val="71"/>
                    <w:keepLines w:val="0"/>
                    <w:pageBreakBefore w:val="0"/>
                    <w:wordWrap/>
                    <w:topLinePunct w:val="0"/>
                    <w:bidi w:val="0"/>
                    <w:adjustRightInd w:val="0"/>
                    <w:snapToGrid w:val="0"/>
                    <w:outlineLvl w:val="9"/>
                    <w:rPr>
                      <w:sz w:val="21"/>
                      <w:szCs w:val="21"/>
                      <w:highlight w:val="none"/>
                    </w:rPr>
                  </w:pPr>
                </w:p>
              </w:tc>
            </w:tr>
          </w:tbl>
          <w:p>
            <w:pPr>
              <w:pStyle w:val="113"/>
              <w:keepLines w:val="0"/>
              <w:pageBreakBefore w:val="0"/>
              <w:wordWrap/>
              <w:topLinePunct w:val="0"/>
              <w:bidi w:val="0"/>
              <w:adjustRightInd w:val="0"/>
              <w:spacing w:line="336" w:lineRule="auto"/>
              <w:ind w:firstLine="480"/>
              <w:outlineLvl w:val="9"/>
              <w:rPr>
                <w:sz w:val="24"/>
                <w:highlight w:val="none"/>
              </w:rPr>
            </w:pPr>
            <w:r>
              <w:rPr>
                <w:snapToGrid w:val="0"/>
                <w:kern w:val="0"/>
                <w:sz w:val="24"/>
                <w:highlight w:val="none"/>
              </w:rPr>
              <w:t>项目锅炉烟气集中收集后由布袋除尘器处理，颗粒物处理效率为99%，处理后经过35m高烟囱排放</w:t>
            </w:r>
            <w:r>
              <w:rPr>
                <w:rFonts w:hint="eastAsia"/>
                <w:snapToGrid w:val="0"/>
                <w:kern w:val="0"/>
                <w:sz w:val="24"/>
                <w:highlight w:val="none"/>
              </w:rPr>
              <w:t>，</w:t>
            </w:r>
            <w:r>
              <w:rPr>
                <w:rFonts w:hint="eastAsia"/>
                <w:sz w:val="24"/>
                <w:highlight w:val="none"/>
              </w:rPr>
              <w:t>生物质锅炉排放的污染物浓度符合</w:t>
            </w:r>
            <w:r>
              <w:rPr>
                <w:sz w:val="24"/>
                <w:highlight w:val="none"/>
              </w:rPr>
              <w:t>《锅炉大气污染物排放标准》（GB13271-20</w:t>
            </w:r>
            <w:r>
              <w:rPr>
                <w:rFonts w:hint="eastAsia"/>
                <w:sz w:val="24"/>
                <w:highlight w:val="none"/>
              </w:rPr>
              <w:t>14</w:t>
            </w:r>
            <w:r>
              <w:rPr>
                <w:sz w:val="24"/>
                <w:highlight w:val="none"/>
              </w:rPr>
              <w:t>）中</w:t>
            </w:r>
            <w:r>
              <w:rPr>
                <w:rFonts w:hint="eastAsia"/>
                <w:sz w:val="24"/>
                <w:highlight w:val="none"/>
              </w:rPr>
              <w:t>表2燃煤锅炉</w:t>
            </w:r>
            <w:r>
              <w:rPr>
                <w:sz w:val="24"/>
                <w:highlight w:val="none"/>
              </w:rPr>
              <w:t>标准（颗粒物浓度≤</w:t>
            </w:r>
            <w:r>
              <w:rPr>
                <w:rFonts w:hint="eastAsia"/>
                <w:sz w:val="24"/>
                <w:highlight w:val="none"/>
              </w:rPr>
              <w:t>50</w:t>
            </w:r>
            <w:r>
              <w:rPr>
                <w:sz w:val="24"/>
                <w:highlight w:val="none"/>
              </w:rPr>
              <w:t>mg/m</w:t>
            </w:r>
            <w:r>
              <w:rPr>
                <w:sz w:val="24"/>
                <w:highlight w:val="none"/>
                <w:vertAlign w:val="superscript"/>
              </w:rPr>
              <w:t>3</w:t>
            </w:r>
            <w:r>
              <w:rPr>
                <w:rFonts w:hint="eastAsia"/>
                <w:sz w:val="24"/>
                <w:highlight w:val="none"/>
              </w:rPr>
              <w:t>，</w:t>
            </w:r>
            <w:r>
              <w:rPr>
                <w:sz w:val="24"/>
                <w:highlight w:val="none"/>
              </w:rPr>
              <w:t>SO</w:t>
            </w:r>
            <w:r>
              <w:rPr>
                <w:sz w:val="24"/>
                <w:highlight w:val="none"/>
                <w:vertAlign w:val="subscript"/>
              </w:rPr>
              <w:t>2</w:t>
            </w:r>
            <w:r>
              <w:rPr>
                <w:sz w:val="24"/>
                <w:highlight w:val="none"/>
              </w:rPr>
              <w:t>浓度≤</w:t>
            </w:r>
            <w:r>
              <w:rPr>
                <w:rFonts w:hint="eastAsia"/>
                <w:sz w:val="24"/>
                <w:highlight w:val="none"/>
              </w:rPr>
              <w:t>30</w:t>
            </w:r>
            <w:r>
              <w:rPr>
                <w:sz w:val="24"/>
                <w:highlight w:val="none"/>
              </w:rPr>
              <w:t>0mg/m</w:t>
            </w:r>
            <w:r>
              <w:rPr>
                <w:sz w:val="24"/>
                <w:highlight w:val="none"/>
                <w:vertAlign w:val="superscript"/>
              </w:rPr>
              <w:t>3</w:t>
            </w:r>
            <w:r>
              <w:rPr>
                <w:sz w:val="24"/>
                <w:highlight w:val="none"/>
              </w:rPr>
              <w:t>，</w:t>
            </w:r>
            <w:r>
              <w:rPr>
                <w:rFonts w:hint="eastAsia"/>
                <w:sz w:val="24"/>
                <w:highlight w:val="none"/>
              </w:rPr>
              <w:t>NOx</w:t>
            </w:r>
            <w:r>
              <w:rPr>
                <w:sz w:val="24"/>
                <w:highlight w:val="none"/>
              </w:rPr>
              <w:t>浓度≤</w:t>
            </w:r>
            <w:r>
              <w:rPr>
                <w:rFonts w:hint="eastAsia"/>
                <w:sz w:val="24"/>
                <w:highlight w:val="none"/>
              </w:rPr>
              <w:t>3</w:t>
            </w:r>
            <w:r>
              <w:rPr>
                <w:sz w:val="24"/>
                <w:highlight w:val="none"/>
              </w:rPr>
              <w:t>00mg/m</w:t>
            </w:r>
            <w:r>
              <w:rPr>
                <w:sz w:val="24"/>
                <w:highlight w:val="none"/>
                <w:vertAlign w:val="superscript"/>
              </w:rPr>
              <w:t>3</w:t>
            </w:r>
            <w:r>
              <w:rPr>
                <w:sz w:val="24"/>
                <w:highlight w:val="none"/>
              </w:rPr>
              <w:t>）限值要求</w:t>
            </w:r>
            <w:r>
              <w:rPr>
                <w:rFonts w:hint="eastAsia"/>
                <w:sz w:val="24"/>
                <w:highlight w:val="none"/>
              </w:rPr>
              <w:t>，生物质锅炉配套烟囱（DA001）为35m，满足</w:t>
            </w:r>
            <w:r>
              <w:rPr>
                <w:sz w:val="24"/>
                <w:highlight w:val="none"/>
              </w:rPr>
              <w:t>《锅炉大气污染物排放标准》（GB13271-20</w:t>
            </w:r>
            <w:r>
              <w:rPr>
                <w:rFonts w:hint="eastAsia"/>
                <w:sz w:val="24"/>
                <w:highlight w:val="none"/>
              </w:rPr>
              <w:t>14</w:t>
            </w:r>
            <w:r>
              <w:rPr>
                <w:sz w:val="24"/>
                <w:highlight w:val="none"/>
              </w:rPr>
              <w:t>）中</w:t>
            </w:r>
            <w:r>
              <w:rPr>
                <w:rFonts w:hint="eastAsia"/>
                <w:sz w:val="24"/>
                <w:highlight w:val="none"/>
              </w:rPr>
              <w:t>表4燃煤锅炉房烟囱最低允许高度锅炉装机容量4~＜10t/h最低高度35m要求。</w:t>
            </w:r>
          </w:p>
          <w:p>
            <w:pPr>
              <w:keepLines w:val="0"/>
              <w:pageBreakBefore w:val="0"/>
              <w:wordWrap/>
              <w:topLinePunct w:val="0"/>
              <w:autoSpaceDE w:val="0"/>
              <w:autoSpaceDN w:val="0"/>
              <w:bidi w:val="0"/>
              <w:spacing w:line="360" w:lineRule="auto"/>
              <w:ind w:firstLine="480" w:firstLineChars="200"/>
              <w:outlineLvl w:val="9"/>
              <w:rPr>
                <w:sz w:val="24"/>
                <w:highlight w:val="none"/>
              </w:rPr>
            </w:pPr>
            <w:r>
              <w:rPr>
                <w:rFonts w:hint="eastAsia"/>
                <w:sz w:val="24"/>
                <w:highlight w:val="none"/>
              </w:rPr>
              <w:t>正常工况下</w:t>
            </w:r>
            <w:r>
              <w:rPr>
                <w:sz w:val="24"/>
                <w:highlight w:val="none"/>
              </w:rPr>
              <w:t>废气源强核算结果见表</w:t>
            </w:r>
            <w:r>
              <w:rPr>
                <w:rFonts w:hint="eastAsia"/>
                <w:sz w:val="24"/>
                <w:highlight w:val="none"/>
              </w:rPr>
              <w:t>4-7</w:t>
            </w:r>
            <w:r>
              <w:rPr>
                <w:sz w:val="24"/>
                <w:highlight w:val="none"/>
              </w:rPr>
              <w:t>。</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（2）</w:t>
            </w:r>
            <w:r>
              <w:rPr>
                <w:sz w:val="24"/>
                <w:highlight w:val="none"/>
              </w:rPr>
              <w:t>非正常工况</w:t>
            </w:r>
          </w:p>
          <w:p>
            <w:pPr>
              <w:keepLines w:val="0"/>
              <w:pageBreakBefore w:val="0"/>
              <w:wordWrap/>
              <w:topLinePunct w:val="0"/>
              <w:bidi w:val="0"/>
              <w:spacing w:line="360" w:lineRule="auto"/>
              <w:ind w:firstLine="480" w:firstLineChars="200"/>
              <w:outlineLvl w:val="9"/>
              <w:rPr>
                <w:kern w:val="0"/>
                <w:sz w:val="24"/>
                <w:highlight w:val="none"/>
              </w:rPr>
            </w:pPr>
            <w:r>
              <w:rPr>
                <w:rFonts w:hint="eastAsia"/>
                <w:sz w:val="24"/>
                <w:highlight w:val="none"/>
              </w:rPr>
              <w:t>本项目锅炉以布袋除尘器故障的情况下计算非正常工况，去除效率降低至30%考虑。</w:t>
            </w:r>
            <w:r>
              <w:rPr>
                <w:kern w:val="0"/>
                <w:sz w:val="24"/>
                <w:highlight w:val="none"/>
              </w:rPr>
              <w:t>本项目年运行</w:t>
            </w:r>
            <w:r>
              <w:rPr>
                <w:rFonts w:hint="eastAsia"/>
                <w:kern w:val="0"/>
                <w:sz w:val="24"/>
                <w:highlight w:val="none"/>
              </w:rPr>
              <w:t>120</w:t>
            </w:r>
            <w:r>
              <w:rPr>
                <w:kern w:val="0"/>
                <w:sz w:val="24"/>
                <w:highlight w:val="none"/>
              </w:rPr>
              <w:t>天，每次污染物非正常排放情况发生时间不超过1小时，每年发生次数不超过</w:t>
            </w:r>
            <w:r>
              <w:rPr>
                <w:rFonts w:hint="eastAsia"/>
                <w:kern w:val="0"/>
                <w:sz w:val="24"/>
                <w:highlight w:val="none"/>
              </w:rPr>
              <w:t>2</w:t>
            </w:r>
            <w:r>
              <w:rPr>
                <w:kern w:val="0"/>
                <w:sz w:val="24"/>
                <w:highlight w:val="none"/>
              </w:rPr>
              <w:t>次。</w:t>
            </w:r>
          </w:p>
          <w:p>
            <w:pPr>
              <w:keepLines w:val="0"/>
              <w:pageBreakBefore w:val="0"/>
              <w:wordWrap/>
              <w:topLinePunct w:val="0"/>
              <w:bidi w:val="0"/>
              <w:spacing w:line="360" w:lineRule="auto"/>
              <w:ind w:firstLine="480" w:firstLineChars="200"/>
              <w:outlineLvl w:val="9"/>
              <w:rPr>
                <w:kern w:val="0"/>
                <w:sz w:val="24"/>
                <w:highlight w:val="none"/>
              </w:rPr>
            </w:pPr>
            <w:r>
              <w:rPr>
                <w:kern w:val="0"/>
                <w:sz w:val="24"/>
                <w:highlight w:val="none"/>
              </w:rPr>
              <w:t>大气污染物源强非正常排放核算下表。</w:t>
            </w:r>
          </w:p>
          <w:p>
            <w:pPr>
              <w:pStyle w:val="91"/>
              <w:keepLines w:val="0"/>
              <w:pageBreakBefore w:val="0"/>
              <w:wordWrap/>
              <w:topLinePunct w:val="0"/>
              <w:bidi w:val="0"/>
              <w:spacing w:line="240" w:lineRule="auto"/>
              <w:outlineLvl w:val="9"/>
              <w:rPr>
                <w:rFonts w:eastAsia="宋体"/>
                <w:b/>
                <w:bCs/>
                <w:sz w:val="21"/>
                <w:szCs w:val="21"/>
                <w:highlight w:val="none"/>
              </w:rPr>
            </w:pPr>
            <w:r>
              <w:rPr>
                <w:rFonts w:hint="eastAsia" w:eastAsia="宋体"/>
                <w:b/>
                <w:bCs/>
                <w:sz w:val="21"/>
                <w:szCs w:val="21"/>
                <w:highlight w:val="none"/>
              </w:rPr>
              <w:t>表4-8 污染源非正常排放核算表</w:t>
            </w:r>
          </w:p>
          <w:tbl>
            <w:tblPr>
              <w:tblStyle w:val="29"/>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06"/>
              <w:gridCol w:w="1310"/>
              <w:gridCol w:w="881"/>
              <w:gridCol w:w="1514"/>
              <w:gridCol w:w="1316"/>
              <w:gridCol w:w="1211"/>
              <w:gridCol w:w="850"/>
              <w:gridCol w:w="7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90" w:hRule="atLeast"/>
                <w:jc w:val="center"/>
              </w:trPr>
              <w:tc>
                <w:tcPr>
                  <w:tcW w:w="906"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污染源</w:t>
                  </w:r>
                </w:p>
              </w:tc>
              <w:tc>
                <w:tcPr>
                  <w:tcW w:w="1310"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非正常排放原因</w:t>
                  </w:r>
                </w:p>
              </w:tc>
              <w:tc>
                <w:tcPr>
                  <w:tcW w:w="881"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污染物</w:t>
                  </w:r>
                </w:p>
              </w:tc>
              <w:tc>
                <w:tcPr>
                  <w:tcW w:w="1514"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非正常排放浓度（mg/m</w:t>
                  </w:r>
                  <w:r>
                    <w:rPr>
                      <w:rFonts w:hint="eastAsia"/>
                      <w:kern w:val="0"/>
                      <w:szCs w:val="21"/>
                      <w:highlight w:val="none"/>
                      <w:vertAlign w:val="superscript"/>
                    </w:rPr>
                    <w:t>3</w:t>
                  </w:r>
                  <w:r>
                    <w:rPr>
                      <w:rFonts w:hint="eastAsia"/>
                      <w:kern w:val="0"/>
                      <w:szCs w:val="21"/>
                      <w:highlight w:val="none"/>
                    </w:rPr>
                    <w:t>）</w:t>
                  </w:r>
                </w:p>
              </w:tc>
              <w:tc>
                <w:tcPr>
                  <w:tcW w:w="1316"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非正常排放速率（</w:t>
                  </w:r>
                  <w:r>
                    <w:rPr>
                      <w:kern w:val="0"/>
                      <w:szCs w:val="21"/>
                      <w:highlight w:val="none"/>
                    </w:rPr>
                    <w:t>kg/h</w:t>
                  </w:r>
                  <w:r>
                    <w:rPr>
                      <w:rFonts w:hint="eastAsia"/>
                      <w:kern w:val="0"/>
                      <w:szCs w:val="21"/>
                      <w:highlight w:val="none"/>
                    </w:rPr>
                    <w:t>）</w:t>
                  </w:r>
                </w:p>
              </w:tc>
              <w:tc>
                <w:tcPr>
                  <w:tcW w:w="1211"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单次持续时间（h）</w:t>
                  </w:r>
                </w:p>
              </w:tc>
              <w:tc>
                <w:tcPr>
                  <w:tcW w:w="850"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年发生频次</w:t>
                  </w:r>
                </w:p>
              </w:tc>
              <w:tc>
                <w:tcPr>
                  <w:tcW w:w="799"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应对措施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jc w:val="center"/>
              </w:trPr>
              <w:tc>
                <w:tcPr>
                  <w:tcW w:w="906"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生物质锅炉（DA001）</w:t>
                  </w:r>
                </w:p>
              </w:tc>
              <w:tc>
                <w:tcPr>
                  <w:tcW w:w="1310"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布袋除尘器故障，去除效率降低至30%</w:t>
                  </w:r>
                </w:p>
              </w:tc>
              <w:tc>
                <w:tcPr>
                  <w:tcW w:w="881"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颗粒物</w:t>
                  </w:r>
                </w:p>
              </w:tc>
              <w:tc>
                <w:tcPr>
                  <w:tcW w:w="1514" w:type="dxa"/>
                  <w:vAlign w:val="center"/>
                </w:tcPr>
                <w:p>
                  <w:pPr>
                    <w:keepLines w:val="0"/>
                    <w:pageBreakBefore w:val="0"/>
                    <w:wordWrap/>
                    <w:topLinePunct w:val="0"/>
                    <w:bidi w:val="0"/>
                    <w:adjustRightInd w:val="0"/>
                    <w:snapToGrid w:val="0"/>
                    <w:jc w:val="center"/>
                    <w:outlineLvl w:val="9"/>
                    <w:rPr>
                      <w:rFonts w:hint="default" w:eastAsia="宋体"/>
                      <w:kern w:val="0"/>
                      <w:szCs w:val="21"/>
                      <w:highlight w:val="none"/>
                      <w:lang w:val="en-US" w:eastAsia="zh-CN"/>
                    </w:rPr>
                  </w:pPr>
                  <w:r>
                    <w:rPr>
                      <w:rFonts w:hint="eastAsia"/>
                      <w:snapToGrid w:val="0"/>
                      <w:kern w:val="0"/>
                      <w:szCs w:val="21"/>
                      <w:highlight w:val="none"/>
                      <w:lang w:val="en-US" w:eastAsia="zh-CN"/>
                    </w:rPr>
                    <w:t>1875.013</w:t>
                  </w:r>
                </w:p>
              </w:tc>
              <w:tc>
                <w:tcPr>
                  <w:tcW w:w="1316" w:type="dxa"/>
                  <w:vAlign w:val="center"/>
                </w:tcPr>
                <w:p>
                  <w:pPr>
                    <w:pStyle w:val="71"/>
                    <w:keepLines w:val="0"/>
                    <w:pageBreakBefore w:val="0"/>
                    <w:wordWrap/>
                    <w:topLinePunct w:val="0"/>
                    <w:bidi w:val="0"/>
                    <w:adjustRightInd w:val="0"/>
                    <w:snapToGrid w:val="0"/>
                    <w:outlineLvl w:val="9"/>
                    <w:rPr>
                      <w:rFonts w:hint="default" w:eastAsia="宋体"/>
                      <w:kern w:val="0"/>
                      <w:szCs w:val="21"/>
                      <w:highlight w:val="none"/>
                      <w:lang w:val="en-US" w:eastAsia="zh-CN"/>
                    </w:rPr>
                  </w:pPr>
                  <w:r>
                    <w:rPr>
                      <w:rFonts w:hint="eastAsia"/>
                      <w:bCs/>
                      <w:sz w:val="21"/>
                      <w:szCs w:val="21"/>
                      <w:highlight w:val="none"/>
                      <w:lang w:val="en-US" w:eastAsia="zh-CN"/>
                    </w:rPr>
                    <w:t>10.206</w:t>
                  </w:r>
                </w:p>
              </w:tc>
              <w:tc>
                <w:tcPr>
                  <w:tcW w:w="1211"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≤1</w:t>
                  </w:r>
                </w:p>
              </w:tc>
              <w:tc>
                <w:tcPr>
                  <w:tcW w:w="850"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≤2次</w:t>
                  </w:r>
                </w:p>
              </w:tc>
              <w:tc>
                <w:tcPr>
                  <w:tcW w:w="799"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加强日常检修</w:t>
                  </w:r>
                </w:p>
              </w:tc>
            </w:tr>
          </w:tbl>
          <w:p>
            <w:pPr>
              <w:keepLines w:val="0"/>
              <w:pageBreakBefore w:val="0"/>
              <w:wordWrap/>
              <w:topLinePunct w:val="0"/>
              <w:bidi w:val="0"/>
              <w:spacing w:line="360" w:lineRule="auto"/>
              <w:ind w:firstLine="480" w:firstLineChars="200"/>
              <w:outlineLvl w:val="9"/>
              <w:rPr>
                <w:kern w:val="0"/>
                <w:sz w:val="24"/>
                <w:highlight w:val="none"/>
              </w:rPr>
            </w:pPr>
            <w:r>
              <w:rPr>
                <w:sz w:val="24"/>
                <w:highlight w:val="none"/>
              </w:rPr>
              <w:t>（3）</w:t>
            </w:r>
            <w:r>
              <w:rPr>
                <w:kern w:val="0"/>
                <w:sz w:val="24"/>
                <w:highlight w:val="none"/>
              </w:rPr>
              <w:t>废气排放口基本情况</w:t>
            </w:r>
          </w:p>
          <w:p>
            <w:pPr>
              <w:keepLines w:val="0"/>
              <w:pageBreakBefore w:val="0"/>
              <w:wordWrap/>
              <w:topLinePunct w:val="0"/>
              <w:bidi w:val="0"/>
              <w:spacing w:line="360" w:lineRule="auto"/>
              <w:ind w:firstLine="480" w:firstLineChars="200"/>
              <w:outlineLvl w:val="9"/>
              <w:rPr>
                <w:kern w:val="0"/>
                <w:sz w:val="24"/>
                <w:highlight w:val="none"/>
              </w:rPr>
            </w:pPr>
            <w:r>
              <w:rPr>
                <w:rFonts w:hint="eastAsia"/>
                <w:kern w:val="0"/>
                <w:sz w:val="24"/>
                <w:highlight w:val="none"/>
              </w:rPr>
              <w:t>本项目废气产生及排放情况见</w:t>
            </w:r>
            <w:r>
              <w:rPr>
                <w:kern w:val="0"/>
                <w:sz w:val="24"/>
                <w:highlight w:val="none"/>
              </w:rPr>
              <w:t>下表。</w:t>
            </w:r>
          </w:p>
          <w:p>
            <w:pPr>
              <w:pStyle w:val="91"/>
              <w:keepLines w:val="0"/>
              <w:pageBreakBefore w:val="0"/>
              <w:wordWrap/>
              <w:topLinePunct w:val="0"/>
              <w:bidi w:val="0"/>
              <w:spacing w:line="240" w:lineRule="auto"/>
              <w:outlineLvl w:val="9"/>
              <w:rPr>
                <w:rFonts w:eastAsia="宋体"/>
                <w:b/>
                <w:bCs/>
                <w:sz w:val="21"/>
                <w:szCs w:val="21"/>
                <w:highlight w:val="none"/>
              </w:rPr>
            </w:pPr>
            <w:r>
              <w:rPr>
                <w:rFonts w:hint="eastAsia" w:eastAsia="宋体"/>
                <w:b/>
                <w:bCs/>
                <w:sz w:val="21"/>
                <w:szCs w:val="21"/>
                <w:highlight w:val="none"/>
              </w:rPr>
              <w:t>表4-9 废气产生及排放情况表</w:t>
            </w:r>
          </w:p>
          <w:tbl>
            <w:tblPr>
              <w:tblStyle w:val="29"/>
              <w:tblW w:w="878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339"/>
              <w:gridCol w:w="563"/>
              <w:gridCol w:w="795"/>
              <w:gridCol w:w="1278"/>
              <w:gridCol w:w="824"/>
              <w:gridCol w:w="823"/>
              <w:gridCol w:w="796"/>
              <w:gridCol w:w="737"/>
              <w:gridCol w:w="660"/>
              <w:gridCol w:w="729"/>
              <w:gridCol w:w="665"/>
              <w:gridCol w:w="5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19" w:hRule="atLeast"/>
                <w:jc w:val="center"/>
              </w:trPr>
              <w:tc>
                <w:tcPr>
                  <w:tcW w:w="339"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序号</w:t>
                  </w:r>
                </w:p>
              </w:tc>
              <w:tc>
                <w:tcPr>
                  <w:tcW w:w="563"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排放源</w:t>
                  </w:r>
                </w:p>
              </w:tc>
              <w:tc>
                <w:tcPr>
                  <w:tcW w:w="795"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排放口编号</w:t>
                  </w:r>
                </w:p>
              </w:tc>
              <w:tc>
                <w:tcPr>
                  <w:tcW w:w="1278"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污染物种类</w:t>
                  </w:r>
                </w:p>
              </w:tc>
              <w:tc>
                <w:tcPr>
                  <w:tcW w:w="824"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排放口名称</w:t>
                  </w:r>
                </w:p>
              </w:tc>
              <w:tc>
                <w:tcPr>
                  <w:tcW w:w="823"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排放口类型</w:t>
                  </w:r>
                </w:p>
              </w:tc>
              <w:tc>
                <w:tcPr>
                  <w:tcW w:w="1533" w:type="dxa"/>
                  <w:gridSpan w:val="2"/>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坐标</w:t>
                  </w:r>
                  <w:r>
                    <w:rPr>
                      <w:rFonts w:hint="eastAsia"/>
                      <w:highlight w:val="none"/>
                    </w:rPr>
                    <w:t>（°）</w:t>
                  </w:r>
                </w:p>
              </w:tc>
              <w:tc>
                <w:tcPr>
                  <w:tcW w:w="2054" w:type="dxa"/>
                  <w:gridSpan w:val="3"/>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排气筒情况</w:t>
                  </w:r>
                </w:p>
              </w:tc>
              <w:tc>
                <w:tcPr>
                  <w:tcW w:w="578"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其他信息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557" w:hRule="atLeast"/>
                <w:jc w:val="center"/>
              </w:trPr>
              <w:tc>
                <w:tcPr>
                  <w:tcW w:w="339"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563"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95"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1278"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824"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823"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96"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经度</w:t>
                  </w:r>
                </w:p>
              </w:tc>
              <w:tc>
                <w:tcPr>
                  <w:tcW w:w="737"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纬度</w:t>
                  </w:r>
                </w:p>
              </w:tc>
              <w:tc>
                <w:tcPr>
                  <w:tcW w:w="660"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高度</w:t>
                  </w:r>
                </w:p>
              </w:tc>
              <w:tc>
                <w:tcPr>
                  <w:tcW w:w="729"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内径</w:t>
                  </w:r>
                </w:p>
              </w:tc>
              <w:tc>
                <w:tcPr>
                  <w:tcW w:w="665" w:type="dxa"/>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排气温度</w:t>
                  </w:r>
                </w:p>
              </w:tc>
              <w:tc>
                <w:tcPr>
                  <w:tcW w:w="578"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4" w:hRule="atLeast"/>
                <w:jc w:val="center"/>
              </w:trPr>
              <w:tc>
                <w:tcPr>
                  <w:tcW w:w="339"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1</w:t>
                  </w:r>
                </w:p>
              </w:tc>
              <w:tc>
                <w:tcPr>
                  <w:tcW w:w="563"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生物质锅炉</w:t>
                  </w:r>
                </w:p>
              </w:tc>
              <w:tc>
                <w:tcPr>
                  <w:tcW w:w="795"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DA001</w:t>
                  </w:r>
                </w:p>
              </w:tc>
              <w:tc>
                <w:tcPr>
                  <w:tcW w:w="1278" w:type="dxa"/>
                  <w:vAlign w:val="center"/>
                </w:tcPr>
                <w:p>
                  <w:pPr>
                    <w:pStyle w:val="112"/>
                    <w:keepLines w:val="0"/>
                    <w:pageBreakBefore w:val="0"/>
                    <w:kinsoku w:val="0"/>
                    <w:wordWrap/>
                    <w:overflowPunct w:val="0"/>
                    <w:topLinePunct w:val="0"/>
                    <w:autoSpaceDE w:val="0"/>
                    <w:autoSpaceDN w:val="0"/>
                    <w:bidi w:val="0"/>
                    <w:outlineLvl w:val="9"/>
                    <w:rPr>
                      <w:szCs w:val="21"/>
                      <w:highlight w:val="none"/>
                    </w:rPr>
                  </w:pPr>
                  <w:r>
                    <w:rPr>
                      <w:szCs w:val="21"/>
                      <w:highlight w:val="none"/>
                    </w:rPr>
                    <w:t>颗粒物</w:t>
                  </w:r>
                </w:p>
              </w:tc>
              <w:tc>
                <w:tcPr>
                  <w:tcW w:w="824"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烟囱</w:t>
                  </w:r>
                </w:p>
              </w:tc>
              <w:tc>
                <w:tcPr>
                  <w:tcW w:w="823"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一般排放口</w:t>
                  </w:r>
                </w:p>
              </w:tc>
              <w:tc>
                <w:tcPr>
                  <w:tcW w:w="796"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131.22401834</w:t>
                  </w:r>
                </w:p>
              </w:tc>
              <w:tc>
                <w:tcPr>
                  <w:tcW w:w="737"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46.69793818</w:t>
                  </w:r>
                </w:p>
              </w:tc>
              <w:tc>
                <w:tcPr>
                  <w:tcW w:w="660"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35m</w:t>
                  </w:r>
                </w:p>
              </w:tc>
              <w:tc>
                <w:tcPr>
                  <w:tcW w:w="729"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0.</w:t>
                  </w:r>
                  <w:r>
                    <w:rPr>
                      <w:rFonts w:hint="eastAsia"/>
                      <w:kern w:val="0"/>
                      <w:szCs w:val="21"/>
                      <w:highlight w:val="none"/>
                      <w:lang w:val="en-US" w:eastAsia="zh-CN"/>
                    </w:rPr>
                    <w:t>35</w:t>
                  </w:r>
                  <w:r>
                    <w:rPr>
                      <w:rFonts w:hint="eastAsia"/>
                      <w:kern w:val="0"/>
                      <w:szCs w:val="21"/>
                      <w:highlight w:val="none"/>
                    </w:rPr>
                    <w:t>m</w:t>
                  </w:r>
                </w:p>
              </w:tc>
              <w:tc>
                <w:tcPr>
                  <w:tcW w:w="665"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kern w:val="0"/>
                      <w:szCs w:val="21"/>
                      <w:highlight w:val="none"/>
                    </w:rPr>
                    <w:t>120℃</w:t>
                  </w:r>
                </w:p>
              </w:tc>
              <w:tc>
                <w:tcPr>
                  <w:tcW w:w="578" w:type="dxa"/>
                  <w:vMerge w:val="restart"/>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204" w:hRule="atLeast"/>
                <w:jc w:val="center"/>
              </w:trPr>
              <w:tc>
                <w:tcPr>
                  <w:tcW w:w="339" w:type="dxa"/>
                  <w:vMerge w:val="continue"/>
                  <w:vAlign w:val="center"/>
                </w:tcPr>
                <w:p>
                  <w:pPr>
                    <w:keepLines w:val="0"/>
                    <w:pageBreakBefore w:val="0"/>
                    <w:wordWrap/>
                    <w:topLinePunct w:val="0"/>
                    <w:bidi w:val="0"/>
                    <w:adjustRightInd w:val="0"/>
                    <w:snapToGrid w:val="0"/>
                    <w:jc w:val="center"/>
                    <w:outlineLvl w:val="9"/>
                    <w:rPr>
                      <w:highlight w:val="none"/>
                    </w:rPr>
                  </w:pPr>
                </w:p>
              </w:tc>
              <w:tc>
                <w:tcPr>
                  <w:tcW w:w="563" w:type="dxa"/>
                  <w:vMerge w:val="continue"/>
                  <w:vAlign w:val="center"/>
                </w:tcPr>
                <w:p>
                  <w:pPr>
                    <w:keepLines w:val="0"/>
                    <w:pageBreakBefore w:val="0"/>
                    <w:wordWrap/>
                    <w:topLinePunct w:val="0"/>
                    <w:bidi w:val="0"/>
                    <w:adjustRightInd w:val="0"/>
                    <w:snapToGrid w:val="0"/>
                    <w:jc w:val="center"/>
                    <w:outlineLvl w:val="9"/>
                    <w:rPr>
                      <w:highlight w:val="none"/>
                    </w:rPr>
                  </w:pPr>
                </w:p>
              </w:tc>
              <w:tc>
                <w:tcPr>
                  <w:tcW w:w="795" w:type="dxa"/>
                  <w:vMerge w:val="continue"/>
                  <w:vAlign w:val="center"/>
                </w:tcPr>
                <w:p>
                  <w:pPr>
                    <w:keepLines w:val="0"/>
                    <w:pageBreakBefore w:val="0"/>
                    <w:wordWrap/>
                    <w:topLinePunct w:val="0"/>
                    <w:bidi w:val="0"/>
                    <w:adjustRightInd w:val="0"/>
                    <w:snapToGrid w:val="0"/>
                    <w:jc w:val="center"/>
                    <w:outlineLvl w:val="9"/>
                    <w:rPr>
                      <w:highlight w:val="none"/>
                    </w:rPr>
                  </w:pPr>
                </w:p>
              </w:tc>
              <w:tc>
                <w:tcPr>
                  <w:tcW w:w="1278" w:type="dxa"/>
                  <w:vAlign w:val="center"/>
                </w:tcPr>
                <w:p>
                  <w:pPr>
                    <w:pStyle w:val="112"/>
                    <w:keepLines w:val="0"/>
                    <w:pageBreakBefore w:val="0"/>
                    <w:kinsoku w:val="0"/>
                    <w:wordWrap/>
                    <w:overflowPunct w:val="0"/>
                    <w:topLinePunct w:val="0"/>
                    <w:autoSpaceDE w:val="0"/>
                    <w:autoSpaceDN w:val="0"/>
                    <w:bidi w:val="0"/>
                    <w:outlineLvl w:val="9"/>
                    <w:rPr>
                      <w:szCs w:val="21"/>
                      <w:highlight w:val="none"/>
                    </w:rPr>
                  </w:pPr>
                  <w:r>
                    <w:rPr>
                      <w:rFonts w:hint="eastAsia"/>
                      <w:szCs w:val="21"/>
                      <w:highlight w:val="none"/>
                    </w:rPr>
                    <w:t>二氧化硫</w:t>
                  </w:r>
                </w:p>
              </w:tc>
              <w:tc>
                <w:tcPr>
                  <w:tcW w:w="824"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823"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96"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37"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660"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29"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665"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578"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414" w:hRule="atLeast"/>
                <w:jc w:val="center"/>
              </w:trPr>
              <w:tc>
                <w:tcPr>
                  <w:tcW w:w="339"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563"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95"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1278" w:type="dxa"/>
                  <w:vAlign w:val="center"/>
                </w:tcPr>
                <w:p>
                  <w:pPr>
                    <w:pStyle w:val="112"/>
                    <w:keepLines w:val="0"/>
                    <w:pageBreakBefore w:val="0"/>
                    <w:kinsoku w:val="0"/>
                    <w:wordWrap/>
                    <w:overflowPunct w:val="0"/>
                    <w:topLinePunct w:val="0"/>
                    <w:autoSpaceDE w:val="0"/>
                    <w:autoSpaceDN w:val="0"/>
                    <w:bidi w:val="0"/>
                    <w:outlineLvl w:val="9"/>
                    <w:rPr>
                      <w:szCs w:val="21"/>
                      <w:highlight w:val="none"/>
                    </w:rPr>
                  </w:pPr>
                  <w:r>
                    <w:rPr>
                      <w:szCs w:val="21"/>
                      <w:highlight w:val="none"/>
                    </w:rPr>
                    <w:t>氮氧化物</w:t>
                  </w:r>
                </w:p>
              </w:tc>
              <w:tc>
                <w:tcPr>
                  <w:tcW w:w="824"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823"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96"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37"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660"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29"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665"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578"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45" w:hRule="atLeast"/>
                <w:jc w:val="center"/>
              </w:trPr>
              <w:tc>
                <w:tcPr>
                  <w:tcW w:w="339"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563"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95"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1278" w:type="dxa"/>
                  <w:vAlign w:val="center"/>
                </w:tcPr>
                <w:p>
                  <w:pPr>
                    <w:pStyle w:val="112"/>
                    <w:keepLines w:val="0"/>
                    <w:pageBreakBefore w:val="0"/>
                    <w:kinsoku w:val="0"/>
                    <w:wordWrap/>
                    <w:overflowPunct w:val="0"/>
                    <w:topLinePunct w:val="0"/>
                    <w:autoSpaceDE w:val="0"/>
                    <w:autoSpaceDN w:val="0"/>
                    <w:bidi w:val="0"/>
                    <w:outlineLvl w:val="9"/>
                    <w:rPr>
                      <w:rFonts w:hint="default" w:eastAsia="宋体"/>
                      <w:szCs w:val="21"/>
                      <w:highlight w:val="none"/>
                      <w:lang w:val="en-US" w:eastAsia="zh-CN"/>
                    </w:rPr>
                  </w:pPr>
                  <w:r>
                    <w:rPr>
                      <w:rFonts w:hint="eastAsia"/>
                      <w:szCs w:val="21"/>
                      <w:highlight w:val="none"/>
                      <w:lang w:val="en-US" w:eastAsia="zh-CN"/>
                    </w:rPr>
                    <w:t>烟气黑度</w:t>
                  </w:r>
                </w:p>
              </w:tc>
              <w:tc>
                <w:tcPr>
                  <w:tcW w:w="824"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823"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96"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37"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660"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729"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665"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c>
                <w:tcPr>
                  <w:tcW w:w="578" w:type="dxa"/>
                  <w:vMerge w:val="continue"/>
                  <w:vAlign w:val="center"/>
                </w:tcPr>
                <w:p>
                  <w:pPr>
                    <w:keepLines w:val="0"/>
                    <w:pageBreakBefore w:val="0"/>
                    <w:wordWrap/>
                    <w:topLinePunct w:val="0"/>
                    <w:bidi w:val="0"/>
                    <w:adjustRightInd w:val="0"/>
                    <w:snapToGrid w:val="0"/>
                    <w:jc w:val="center"/>
                    <w:outlineLvl w:val="9"/>
                    <w:rPr>
                      <w:kern w:val="0"/>
                      <w:szCs w:val="21"/>
                      <w:highlight w:val="none"/>
                    </w:rPr>
                  </w:pPr>
                </w:p>
              </w:tc>
            </w:tr>
          </w:tbl>
          <w:p>
            <w:pPr>
              <w:pStyle w:val="72"/>
              <w:keepLines w:val="0"/>
              <w:pageBreakBefore w:val="0"/>
              <w:wordWrap/>
              <w:topLinePunct w:val="0"/>
              <w:bidi w:val="0"/>
              <w:spacing w:line="360" w:lineRule="auto"/>
              <w:outlineLvl w:val="9"/>
              <w:rPr>
                <w:highlight w:val="none"/>
              </w:rPr>
            </w:pPr>
            <w:r>
              <w:rPr>
                <w:rFonts w:hint="eastAsia"/>
                <w:highlight w:val="none"/>
              </w:rPr>
              <w:t xml:space="preserve">（4）监测计划 </w:t>
            </w:r>
          </w:p>
          <w:p>
            <w:pPr>
              <w:pStyle w:val="72"/>
              <w:keepLines w:val="0"/>
              <w:pageBreakBefore w:val="0"/>
              <w:wordWrap/>
              <w:topLinePunct w:val="0"/>
              <w:bidi w:val="0"/>
              <w:spacing w:line="360" w:lineRule="auto"/>
              <w:outlineLvl w:val="9"/>
              <w:rPr>
                <w:highlight w:val="none"/>
              </w:rPr>
            </w:pPr>
            <w:r>
              <w:rPr>
                <w:rFonts w:hint="eastAsia"/>
                <w:highlight w:val="none"/>
              </w:rPr>
              <w:t>依据《排污单位自行监测技术指南总则》(HJ819-2017)、</w:t>
            </w:r>
            <w:r>
              <w:rPr>
                <w:bCs/>
                <w:spacing w:val="-10"/>
                <w:highlight w:val="none"/>
              </w:rPr>
              <w:t>《排污单位自行监测技术指南 食品制造》（HJ1084-2020）</w:t>
            </w:r>
            <w:r>
              <w:rPr>
                <w:rFonts w:hint="eastAsia"/>
                <w:bCs/>
                <w:spacing w:val="-10"/>
                <w:highlight w:val="none"/>
              </w:rPr>
              <w:t>及</w:t>
            </w:r>
            <w:r>
              <w:rPr>
                <w:bCs/>
                <w:spacing w:val="-10"/>
                <w:highlight w:val="none"/>
              </w:rPr>
              <w:t xml:space="preserve">《排污单位自行监测技术指南 </w:t>
            </w:r>
            <w:r>
              <w:rPr>
                <w:rFonts w:hint="eastAsia"/>
                <w:bCs/>
                <w:spacing w:val="-10"/>
                <w:highlight w:val="none"/>
              </w:rPr>
              <w:t>火力发电及锅炉</w:t>
            </w:r>
            <w:r>
              <w:rPr>
                <w:bCs/>
                <w:spacing w:val="-10"/>
                <w:highlight w:val="none"/>
              </w:rPr>
              <w:t>》（HJ</w:t>
            </w:r>
            <w:r>
              <w:rPr>
                <w:rFonts w:hint="eastAsia"/>
                <w:bCs/>
                <w:spacing w:val="-10"/>
                <w:highlight w:val="none"/>
              </w:rPr>
              <w:t>820</w:t>
            </w:r>
            <w:r>
              <w:rPr>
                <w:bCs/>
                <w:spacing w:val="-10"/>
                <w:highlight w:val="none"/>
              </w:rPr>
              <w:t>-20</w:t>
            </w:r>
            <w:r>
              <w:rPr>
                <w:rFonts w:hint="eastAsia"/>
                <w:bCs/>
                <w:spacing w:val="-10"/>
                <w:highlight w:val="none"/>
              </w:rPr>
              <w:t>17</w:t>
            </w:r>
            <w:r>
              <w:rPr>
                <w:bCs/>
                <w:spacing w:val="-10"/>
                <w:highlight w:val="none"/>
              </w:rPr>
              <w:t>）</w:t>
            </w:r>
            <w:r>
              <w:rPr>
                <w:rFonts w:hint="eastAsia"/>
                <w:highlight w:val="none"/>
              </w:rPr>
              <w:t>确定本项目监测计划，具体见下表。</w:t>
            </w:r>
          </w:p>
          <w:p>
            <w:pPr>
              <w:pStyle w:val="91"/>
              <w:keepLines w:val="0"/>
              <w:pageBreakBefore w:val="0"/>
              <w:wordWrap/>
              <w:topLinePunct w:val="0"/>
              <w:bidi w:val="0"/>
              <w:spacing w:line="240" w:lineRule="auto"/>
              <w:outlineLvl w:val="9"/>
              <w:rPr>
                <w:rFonts w:eastAsia="宋体"/>
                <w:b/>
                <w:bCs/>
                <w:sz w:val="21"/>
                <w:szCs w:val="21"/>
                <w:highlight w:val="none"/>
              </w:rPr>
            </w:pPr>
            <w:r>
              <w:rPr>
                <w:rFonts w:hint="eastAsia" w:eastAsia="宋体"/>
                <w:b/>
                <w:bCs/>
                <w:sz w:val="21"/>
                <w:szCs w:val="21"/>
                <w:highlight w:val="none"/>
              </w:rPr>
              <w:t>表4-10 本项目污染源监测计划</w:t>
            </w:r>
          </w:p>
          <w:tbl>
            <w:tblPr>
              <w:tblStyle w:val="29"/>
              <w:tblW w:w="8787" w:type="dxa"/>
              <w:jc w:val="center"/>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Layout w:type="fixed"/>
              <w:tblCellMar>
                <w:top w:w="0" w:type="dxa"/>
                <w:left w:w="108" w:type="dxa"/>
                <w:bottom w:w="0" w:type="dxa"/>
                <w:right w:w="108" w:type="dxa"/>
              </w:tblCellMar>
            </w:tblPr>
            <w:tblGrid>
              <w:gridCol w:w="1322"/>
              <w:gridCol w:w="2591"/>
              <w:gridCol w:w="2429"/>
              <w:gridCol w:w="2445"/>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trHeight w:val="90" w:hRule="atLeast"/>
                <w:jc w:val="center"/>
              </w:trPr>
              <w:tc>
                <w:tcPr>
                  <w:tcW w:w="1322"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类型</w:t>
                  </w:r>
                </w:p>
              </w:tc>
              <w:tc>
                <w:tcPr>
                  <w:tcW w:w="2591"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监测项目</w:t>
                  </w:r>
                </w:p>
              </w:tc>
              <w:tc>
                <w:tcPr>
                  <w:tcW w:w="2429"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监测点</w:t>
                  </w:r>
                </w:p>
              </w:tc>
              <w:tc>
                <w:tcPr>
                  <w:tcW w:w="2445"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监测频率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416" w:hRule="atLeast"/>
                <w:jc w:val="center"/>
              </w:trPr>
              <w:tc>
                <w:tcPr>
                  <w:tcW w:w="1322"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有组织废气</w:t>
                  </w:r>
                </w:p>
              </w:tc>
              <w:tc>
                <w:tcPr>
                  <w:tcW w:w="2591"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烟囱排放口</w:t>
                  </w:r>
                </w:p>
              </w:tc>
              <w:tc>
                <w:tcPr>
                  <w:tcW w:w="2429"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颗粒物、二氧化硫、氮氧化物、烟气黑度</w:t>
                  </w:r>
                </w:p>
              </w:tc>
              <w:tc>
                <w:tcPr>
                  <w:tcW w:w="2445"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snapToGrid w:val="0"/>
                      <w:szCs w:val="21"/>
                      <w:highlight w:val="none"/>
                    </w:rPr>
                    <w:t>1次/</w:t>
                  </w:r>
                  <w:r>
                    <w:rPr>
                      <w:rFonts w:hint="eastAsia"/>
                      <w:snapToGrid w:val="0"/>
                      <w:szCs w:val="21"/>
                      <w:highlight w:val="none"/>
                    </w:rPr>
                    <w:t>月</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4" w:space="0"/>
                </w:tblBorders>
                <w:tblCellMar>
                  <w:top w:w="0" w:type="dxa"/>
                  <w:left w:w="108" w:type="dxa"/>
                  <w:bottom w:w="0" w:type="dxa"/>
                  <w:right w:w="108" w:type="dxa"/>
                </w:tblCellMar>
              </w:tblPrEx>
              <w:trPr>
                <w:cantSplit/>
                <w:trHeight w:val="90" w:hRule="atLeast"/>
                <w:jc w:val="center"/>
              </w:trPr>
              <w:tc>
                <w:tcPr>
                  <w:tcW w:w="1322"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无组织废气</w:t>
                  </w:r>
                </w:p>
              </w:tc>
              <w:tc>
                <w:tcPr>
                  <w:tcW w:w="2591"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臭气浓度</w:t>
                  </w:r>
                </w:p>
              </w:tc>
              <w:tc>
                <w:tcPr>
                  <w:tcW w:w="2429"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rFonts w:hint="eastAsia"/>
                      <w:kern w:val="0"/>
                      <w:szCs w:val="21"/>
                      <w:highlight w:val="none"/>
                    </w:rPr>
                    <w:t>厂界</w:t>
                  </w:r>
                </w:p>
              </w:tc>
              <w:tc>
                <w:tcPr>
                  <w:tcW w:w="2445" w:type="dxa"/>
                  <w:tcBorders>
                    <w:tl2br w:val="nil"/>
                    <w:tr2bl w:val="nil"/>
                  </w:tcBorders>
                  <w:vAlign w:val="center"/>
                </w:tcPr>
                <w:p>
                  <w:pPr>
                    <w:keepLines w:val="0"/>
                    <w:pageBreakBefore w:val="0"/>
                    <w:wordWrap/>
                    <w:topLinePunct w:val="0"/>
                    <w:bidi w:val="0"/>
                    <w:adjustRightInd w:val="0"/>
                    <w:snapToGrid w:val="0"/>
                    <w:jc w:val="center"/>
                    <w:outlineLvl w:val="9"/>
                    <w:rPr>
                      <w:kern w:val="0"/>
                      <w:szCs w:val="21"/>
                      <w:highlight w:val="none"/>
                    </w:rPr>
                  </w:pPr>
                  <w:r>
                    <w:rPr>
                      <w:snapToGrid w:val="0"/>
                      <w:szCs w:val="21"/>
                      <w:highlight w:val="none"/>
                    </w:rPr>
                    <w:t>1次/</w:t>
                  </w:r>
                  <w:r>
                    <w:rPr>
                      <w:rFonts w:hint="eastAsia"/>
                      <w:snapToGrid w:val="0"/>
                      <w:szCs w:val="21"/>
                      <w:highlight w:val="none"/>
                    </w:rPr>
                    <w:t>半年</w:t>
                  </w:r>
                </w:p>
              </w:tc>
            </w:tr>
          </w:tbl>
          <w:p>
            <w:pPr>
              <w:pStyle w:val="88"/>
              <w:keepLines w:val="0"/>
              <w:pageBreakBefore w:val="0"/>
              <w:wordWrap/>
              <w:topLinePunct w:val="0"/>
              <w:bidi w:val="0"/>
              <w:ind w:firstLine="480"/>
              <w:outlineLvl w:val="9"/>
              <w:rPr>
                <w:rFonts w:ascii="Times New Roman" w:hAnsi="Times New Roman"/>
                <w:highlight w:val="none"/>
              </w:rPr>
            </w:pPr>
            <w:r>
              <w:rPr>
                <w:rFonts w:hint="eastAsia"/>
                <w:highlight w:val="none"/>
              </w:rPr>
              <w:t>（二）污染治理措施及环境影响分析</w:t>
            </w:r>
          </w:p>
          <w:p>
            <w:pPr>
              <w:keepLines w:val="0"/>
              <w:pageBreakBefore w:val="0"/>
              <w:wordWrap/>
              <w:topLinePunct w:val="0"/>
              <w:bidi w:val="0"/>
              <w:spacing w:line="360" w:lineRule="auto"/>
              <w:ind w:firstLine="480" w:firstLineChars="200"/>
              <w:contextualSpacing/>
              <w:outlineLvl w:val="9"/>
              <w:rPr>
                <w:b/>
                <w:sz w:val="24"/>
                <w:highlight w:val="none"/>
              </w:rPr>
            </w:pPr>
            <w:r>
              <w:rPr>
                <w:bCs/>
                <w:sz w:val="24"/>
                <w:highlight w:val="none"/>
              </w:rPr>
              <w:t>本项目</w:t>
            </w:r>
            <w:r>
              <w:rPr>
                <w:sz w:val="24"/>
                <w:highlight w:val="none"/>
              </w:rPr>
              <w:t>锅炉烟气经布袋除尘器（除尘效率按99%计）处理后由</w:t>
            </w:r>
            <w:r>
              <w:rPr>
                <w:rFonts w:hint="eastAsia"/>
                <w:sz w:val="24"/>
                <w:highlight w:val="none"/>
              </w:rPr>
              <w:t>35m</w:t>
            </w:r>
            <w:r>
              <w:rPr>
                <w:sz w:val="24"/>
                <w:highlight w:val="none"/>
              </w:rPr>
              <w:t>高烟囱排放</w:t>
            </w:r>
            <w:r>
              <w:rPr>
                <w:bCs/>
                <w:sz w:val="24"/>
                <w:highlight w:val="none"/>
              </w:rPr>
              <w:t>，符合《排污许可证申请与核发技术规范 锅炉》（HJ1033-2019）中的要求。因此，属于可行性技术。</w:t>
            </w:r>
          </w:p>
          <w:p>
            <w:pPr>
              <w:keepLines w:val="0"/>
              <w:pageBreakBefore w:val="0"/>
              <w:wordWrap/>
              <w:topLinePunct w:val="0"/>
              <w:bidi w:val="0"/>
              <w:spacing w:line="360" w:lineRule="auto"/>
              <w:ind w:firstLine="480"/>
              <w:outlineLvl w:val="9"/>
              <w:rPr>
                <w:sz w:val="24"/>
                <w:highlight w:val="none"/>
              </w:rPr>
            </w:pPr>
            <w:r>
              <w:rPr>
                <w:rFonts w:hint="eastAsia"/>
                <w:sz w:val="24"/>
                <w:highlight w:val="none"/>
              </w:rPr>
              <w:t>综上，</w:t>
            </w:r>
            <w:r>
              <w:rPr>
                <w:sz w:val="24"/>
                <w:highlight w:val="none"/>
              </w:rPr>
              <w:t>本项目</w:t>
            </w:r>
            <w:r>
              <w:rPr>
                <w:rFonts w:hint="eastAsia"/>
                <w:sz w:val="24"/>
                <w:highlight w:val="none"/>
              </w:rPr>
              <w:t>采取的废气污染防治措施可行，废气</w:t>
            </w:r>
            <w:r>
              <w:rPr>
                <w:rFonts w:hint="eastAsia"/>
                <w:bCs/>
                <w:sz w:val="24"/>
                <w:highlight w:val="none"/>
              </w:rPr>
              <w:t>经处理后</w:t>
            </w:r>
            <w:r>
              <w:rPr>
                <w:sz w:val="24"/>
                <w:highlight w:val="none"/>
              </w:rPr>
              <w:t>对</w:t>
            </w:r>
            <w:r>
              <w:rPr>
                <w:rFonts w:hint="eastAsia"/>
                <w:sz w:val="24"/>
                <w:highlight w:val="none"/>
              </w:rPr>
              <w:t>大气</w:t>
            </w:r>
            <w:r>
              <w:rPr>
                <w:sz w:val="24"/>
                <w:highlight w:val="none"/>
              </w:rPr>
              <w:t>环境影响较小</w:t>
            </w:r>
            <w:r>
              <w:rPr>
                <w:rFonts w:hint="eastAsia"/>
                <w:sz w:val="24"/>
                <w:highlight w:val="none"/>
                <w:lang w:eastAsia="zh-CN"/>
              </w:rPr>
              <w:t>，</w:t>
            </w:r>
            <w:r>
              <w:rPr>
                <w:rFonts w:hint="eastAsia"/>
                <w:sz w:val="24"/>
                <w:highlight w:val="none"/>
                <w:lang w:val="en-US" w:eastAsia="zh-CN"/>
              </w:rPr>
              <w:t>对周围环境质量影响较小，对周围居民影响较小</w:t>
            </w:r>
            <w:r>
              <w:rPr>
                <w:rFonts w:hint="eastAsia"/>
                <w:sz w:val="24"/>
                <w:highlight w:val="none"/>
              </w:rPr>
              <w:t>。</w:t>
            </w:r>
          </w:p>
          <w:p>
            <w:pPr>
              <w:keepLines w:val="0"/>
              <w:pageBreakBefore w:val="0"/>
              <w:wordWrap/>
              <w:topLinePunct w:val="0"/>
              <w:bidi w:val="0"/>
              <w:spacing w:line="360" w:lineRule="auto"/>
              <w:outlineLvl w:val="9"/>
              <w:rPr>
                <w:b/>
                <w:bCs/>
                <w:sz w:val="24"/>
                <w:highlight w:val="none"/>
              </w:rPr>
            </w:pPr>
            <w:r>
              <w:rPr>
                <w:b/>
                <w:bCs/>
                <w:sz w:val="24"/>
                <w:highlight w:val="none"/>
              </w:rPr>
              <w:t>三、噪声</w:t>
            </w:r>
          </w:p>
          <w:p>
            <w:pPr>
              <w:pStyle w:val="109"/>
              <w:keepLines w:val="0"/>
              <w:pageBreakBefore w:val="0"/>
              <w:wordWrap/>
              <w:topLinePunct w:val="0"/>
              <w:bidi w:val="0"/>
              <w:spacing w:line="360" w:lineRule="auto"/>
              <w:ind w:firstLine="482"/>
              <w:outlineLvl w:val="9"/>
              <w:rPr>
                <w:highlight w:val="none"/>
              </w:rPr>
            </w:pPr>
            <w:r>
              <w:rPr>
                <w:highlight w:val="none"/>
              </w:rPr>
              <w:t>（1）噪声源</w:t>
            </w:r>
          </w:p>
          <w:p>
            <w:pPr>
              <w:keepLines w:val="0"/>
              <w:pageBreakBefore w:val="0"/>
              <w:wordWrap/>
              <w:topLinePunct w:val="0"/>
              <w:bidi w:val="0"/>
              <w:spacing w:line="360" w:lineRule="auto"/>
              <w:ind w:firstLine="480" w:firstLineChars="200"/>
              <w:contextualSpacing/>
              <w:outlineLvl w:val="9"/>
              <w:rPr>
                <w:b/>
                <w:bCs/>
                <w:szCs w:val="21"/>
                <w:highlight w:val="none"/>
              </w:rPr>
            </w:pPr>
            <w:r>
              <w:rPr>
                <w:rFonts w:hint="eastAsia"/>
                <w:bCs/>
                <w:sz w:val="24"/>
                <w:highlight w:val="none"/>
              </w:rPr>
              <w:t>本项目运营期噪声源主要为各生产线生产设备噪声，根据《环境噪声与振动控制工程技术导则》，项目生产设备噪声源强在70～85dB(A)之间，项目噪声污染源源强核算结果及本项目噪声源主要为锅炉风机、贮藏冷库内制冷器等，噪声值约70~85dB(A)，本项目噪声污染源源强核算结果及相关参数见下表。</w:t>
            </w:r>
          </w:p>
          <w:p>
            <w:pPr>
              <w:pStyle w:val="91"/>
              <w:keepLines w:val="0"/>
              <w:pageBreakBefore w:val="0"/>
              <w:wordWrap/>
              <w:topLinePunct w:val="0"/>
              <w:bidi w:val="0"/>
              <w:spacing w:line="240" w:lineRule="auto"/>
              <w:outlineLvl w:val="9"/>
              <w:rPr>
                <w:rFonts w:eastAsia="宋体"/>
                <w:b/>
                <w:bCs/>
                <w:sz w:val="21"/>
                <w:szCs w:val="21"/>
                <w:highlight w:val="none"/>
              </w:rPr>
            </w:pPr>
            <w:r>
              <w:rPr>
                <w:rFonts w:hint="eastAsia" w:eastAsia="宋体"/>
                <w:b/>
                <w:bCs/>
                <w:sz w:val="21"/>
                <w:szCs w:val="21"/>
                <w:highlight w:val="none"/>
              </w:rPr>
              <w:t>表4-11本项目噪声污染源强调查清单（室内声源）</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5"/>
              <w:gridCol w:w="433"/>
              <w:gridCol w:w="478"/>
              <w:gridCol w:w="825"/>
              <w:gridCol w:w="713"/>
              <w:gridCol w:w="701"/>
              <w:gridCol w:w="701"/>
              <w:gridCol w:w="522"/>
              <w:gridCol w:w="445"/>
              <w:gridCol w:w="825"/>
              <w:gridCol w:w="539"/>
              <w:gridCol w:w="825"/>
              <w:gridCol w:w="825"/>
              <w:gridCol w:w="43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50" w:type="pct"/>
                  <w:vMerge w:val="restar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序号</w:t>
                  </w:r>
                </w:p>
              </w:tc>
              <w:tc>
                <w:tcPr>
                  <w:tcW w:w="249" w:type="pct"/>
                  <w:vMerge w:val="restar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建筑物名称</w:t>
                  </w:r>
                </w:p>
              </w:tc>
              <w:tc>
                <w:tcPr>
                  <w:tcW w:w="275" w:type="pct"/>
                  <w:vMerge w:val="restar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声源名称</w:t>
                  </w:r>
                </w:p>
              </w:tc>
              <w:tc>
                <w:tcPr>
                  <w:tcW w:w="474" w:type="pct"/>
                  <w:vMerge w:val="restar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声压级/dB(A)</w:t>
                  </w:r>
                </w:p>
              </w:tc>
              <w:tc>
                <w:tcPr>
                  <w:tcW w:w="410" w:type="pct"/>
                  <w:vMerge w:val="restar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降噪措施</w:t>
                  </w:r>
                </w:p>
              </w:tc>
              <w:tc>
                <w:tcPr>
                  <w:tcW w:w="1106" w:type="pct"/>
                  <w:gridSpan w:val="3"/>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空间相对位置/m</w:t>
                  </w:r>
                </w:p>
              </w:tc>
              <w:tc>
                <w:tcPr>
                  <w:tcW w:w="256" w:type="pct"/>
                  <w:vMerge w:val="restar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距室内边界距离/m</w:t>
                  </w:r>
                </w:p>
              </w:tc>
              <w:tc>
                <w:tcPr>
                  <w:tcW w:w="474" w:type="pct"/>
                  <w:vMerge w:val="restar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室内边界声级/dB(A)</w:t>
                  </w:r>
                </w:p>
              </w:tc>
              <w:tc>
                <w:tcPr>
                  <w:tcW w:w="310" w:type="pct"/>
                  <w:vMerge w:val="restar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运行时段</w:t>
                  </w:r>
                </w:p>
              </w:tc>
              <w:tc>
                <w:tcPr>
                  <w:tcW w:w="474" w:type="pct"/>
                  <w:vMerge w:val="restar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建筑物插入损失/dB(A)</w:t>
                  </w:r>
                </w:p>
              </w:tc>
              <w:tc>
                <w:tcPr>
                  <w:tcW w:w="722" w:type="pct"/>
                  <w:gridSpan w:val="2"/>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vMerge w:val="continue"/>
                  <w:shd w:val="clear" w:color="auto" w:fill="auto"/>
                  <w:vAlign w:val="center"/>
                </w:tcPr>
                <w:p>
                  <w:pPr>
                    <w:pStyle w:val="91"/>
                    <w:keepLines w:val="0"/>
                    <w:pageBreakBefore w:val="0"/>
                    <w:wordWrap/>
                    <w:topLinePunct w:val="0"/>
                    <w:bidi w:val="0"/>
                    <w:outlineLvl w:val="9"/>
                    <w:rPr>
                      <w:rFonts w:eastAsia="宋体"/>
                      <w:bCs/>
                      <w:sz w:val="21"/>
                      <w:szCs w:val="21"/>
                      <w:highlight w:val="none"/>
                    </w:rPr>
                  </w:pPr>
                </w:p>
              </w:tc>
              <w:tc>
                <w:tcPr>
                  <w:tcW w:w="249" w:type="pct"/>
                  <w:vMerge w:val="continue"/>
                  <w:shd w:val="clear" w:color="auto" w:fill="auto"/>
                  <w:vAlign w:val="center"/>
                </w:tcPr>
                <w:p>
                  <w:pPr>
                    <w:pStyle w:val="91"/>
                    <w:keepLines w:val="0"/>
                    <w:pageBreakBefore w:val="0"/>
                    <w:wordWrap/>
                    <w:topLinePunct w:val="0"/>
                    <w:bidi w:val="0"/>
                    <w:outlineLvl w:val="9"/>
                    <w:rPr>
                      <w:rFonts w:eastAsia="宋体"/>
                      <w:bCs/>
                      <w:sz w:val="21"/>
                      <w:szCs w:val="21"/>
                      <w:highlight w:val="none"/>
                    </w:rPr>
                  </w:pPr>
                </w:p>
              </w:tc>
              <w:tc>
                <w:tcPr>
                  <w:tcW w:w="275" w:type="pct"/>
                  <w:vMerge w:val="continue"/>
                  <w:shd w:val="clear" w:color="auto" w:fill="auto"/>
                  <w:vAlign w:val="center"/>
                </w:tcPr>
                <w:p>
                  <w:pPr>
                    <w:pStyle w:val="91"/>
                    <w:keepLines w:val="0"/>
                    <w:pageBreakBefore w:val="0"/>
                    <w:wordWrap/>
                    <w:topLinePunct w:val="0"/>
                    <w:bidi w:val="0"/>
                    <w:outlineLvl w:val="9"/>
                    <w:rPr>
                      <w:rFonts w:eastAsia="宋体"/>
                      <w:bCs/>
                      <w:sz w:val="21"/>
                      <w:szCs w:val="21"/>
                      <w:highlight w:val="none"/>
                    </w:rPr>
                  </w:pPr>
                </w:p>
              </w:tc>
              <w:tc>
                <w:tcPr>
                  <w:tcW w:w="474" w:type="pct"/>
                  <w:vMerge w:val="continue"/>
                  <w:shd w:val="clear" w:color="auto" w:fill="auto"/>
                  <w:vAlign w:val="center"/>
                </w:tcPr>
                <w:p>
                  <w:pPr>
                    <w:pStyle w:val="91"/>
                    <w:keepLines w:val="0"/>
                    <w:pageBreakBefore w:val="0"/>
                    <w:wordWrap/>
                    <w:topLinePunct w:val="0"/>
                    <w:bidi w:val="0"/>
                    <w:outlineLvl w:val="9"/>
                    <w:rPr>
                      <w:rFonts w:eastAsia="宋体"/>
                      <w:bCs/>
                      <w:sz w:val="21"/>
                      <w:szCs w:val="21"/>
                      <w:highlight w:val="none"/>
                    </w:rPr>
                  </w:pPr>
                </w:p>
              </w:tc>
              <w:tc>
                <w:tcPr>
                  <w:tcW w:w="410" w:type="pct"/>
                  <w:vMerge w:val="continue"/>
                  <w:shd w:val="clear" w:color="auto" w:fill="auto"/>
                  <w:vAlign w:val="center"/>
                </w:tcPr>
                <w:p>
                  <w:pPr>
                    <w:pStyle w:val="91"/>
                    <w:keepLines w:val="0"/>
                    <w:pageBreakBefore w:val="0"/>
                    <w:wordWrap/>
                    <w:topLinePunct w:val="0"/>
                    <w:bidi w:val="0"/>
                    <w:outlineLvl w:val="9"/>
                    <w:rPr>
                      <w:rFonts w:eastAsia="宋体"/>
                      <w:bCs/>
                      <w:sz w:val="21"/>
                      <w:szCs w:val="21"/>
                      <w:highlight w:val="none"/>
                    </w:rPr>
                  </w:pP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X</w:t>
                  </w: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Y</w:t>
                  </w:r>
                </w:p>
              </w:tc>
              <w:tc>
                <w:tcPr>
                  <w:tcW w:w="30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Z</w:t>
                  </w:r>
                </w:p>
              </w:tc>
              <w:tc>
                <w:tcPr>
                  <w:tcW w:w="256" w:type="pct"/>
                  <w:vMerge w:val="continue"/>
                  <w:shd w:val="clear" w:color="auto" w:fill="auto"/>
                  <w:vAlign w:val="center"/>
                </w:tcPr>
                <w:p>
                  <w:pPr>
                    <w:pStyle w:val="91"/>
                    <w:keepLines w:val="0"/>
                    <w:pageBreakBefore w:val="0"/>
                    <w:wordWrap/>
                    <w:topLinePunct w:val="0"/>
                    <w:bidi w:val="0"/>
                    <w:outlineLvl w:val="9"/>
                    <w:rPr>
                      <w:rFonts w:eastAsia="宋体"/>
                      <w:bCs/>
                      <w:sz w:val="21"/>
                      <w:szCs w:val="21"/>
                      <w:highlight w:val="none"/>
                    </w:rPr>
                  </w:pPr>
                </w:p>
              </w:tc>
              <w:tc>
                <w:tcPr>
                  <w:tcW w:w="474" w:type="pct"/>
                  <w:vMerge w:val="continue"/>
                  <w:shd w:val="clear" w:color="auto" w:fill="auto"/>
                  <w:vAlign w:val="center"/>
                </w:tcPr>
                <w:p>
                  <w:pPr>
                    <w:pStyle w:val="91"/>
                    <w:keepLines w:val="0"/>
                    <w:pageBreakBefore w:val="0"/>
                    <w:wordWrap/>
                    <w:topLinePunct w:val="0"/>
                    <w:bidi w:val="0"/>
                    <w:outlineLvl w:val="9"/>
                    <w:rPr>
                      <w:rFonts w:eastAsia="宋体"/>
                      <w:bCs/>
                      <w:sz w:val="21"/>
                      <w:szCs w:val="21"/>
                      <w:highlight w:val="none"/>
                    </w:rPr>
                  </w:pPr>
                </w:p>
              </w:tc>
              <w:tc>
                <w:tcPr>
                  <w:tcW w:w="310" w:type="pct"/>
                  <w:vMerge w:val="continue"/>
                  <w:shd w:val="clear" w:color="auto" w:fill="auto"/>
                  <w:vAlign w:val="center"/>
                </w:tcPr>
                <w:p>
                  <w:pPr>
                    <w:pStyle w:val="91"/>
                    <w:keepLines w:val="0"/>
                    <w:pageBreakBefore w:val="0"/>
                    <w:wordWrap/>
                    <w:topLinePunct w:val="0"/>
                    <w:bidi w:val="0"/>
                    <w:outlineLvl w:val="9"/>
                    <w:rPr>
                      <w:rFonts w:eastAsia="宋体"/>
                      <w:bCs/>
                      <w:sz w:val="21"/>
                      <w:szCs w:val="21"/>
                      <w:highlight w:val="none"/>
                    </w:rPr>
                  </w:pPr>
                </w:p>
              </w:tc>
              <w:tc>
                <w:tcPr>
                  <w:tcW w:w="474" w:type="pct"/>
                  <w:vMerge w:val="continue"/>
                  <w:shd w:val="clear" w:color="auto" w:fill="auto"/>
                  <w:vAlign w:val="center"/>
                </w:tcPr>
                <w:p>
                  <w:pPr>
                    <w:pStyle w:val="91"/>
                    <w:keepLines w:val="0"/>
                    <w:pageBreakBefore w:val="0"/>
                    <w:wordWrap/>
                    <w:topLinePunct w:val="0"/>
                    <w:bidi w:val="0"/>
                    <w:outlineLvl w:val="9"/>
                    <w:rPr>
                      <w:rFonts w:eastAsia="宋体"/>
                      <w:bCs/>
                      <w:sz w:val="21"/>
                      <w:szCs w:val="21"/>
                      <w:highlight w:val="none"/>
                    </w:rPr>
                  </w:pP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声压级/dB(A)</w:t>
                  </w:r>
                </w:p>
              </w:tc>
              <w:tc>
                <w:tcPr>
                  <w:tcW w:w="248"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14"/>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生产区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w:t>
                  </w:r>
                </w:p>
              </w:tc>
              <w:tc>
                <w:tcPr>
                  <w:tcW w:w="249" w:type="pc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生产车间</w:t>
                  </w:r>
                </w:p>
              </w:tc>
              <w:tc>
                <w:tcPr>
                  <w:tcW w:w="275" w:type="pct"/>
                  <w:shd w:val="clear" w:color="auto" w:fill="auto"/>
                  <w:vAlign w:val="center"/>
                </w:tcPr>
                <w:p>
                  <w:pPr>
                    <w:pStyle w:val="128"/>
                    <w:keepLines w:val="0"/>
                    <w:pageBreakBefore w:val="0"/>
                    <w:wordWrap/>
                    <w:topLinePunct w:val="0"/>
                    <w:bidi w:val="0"/>
                    <w:spacing w:line="240" w:lineRule="auto"/>
                    <w:outlineLvl w:val="9"/>
                    <w:rPr>
                      <w:bCs/>
                      <w:highlight w:val="none"/>
                    </w:rPr>
                  </w:pPr>
                  <w:r>
                    <w:rPr>
                      <w:bCs/>
                      <w:highlight w:val="none"/>
                    </w:rPr>
                    <w:t>风机</w:t>
                  </w:r>
                </w:p>
              </w:tc>
              <w:tc>
                <w:tcPr>
                  <w:tcW w:w="474" w:type="pc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85</w:t>
                  </w:r>
                </w:p>
              </w:tc>
              <w:tc>
                <w:tcPr>
                  <w:tcW w:w="410" w:type="pct"/>
                  <w:vMerge w:val="restar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低噪设备、减振、隔声</w:t>
                  </w: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20.3</w:t>
                  </w: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11.2</w:t>
                  </w:r>
                </w:p>
              </w:tc>
              <w:tc>
                <w:tcPr>
                  <w:tcW w:w="30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2.5</w:t>
                  </w:r>
                </w:p>
              </w:tc>
              <w:tc>
                <w:tcPr>
                  <w:tcW w:w="256"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70</w:t>
                  </w:r>
                </w:p>
              </w:tc>
              <w:tc>
                <w:tcPr>
                  <w:tcW w:w="31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hint="eastAsia" w:eastAsia="宋体"/>
                      <w:bCs/>
                      <w:sz w:val="21"/>
                      <w:szCs w:val="21"/>
                      <w:highlight w:val="none"/>
                    </w:rPr>
                    <w:t>8</w:t>
                  </w:r>
                  <w:r>
                    <w:rPr>
                      <w:rFonts w:eastAsia="宋体"/>
                      <w:bCs/>
                      <w:sz w:val="21"/>
                      <w:szCs w:val="21"/>
                      <w:highlight w:val="none"/>
                    </w:rPr>
                    <w:t>h</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10</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60</w:t>
                  </w:r>
                </w:p>
              </w:tc>
              <w:tc>
                <w:tcPr>
                  <w:tcW w:w="248"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2</w:t>
                  </w:r>
                </w:p>
              </w:tc>
              <w:tc>
                <w:tcPr>
                  <w:tcW w:w="249" w:type="pc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冷库</w:t>
                  </w:r>
                </w:p>
              </w:tc>
              <w:tc>
                <w:tcPr>
                  <w:tcW w:w="275" w:type="pct"/>
                  <w:shd w:val="clear" w:color="auto" w:fill="auto"/>
                  <w:vAlign w:val="center"/>
                </w:tcPr>
                <w:p>
                  <w:pPr>
                    <w:pStyle w:val="128"/>
                    <w:keepLines w:val="0"/>
                    <w:pageBreakBefore w:val="0"/>
                    <w:wordWrap/>
                    <w:topLinePunct w:val="0"/>
                    <w:bidi w:val="0"/>
                    <w:spacing w:line="240" w:lineRule="auto"/>
                    <w:outlineLvl w:val="9"/>
                    <w:rPr>
                      <w:bCs/>
                      <w:highlight w:val="none"/>
                    </w:rPr>
                  </w:pPr>
                  <w:r>
                    <w:rPr>
                      <w:highlight w:val="none"/>
                    </w:rPr>
                    <w:t>制冷器</w:t>
                  </w:r>
                </w:p>
              </w:tc>
              <w:tc>
                <w:tcPr>
                  <w:tcW w:w="474" w:type="pc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80</w:t>
                  </w:r>
                </w:p>
              </w:tc>
              <w:tc>
                <w:tcPr>
                  <w:tcW w:w="410" w:type="pct"/>
                  <w:vMerge w:val="continue"/>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42.5</w:t>
                  </w: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55.7</w:t>
                  </w:r>
                </w:p>
              </w:tc>
              <w:tc>
                <w:tcPr>
                  <w:tcW w:w="30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1.5</w:t>
                  </w:r>
                </w:p>
              </w:tc>
              <w:tc>
                <w:tcPr>
                  <w:tcW w:w="256"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65</w:t>
                  </w:r>
                </w:p>
              </w:tc>
              <w:tc>
                <w:tcPr>
                  <w:tcW w:w="310" w:type="pct"/>
                  <w:shd w:val="clear" w:color="auto" w:fill="auto"/>
                  <w:vAlign w:val="center"/>
                </w:tcPr>
                <w:p>
                  <w:pPr>
                    <w:keepLines w:val="0"/>
                    <w:pageBreakBefore w:val="0"/>
                    <w:wordWrap/>
                    <w:topLinePunct w:val="0"/>
                    <w:bidi w:val="0"/>
                    <w:jc w:val="center"/>
                    <w:outlineLvl w:val="9"/>
                    <w:rPr>
                      <w:bCs/>
                      <w:szCs w:val="21"/>
                      <w:highlight w:val="none"/>
                    </w:rPr>
                  </w:pPr>
                  <w:r>
                    <w:rPr>
                      <w:rFonts w:hint="eastAsia"/>
                      <w:bCs/>
                      <w:szCs w:val="21"/>
                      <w:highlight w:val="none"/>
                    </w:rPr>
                    <w:t>8</w:t>
                  </w:r>
                  <w:r>
                    <w:rPr>
                      <w:bCs/>
                      <w:szCs w:val="21"/>
                      <w:highlight w:val="none"/>
                    </w:rPr>
                    <w:t>h</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10</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55</w:t>
                  </w:r>
                </w:p>
              </w:tc>
              <w:tc>
                <w:tcPr>
                  <w:tcW w:w="248"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5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3</w:t>
                  </w:r>
                </w:p>
              </w:tc>
              <w:tc>
                <w:tcPr>
                  <w:tcW w:w="249" w:type="pct"/>
                  <w:vMerge w:val="restar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生产车间</w:t>
                  </w:r>
                </w:p>
              </w:tc>
              <w:tc>
                <w:tcPr>
                  <w:tcW w:w="275" w:type="pct"/>
                  <w:shd w:val="clear" w:color="auto" w:fill="auto"/>
                  <w:vAlign w:val="center"/>
                </w:tcPr>
                <w:p>
                  <w:pPr>
                    <w:pStyle w:val="128"/>
                    <w:keepLines w:val="0"/>
                    <w:pageBreakBefore w:val="0"/>
                    <w:wordWrap/>
                    <w:topLinePunct w:val="0"/>
                    <w:bidi w:val="0"/>
                    <w:spacing w:line="240" w:lineRule="auto"/>
                    <w:outlineLvl w:val="9"/>
                    <w:rPr>
                      <w:bCs/>
                      <w:highlight w:val="none"/>
                    </w:rPr>
                  </w:pPr>
                  <w:r>
                    <w:rPr>
                      <w:highlight w:val="none"/>
                    </w:rPr>
                    <w:t>剥皮机</w:t>
                  </w:r>
                </w:p>
              </w:tc>
              <w:tc>
                <w:tcPr>
                  <w:tcW w:w="474" w:type="pc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85</w:t>
                  </w:r>
                </w:p>
              </w:tc>
              <w:tc>
                <w:tcPr>
                  <w:tcW w:w="410" w:type="pct"/>
                  <w:vMerge w:val="continue"/>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45.5</w:t>
                  </w: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29.8</w:t>
                  </w:r>
                </w:p>
              </w:tc>
              <w:tc>
                <w:tcPr>
                  <w:tcW w:w="30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0.5</w:t>
                  </w:r>
                </w:p>
              </w:tc>
              <w:tc>
                <w:tcPr>
                  <w:tcW w:w="256"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70</w:t>
                  </w:r>
                </w:p>
              </w:tc>
              <w:tc>
                <w:tcPr>
                  <w:tcW w:w="310" w:type="pct"/>
                  <w:shd w:val="clear" w:color="auto" w:fill="auto"/>
                  <w:vAlign w:val="center"/>
                </w:tcPr>
                <w:p>
                  <w:pPr>
                    <w:keepLines w:val="0"/>
                    <w:pageBreakBefore w:val="0"/>
                    <w:wordWrap/>
                    <w:topLinePunct w:val="0"/>
                    <w:bidi w:val="0"/>
                    <w:jc w:val="center"/>
                    <w:outlineLvl w:val="9"/>
                    <w:rPr>
                      <w:bCs/>
                      <w:szCs w:val="21"/>
                      <w:highlight w:val="none"/>
                    </w:rPr>
                  </w:pPr>
                  <w:r>
                    <w:rPr>
                      <w:rFonts w:hint="eastAsia"/>
                      <w:bCs/>
                      <w:szCs w:val="21"/>
                      <w:highlight w:val="none"/>
                    </w:rPr>
                    <w:t>8</w:t>
                  </w:r>
                  <w:r>
                    <w:rPr>
                      <w:bCs/>
                      <w:szCs w:val="21"/>
                      <w:highlight w:val="none"/>
                    </w:rPr>
                    <w:t>h</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10</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60</w:t>
                  </w:r>
                </w:p>
              </w:tc>
              <w:tc>
                <w:tcPr>
                  <w:tcW w:w="248"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97" w:hRule="atLeast"/>
                <w:jc w:val="center"/>
              </w:trPr>
              <w:tc>
                <w:tcPr>
                  <w:tcW w:w="25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4</w:t>
                  </w:r>
                </w:p>
              </w:tc>
              <w:tc>
                <w:tcPr>
                  <w:tcW w:w="249" w:type="pct"/>
                  <w:vMerge w:val="continue"/>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p>
              </w:tc>
              <w:tc>
                <w:tcPr>
                  <w:tcW w:w="275" w:type="pct"/>
                  <w:shd w:val="clear" w:color="auto" w:fill="auto"/>
                  <w:vAlign w:val="center"/>
                </w:tcPr>
                <w:p>
                  <w:pPr>
                    <w:pStyle w:val="128"/>
                    <w:keepLines w:val="0"/>
                    <w:pageBreakBefore w:val="0"/>
                    <w:wordWrap/>
                    <w:topLinePunct w:val="0"/>
                    <w:bidi w:val="0"/>
                    <w:spacing w:line="240" w:lineRule="auto"/>
                    <w:outlineLvl w:val="9"/>
                    <w:rPr>
                      <w:bCs/>
                      <w:highlight w:val="none"/>
                    </w:rPr>
                  </w:pPr>
                  <w:r>
                    <w:rPr>
                      <w:highlight w:val="none"/>
                    </w:rPr>
                    <w:t>蒸锅</w:t>
                  </w:r>
                </w:p>
              </w:tc>
              <w:tc>
                <w:tcPr>
                  <w:tcW w:w="474" w:type="pc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75</w:t>
                  </w:r>
                </w:p>
              </w:tc>
              <w:tc>
                <w:tcPr>
                  <w:tcW w:w="410" w:type="pct"/>
                  <w:vMerge w:val="continue"/>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45.5</w:t>
                  </w: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26.4</w:t>
                  </w:r>
                </w:p>
              </w:tc>
              <w:tc>
                <w:tcPr>
                  <w:tcW w:w="30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0.5</w:t>
                  </w:r>
                </w:p>
              </w:tc>
              <w:tc>
                <w:tcPr>
                  <w:tcW w:w="256"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60</w:t>
                  </w:r>
                </w:p>
              </w:tc>
              <w:tc>
                <w:tcPr>
                  <w:tcW w:w="310" w:type="pct"/>
                  <w:shd w:val="clear" w:color="auto" w:fill="auto"/>
                  <w:vAlign w:val="center"/>
                </w:tcPr>
                <w:p>
                  <w:pPr>
                    <w:keepLines w:val="0"/>
                    <w:pageBreakBefore w:val="0"/>
                    <w:wordWrap/>
                    <w:topLinePunct w:val="0"/>
                    <w:bidi w:val="0"/>
                    <w:jc w:val="center"/>
                    <w:outlineLvl w:val="9"/>
                    <w:rPr>
                      <w:bCs/>
                      <w:szCs w:val="21"/>
                      <w:highlight w:val="none"/>
                    </w:rPr>
                  </w:pPr>
                  <w:r>
                    <w:rPr>
                      <w:rFonts w:hint="eastAsia"/>
                      <w:bCs/>
                      <w:szCs w:val="21"/>
                      <w:highlight w:val="none"/>
                    </w:rPr>
                    <w:t>8</w:t>
                  </w:r>
                  <w:r>
                    <w:rPr>
                      <w:bCs/>
                      <w:szCs w:val="21"/>
                      <w:highlight w:val="none"/>
                    </w:rPr>
                    <w:t>h</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10</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50</w:t>
                  </w:r>
                </w:p>
              </w:tc>
              <w:tc>
                <w:tcPr>
                  <w:tcW w:w="248"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w:t>
                  </w:r>
                </w:p>
              </w:tc>
              <w:tc>
                <w:tcPr>
                  <w:tcW w:w="249" w:type="pct"/>
                  <w:vMerge w:val="continue"/>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p>
              </w:tc>
              <w:tc>
                <w:tcPr>
                  <w:tcW w:w="275" w:type="pct"/>
                  <w:shd w:val="clear" w:color="auto" w:fill="auto"/>
                  <w:vAlign w:val="center"/>
                </w:tcPr>
                <w:p>
                  <w:pPr>
                    <w:pStyle w:val="128"/>
                    <w:keepLines w:val="0"/>
                    <w:pageBreakBefore w:val="0"/>
                    <w:wordWrap/>
                    <w:topLinePunct w:val="0"/>
                    <w:bidi w:val="0"/>
                    <w:spacing w:line="240" w:lineRule="auto"/>
                    <w:outlineLvl w:val="9"/>
                    <w:rPr>
                      <w:bCs/>
                      <w:highlight w:val="none"/>
                    </w:rPr>
                  </w:pPr>
                  <w:r>
                    <w:rPr>
                      <w:highlight w:val="none"/>
                    </w:rPr>
                    <w:t>包装机</w:t>
                  </w:r>
                </w:p>
              </w:tc>
              <w:tc>
                <w:tcPr>
                  <w:tcW w:w="474" w:type="pc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85</w:t>
                  </w:r>
                </w:p>
              </w:tc>
              <w:tc>
                <w:tcPr>
                  <w:tcW w:w="410" w:type="pct"/>
                  <w:vMerge w:val="continue"/>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47.3</w:t>
                  </w: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10.8</w:t>
                  </w:r>
                </w:p>
              </w:tc>
              <w:tc>
                <w:tcPr>
                  <w:tcW w:w="30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0.5</w:t>
                  </w:r>
                </w:p>
              </w:tc>
              <w:tc>
                <w:tcPr>
                  <w:tcW w:w="256"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70</w:t>
                  </w:r>
                </w:p>
              </w:tc>
              <w:tc>
                <w:tcPr>
                  <w:tcW w:w="310" w:type="pct"/>
                  <w:shd w:val="clear" w:color="auto" w:fill="auto"/>
                  <w:vAlign w:val="center"/>
                </w:tcPr>
                <w:p>
                  <w:pPr>
                    <w:keepLines w:val="0"/>
                    <w:pageBreakBefore w:val="0"/>
                    <w:wordWrap/>
                    <w:topLinePunct w:val="0"/>
                    <w:bidi w:val="0"/>
                    <w:jc w:val="center"/>
                    <w:outlineLvl w:val="9"/>
                    <w:rPr>
                      <w:bCs/>
                      <w:szCs w:val="21"/>
                      <w:highlight w:val="none"/>
                    </w:rPr>
                  </w:pPr>
                  <w:r>
                    <w:rPr>
                      <w:rFonts w:hint="eastAsia"/>
                      <w:bCs/>
                      <w:szCs w:val="21"/>
                      <w:highlight w:val="none"/>
                    </w:rPr>
                    <w:t>8</w:t>
                  </w:r>
                  <w:r>
                    <w:rPr>
                      <w:bCs/>
                      <w:szCs w:val="21"/>
                      <w:highlight w:val="none"/>
                    </w:rPr>
                    <w:t>h</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10</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60</w:t>
                  </w:r>
                </w:p>
              </w:tc>
              <w:tc>
                <w:tcPr>
                  <w:tcW w:w="248"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5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6</w:t>
                  </w:r>
                </w:p>
              </w:tc>
              <w:tc>
                <w:tcPr>
                  <w:tcW w:w="249" w:type="pct"/>
                  <w:vMerge w:val="continue"/>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p>
              </w:tc>
              <w:tc>
                <w:tcPr>
                  <w:tcW w:w="275" w:type="pct"/>
                  <w:shd w:val="clear" w:color="auto" w:fill="auto"/>
                  <w:vAlign w:val="center"/>
                </w:tcPr>
                <w:p>
                  <w:pPr>
                    <w:pStyle w:val="128"/>
                    <w:keepLines w:val="0"/>
                    <w:pageBreakBefore w:val="0"/>
                    <w:wordWrap/>
                    <w:topLinePunct w:val="0"/>
                    <w:bidi w:val="0"/>
                    <w:spacing w:line="240" w:lineRule="auto"/>
                    <w:outlineLvl w:val="9"/>
                    <w:rPr>
                      <w:highlight w:val="none"/>
                    </w:rPr>
                  </w:pPr>
                  <w:r>
                    <w:rPr>
                      <w:kern w:val="0"/>
                      <w:highlight w:val="none"/>
                    </w:rPr>
                    <w:t>速冻机</w:t>
                  </w:r>
                </w:p>
              </w:tc>
              <w:tc>
                <w:tcPr>
                  <w:tcW w:w="474" w:type="pct"/>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r>
                    <w:rPr>
                      <w:bCs/>
                      <w:szCs w:val="21"/>
                      <w:highlight w:val="none"/>
                    </w:rPr>
                    <w:t>70</w:t>
                  </w:r>
                </w:p>
              </w:tc>
              <w:tc>
                <w:tcPr>
                  <w:tcW w:w="410" w:type="pct"/>
                  <w:vMerge w:val="continue"/>
                  <w:shd w:val="clear" w:color="auto" w:fill="auto"/>
                  <w:vAlign w:val="center"/>
                </w:tcPr>
                <w:p>
                  <w:pPr>
                    <w:keepLines w:val="0"/>
                    <w:pageBreakBefore w:val="0"/>
                    <w:kinsoku w:val="0"/>
                    <w:wordWrap/>
                    <w:overflowPunct w:val="0"/>
                    <w:topLinePunct w:val="0"/>
                    <w:autoSpaceDE w:val="0"/>
                    <w:autoSpaceDN w:val="0"/>
                    <w:bidi w:val="0"/>
                    <w:jc w:val="center"/>
                    <w:outlineLvl w:val="9"/>
                    <w:rPr>
                      <w:bCs/>
                      <w:szCs w:val="21"/>
                      <w:highlight w:val="none"/>
                    </w:rPr>
                  </w:pP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44.1</w:t>
                  </w:r>
                </w:p>
              </w:tc>
              <w:tc>
                <w:tcPr>
                  <w:tcW w:w="403"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41.3</w:t>
                  </w:r>
                </w:p>
              </w:tc>
              <w:tc>
                <w:tcPr>
                  <w:tcW w:w="300"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0.5</w:t>
                  </w:r>
                </w:p>
              </w:tc>
              <w:tc>
                <w:tcPr>
                  <w:tcW w:w="256"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55</w:t>
                  </w:r>
                </w:p>
              </w:tc>
              <w:tc>
                <w:tcPr>
                  <w:tcW w:w="310" w:type="pct"/>
                  <w:shd w:val="clear" w:color="auto" w:fill="auto"/>
                  <w:vAlign w:val="center"/>
                </w:tcPr>
                <w:p>
                  <w:pPr>
                    <w:keepLines w:val="0"/>
                    <w:pageBreakBefore w:val="0"/>
                    <w:wordWrap/>
                    <w:topLinePunct w:val="0"/>
                    <w:bidi w:val="0"/>
                    <w:jc w:val="center"/>
                    <w:outlineLvl w:val="9"/>
                    <w:rPr>
                      <w:bCs/>
                      <w:szCs w:val="21"/>
                      <w:highlight w:val="none"/>
                    </w:rPr>
                  </w:pPr>
                  <w:r>
                    <w:rPr>
                      <w:rFonts w:hint="eastAsia"/>
                      <w:bCs/>
                      <w:szCs w:val="21"/>
                      <w:highlight w:val="none"/>
                    </w:rPr>
                    <w:t>8</w:t>
                  </w:r>
                  <w:r>
                    <w:rPr>
                      <w:bCs/>
                      <w:szCs w:val="21"/>
                      <w:highlight w:val="none"/>
                    </w:rPr>
                    <w:t>h</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10</w:t>
                  </w:r>
                </w:p>
              </w:tc>
              <w:tc>
                <w:tcPr>
                  <w:tcW w:w="474"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45</w:t>
                  </w:r>
                </w:p>
              </w:tc>
              <w:tc>
                <w:tcPr>
                  <w:tcW w:w="248" w:type="pct"/>
                  <w:shd w:val="clear" w:color="auto" w:fill="auto"/>
                  <w:vAlign w:val="center"/>
                </w:tcPr>
                <w:p>
                  <w:pPr>
                    <w:pStyle w:val="91"/>
                    <w:keepLines w:val="0"/>
                    <w:pageBreakBefore w:val="0"/>
                    <w:wordWrap/>
                    <w:topLinePunct w:val="0"/>
                    <w:bidi w:val="0"/>
                    <w:outlineLvl w:val="9"/>
                    <w:rPr>
                      <w:rFonts w:eastAsia="宋体"/>
                      <w:bCs/>
                      <w:sz w:val="21"/>
                      <w:szCs w:val="21"/>
                      <w:highlight w:val="none"/>
                    </w:rPr>
                  </w:pPr>
                  <w:r>
                    <w:rPr>
                      <w:rFonts w:eastAsia="宋体"/>
                      <w:bCs/>
                      <w:sz w:val="21"/>
                      <w:szCs w:val="21"/>
                      <w:highlight w:val="none"/>
                    </w:rPr>
                    <w:t>1</w:t>
                  </w:r>
                </w:p>
              </w:tc>
            </w:tr>
          </w:tbl>
          <w:p>
            <w:pPr>
              <w:keepLines w:val="0"/>
              <w:pageBreakBefore w:val="0"/>
              <w:wordWrap/>
              <w:topLinePunct w:val="0"/>
              <w:bidi w:val="0"/>
              <w:spacing w:line="360" w:lineRule="auto"/>
              <w:ind w:firstLine="448"/>
              <w:outlineLvl w:val="9"/>
              <w:rPr>
                <w:spacing w:val="-8"/>
                <w:sz w:val="24"/>
                <w:highlight w:val="none"/>
              </w:rPr>
            </w:pPr>
            <w:r>
              <w:rPr>
                <w:rFonts w:hint="eastAsia"/>
                <w:spacing w:val="-8"/>
                <w:sz w:val="24"/>
                <w:highlight w:val="none"/>
              </w:rPr>
              <w:t>（2）</w:t>
            </w:r>
            <w:r>
              <w:rPr>
                <w:spacing w:val="-8"/>
                <w:sz w:val="24"/>
                <w:highlight w:val="none"/>
              </w:rPr>
              <w:t>声环境影响分析</w:t>
            </w:r>
          </w:p>
          <w:p>
            <w:pPr>
              <w:keepLines w:val="0"/>
              <w:pageBreakBefore w:val="0"/>
              <w:wordWrap/>
              <w:topLinePunct w:val="0"/>
              <w:bidi w:val="0"/>
              <w:spacing w:line="360" w:lineRule="auto"/>
              <w:ind w:firstLine="480" w:firstLineChars="200"/>
              <w:outlineLvl w:val="9"/>
              <w:rPr>
                <w:sz w:val="24"/>
                <w:highlight w:val="none"/>
              </w:rPr>
            </w:pPr>
            <w:r>
              <w:rPr>
                <w:sz w:val="24"/>
                <w:highlight w:val="none"/>
              </w:rPr>
              <w:t>（1）噪声源分析</w:t>
            </w:r>
          </w:p>
          <w:p>
            <w:pPr>
              <w:keepLines w:val="0"/>
              <w:pageBreakBefore w:val="0"/>
              <w:wordWrap/>
              <w:topLinePunct w:val="0"/>
              <w:bidi w:val="0"/>
              <w:spacing w:line="360" w:lineRule="auto"/>
              <w:ind w:firstLine="480" w:firstLineChars="200"/>
              <w:outlineLvl w:val="9"/>
              <w:rPr>
                <w:sz w:val="24"/>
                <w:highlight w:val="none"/>
              </w:rPr>
            </w:pPr>
            <w:r>
              <w:rPr>
                <w:sz w:val="24"/>
                <w:highlight w:val="none"/>
              </w:rPr>
              <w:t>本项目噪声污染源主要为水泵、锅炉风机、贮藏冷库内制冷器等设备产生的噪声。各主要设备噪声源详见前表4-</w:t>
            </w:r>
            <w:r>
              <w:rPr>
                <w:rFonts w:hint="eastAsia"/>
                <w:sz w:val="24"/>
                <w:highlight w:val="none"/>
              </w:rPr>
              <w:t>12</w:t>
            </w:r>
            <w:r>
              <w:rPr>
                <w:sz w:val="24"/>
                <w:highlight w:val="none"/>
              </w:rPr>
              <w:t>。</w:t>
            </w:r>
          </w:p>
          <w:p>
            <w:pPr>
              <w:keepLines w:val="0"/>
              <w:pageBreakBefore w:val="0"/>
              <w:wordWrap/>
              <w:topLinePunct w:val="0"/>
              <w:bidi w:val="0"/>
              <w:spacing w:line="360" w:lineRule="auto"/>
              <w:ind w:firstLine="480" w:firstLineChars="200"/>
              <w:outlineLvl w:val="9"/>
              <w:rPr>
                <w:sz w:val="24"/>
                <w:highlight w:val="none"/>
              </w:rPr>
            </w:pPr>
            <w:r>
              <w:rPr>
                <w:rFonts w:hint="eastAsia" w:ascii="宋体" w:hAnsi="宋体" w:cs="宋体"/>
                <w:sz w:val="24"/>
                <w:highlight w:val="none"/>
              </w:rPr>
              <w:t>①</w:t>
            </w:r>
            <w:r>
              <w:rPr>
                <w:sz w:val="24"/>
                <w:highlight w:val="none"/>
              </w:rPr>
              <w:t>预测方法</w:t>
            </w:r>
          </w:p>
          <w:p>
            <w:pPr>
              <w:keepLines w:val="0"/>
              <w:pageBreakBefore w:val="0"/>
              <w:wordWrap/>
              <w:topLinePunct w:val="0"/>
              <w:bidi w:val="0"/>
              <w:spacing w:line="360" w:lineRule="auto"/>
              <w:ind w:firstLine="480" w:firstLineChars="200"/>
              <w:outlineLvl w:val="9"/>
              <w:rPr>
                <w:sz w:val="24"/>
                <w:highlight w:val="none"/>
              </w:rPr>
            </w:pPr>
            <w:r>
              <w:rPr>
                <w:sz w:val="24"/>
                <w:highlight w:val="none"/>
              </w:rPr>
              <w:t>噪声通过建筑外墙的平均衰减量是考虑了室内发声源所发出的噪声主要频率在透过墙体、门、窗时的不同衰减，噪声在室外空间的传播衰减只考虑噪声随距离的衰减。</w:t>
            </w:r>
          </w:p>
          <w:p>
            <w:pPr>
              <w:keepLines w:val="0"/>
              <w:pageBreakBefore w:val="0"/>
              <w:wordWrap/>
              <w:topLinePunct w:val="0"/>
              <w:bidi w:val="0"/>
              <w:spacing w:line="360" w:lineRule="auto"/>
              <w:ind w:firstLine="480" w:firstLineChars="200"/>
              <w:outlineLvl w:val="9"/>
              <w:rPr>
                <w:sz w:val="24"/>
                <w:highlight w:val="none"/>
              </w:rPr>
            </w:pPr>
            <w:r>
              <w:rPr>
                <w:rFonts w:hint="eastAsia" w:ascii="宋体" w:hAnsi="宋体" w:cs="宋体"/>
                <w:sz w:val="24"/>
                <w:highlight w:val="none"/>
              </w:rPr>
              <w:t>②</w:t>
            </w:r>
            <w:r>
              <w:rPr>
                <w:sz w:val="24"/>
                <w:highlight w:val="none"/>
              </w:rPr>
              <w:t>预测内容</w:t>
            </w:r>
          </w:p>
          <w:p>
            <w:pPr>
              <w:keepLines w:val="0"/>
              <w:pageBreakBefore w:val="0"/>
              <w:wordWrap/>
              <w:topLinePunct w:val="0"/>
              <w:bidi w:val="0"/>
              <w:spacing w:line="360" w:lineRule="auto"/>
              <w:ind w:firstLine="480" w:firstLineChars="200"/>
              <w:outlineLvl w:val="9"/>
              <w:rPr>
                <w:sz w:val="24"/>
                <w:highlight w:val="none"/>
              </w:rPr>
            </w:pPr>
            <w:r>
              <w:rPr>
                <w:sz w:val="24"/>
                <w:highlight w:val="none"/>
              </w:rPr>
              <w:t>预测噪声源对厂界以及周边敏感点的影响程度。</w:t>
            </w:r>
          </w:p>
          <w:p>
            <w:pPr>
              <w:keepLines w:val="0"/>
              <w:pageBreakBefore w:val="0"/>
              <w:wordWrap/>
              <w:topLinePunct w:val="0"/>
              <w:bidi w:val="0"/>
              <w:spacing w:line="360" w:lineRule="auto"/>
              <w:ind w:firstLine="480" w:firstLineChars="200"/>
              <w:outlineLvl w:val="9"/>
              <w:rPr>
                <w:sz w:val="24"/>
                <w:highlight w:val="none"/>
              </w:rPr>
            </w:pPr>
            <w:r>
              <w:rPr>
                <w:rFonts w:hint="eastAsia" w:ascii="宋体" w:hAnsi="宋体" w:cs="宋体"/>
                <w:sz w:val="24"/>
                <w:highlight w:val="none"/>
              </w:rPr>
              <w:t>③</w:t>
            </w:r>
            <w:r>
              <w:rPr>
                <w:sz w:val="24"/>
                <w:highlight w:val="none"/>
              </w:rPr>
              <w:t>预测点位</w:t>
            </w:r>
          </w:p>
          <w:p>
            <w:pPr>
              <w:keepLines w:val="0"/>
              <w:pageBreakBefore w:val="0"/>
              <w:wordWrap/>
              <w:topLinePunct w:val="0"/>
              <w:bidi w:val="0"/>
              <w:spacing w:line="360" w:lineRule="auto"/>
              <w:ind w:firstLine="480" w:firstLineChars="200"/>
              <w:outlineLvl w:val="9"/>
              <w:rPr>
                <w:sz w:val="24"/>
                <w:highlight w:val="none"/>
              </w:rPr>
            </w:pPr>
            <w:r>
              <w:rPr>
                <w:sz w:val="24"/>
                <w:highlight w:val="none"/>
              </w:rPr>
              <w:t>厂界噪声预测点为噪声监测点——厂界。</w:t>
            </w:r>
          </w:p>
          <w:p>
            <w:pPr>
              <w:keepLines w:val="0"/>
              <w:pageBreakBefore w:val="0"/>
              <w:wordWrap/>
              <w:topLinePunct w:val="0"/>
              <w:bidi w:val="0"/>
              <w:spacing w:line="360" w:lineRule="auto"/>
              <w:ind w:firstLine="480" w:firstLineChars="200"/>
              <w:outlineLvl w:val="9"/>
              <w:rPr>
                <w:sz w:val="24"/>
                <w:highlight w:val="none"/>
              </w:rPr>
            </w:pPr>
            <w:r>
              <w:rPr>
                <w:rFonts w:hint="eastAsia" w:ascii="宋体" w:hAnsi="宋体" w:cs="宋体"/>
                <w:sz w:val="24"/>
                <w:highlight w:val="none"/>
              </w:rPr>
              <w:t>④</w:t>
            </w:r>
            <w:r>
              <w:rPr>
                <w:sz w:val="24"/>
                <w:highlight w:val="none"/>
              </w:rPr>
              <w:t>评价标准</w:t>
            </w:r>
          </w:p>
          <w:p>
            <w:pPr>
              <w:keepLines w:val="0"/>
              <w:pageBreakBefore w:val="0"/>
              <w:wordWrap/>
              <w:topLinePunct w:val="0"/>
              <w:bidi w:val="0"/>
              <w:spacing w:line="360" w:lineRule="auto"/>
              <w:ind w:firstLine="480" w:firstLineChars="200"/>
              <w:outlineLvl w:val="9"/>
              <w:rPr>
                <w:sz w:val="24"/>
                <w:highlight w:val="none"/>
              </w:rPr>
            </w:pPr>
            <w:r>
              <w:rPr>
                <w:sz w:val="24"/>
                <w:highlight w:val="none"/>
              </w:rPr>
              <w:t>厂界噪声采用《工业企业厂界环境噪声排放标准》（GB12348-2008）表2中</w:t>
            </w:r>
            <w:r>
              <w:rPr>
                <w:rFonts w:hint="eastAsia"/>
                <w:sz w:val="24"/>
                <w:highlight w:val="none"/>
                <w:lang w:val="en-US" w:eastAsia="zh-CN"/>
              </w:rPr>
              <w:t>1</w:t>
            </w:r>
            <w:r>
              <w:rPr>
                <w:sz w:val="24"/>
                <w:highlight w:val="none"/>
              </w:rPr>
              <w:t>类标准。</w:t>
            </w:r>
          </w:p>
          <w:p>
            <w:pPr>
              <w:keepLines w:val="0"/>
              <w:pageBreakBefore w:val="0"/>
              <w:wordWrap/>
              <w:topLinePunct w:val="0"/>
              <w:bidi w:val="0"/>
              <w:spacing w:line="360" w:lineRule="auto"/>
              <w:ind w:firstLine="480" w:firstLineChars="200"/>
              <w:outlineLvl w:val="9"/>
              <w:rPr>
                <w:sz w:val="24"/>
                <w:highlight w:val="none"/>
              </w:rPr>
            </w:pPr>
            <w:r>
              <w:rPr>
                <w:rFonts w:hint="eastAsia" w:ascii="宋体" w:hAnsi="宋体" w:cs="宋体"/>
                <w:sz w:val="24"/>
                <w:highlight w:val="none"/>
              </w:rPr>
              <w:t>⑤</w:t>
            </w:r>
            <w:r>
              <w:rPr>
                <w:sz w:val="24"/>
                <w:highlight w:val="none"/>
              </w:rPr>
              <w:t>预测工具</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采用《环境影响评价技术导则 声环境》（HJ2.4-2021）设计的声环境影响预测模型进行预测。</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（2）预测结果</w:t>
            </w:r>
          </w:p>
          <w:p>
            <w:pPr>
              <w:keepLines w:val="0"/>
              <w:pageBreakBefore w:val="0"/>
              <w:wordWrap/>
              <w:topLinePunct w:val="0"/>
              <w:bidi w:val="0"/>
              <w:spacing w:line="360" w:lineRule="auto"/>
              <w:ind w:firstLine="480" w:firstLineChars="200"/>
              <w:outlineLvl w:val="9"/>
              <w:rPr>
                <w:bCs/>
                <w:sz w:val="24"/>
                <w:highlight w:val="none"/>
              </w:rPr>
            </w:pPr>
            <w:r>
              <w:rPr>
                <w:bCs/>
                <w:sz w:val="24"/>
                <w:highlight w:val="none"/>
              </w:rPr>
              <w:t>项目实施后厂界噪声贡献值预测结果见下表。</w:t>
            </w:r>
          </w:p>
          <w:p>
            <w:pPr>
              <w:pStyle w:val="91"/>
              <w:keepLines w:val="0"/>
              <w:pageBreakBefore w:val="0"/>
              <w:wordWrap/>
              <w:topLinePunct w:val="0"/>
              <w:bidi w:val="0"/>
              <w:spacing w:line="240" w:lineRule="auto"/>
              <w:outlineLvl w:val="9"/>
              <w:rPr>
                <w:rFonts w:eastAsia="宋体"/>
                <w:b/>
                <w:bCs/>
                <w:sz w:val="21"/>
                <w:szCs w:val="21"/>
                <w:highlight w:val="none"/>
              </w:rPr>
            </w:pPr>
            <w:r>
              <w:rPr>
                <w:rFonts w:hint="eastAsia" w:eastAsia="宋体"/>
                <w:b/>
                <w:bCs/>
                <w:sz w:val="21"/>
                <w:szCs w:val="21"/>
                <w:highlight w:val="none"/>
              </w:rPr>
              <w:t>表4-12噪声影响预测结果（厂界）  单位：dB(A)</w:t>
            </w:r>
          </w:p>
          <w:tbl>
            <w:tblPr>
              <w:tblStyle w:val="2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699"/>
              <w:gridCol w:w="399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1" w:type="pct"/>
                  <w:vAlign w:val="center"/>
                </w:tcPr>
                <w:p>
                  <w:pPr>
                    <w:keepLines w:val="0"/>
                    <w:pageBreakBefore w:val="0"/>
                    <w:wordWrap/>
                    <w:topLinePunct w:val="0"/>
                    <w:bidi w:val="0"/>
                    <w:jc w:val="center"/>
                    <w:outlineLvl w:val="9"/>
                    <w:rPr>
                      <w:bCs/>
                      <w:highlight w:val="none"/>
                    </w:rPr>
                  </w:pPr>
                  <w:r>
                    <w:rPr>
                      <w:bCs/>
                      <w:highlight w:val="none"/>
                    </w:rPr>
                    <w:t>预测点</w:t>
                  </w:r>
                </w:p>
              </w:tc>
              <w:tc>
                <w:tcPr>
                  <w:tcW w:w="2299" w:type="pct"/>
                  <w:vAlign w:val="center"/>
                </w:tcPr>
                <w:p>
                  <w:pPr>
                    <w:keepLines w:val="0"/>
                    <w:pageBreakBefore w:val="0"/>
                    <w:wordWrap/>
                    <w:topLinePunct w:val="0"/>
                    <w:bidi w:val="0"/>
                    <w:jc w:val="center"/>
                    <w:outlineLvl w:val="9"/>
                    <w:rPr>
                      <w:bCs/>
                      <w:highlight w:val="none"/>
                    </w:rPr>
                  </w:pPr>
                  <w:r>
                    <w:rPr>
                      <w:bCs/>
                      <w:highlight w:val="none"/>
                    </w:rPr>
                    <w:t>厂界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1" w:type="pct"/>
                  <w:vAlign w:val="center"/>
                </w:tcPr>
                <w:p>
                  <w:pPr>
                    <w:keepLines w:val="0"/>
                    <w:pageBreakBefore w:val="0"/>
                    <w:wordWrap/>
                    <w:topLinePunct w:val="0"/>
                    <w:bidi w:val="0"/>
                    <w:jc w:val="center"/>
                    <w:outlineLvl w:val="9"/>
                    <w:rPr>
                      <w:bCs/>
                      <w:highlight w:val="none"/>
                    </w:rPr>
                  </w:pPr>
                  <w:r>
                    <w:rPr>
                      <w:bCs/>
                      <w:highlight w:val="none"/>
                    </w:rPr>
                    <w:t>空间相对位置（X/Y/Z）</w:t>
                  </w:r>
                </w:p>
              </w:tc>
              <w:tc>
                <w:tcPr>
                  <w:tcW w:w="2299" w:type="pct"/>
                  <w:vAlign w:val="center"/>
                </w:tcPr>
                <w:p>
                  <w:pPr>
                    <w:keepLines w:val="0"/>
                    <w:pageBreakBefore w:val="0"/>
                    <w:wordWrap/>
                    <w:topLinePunct w:val="0"/>
                    <w:bidi w:val="0"/>
                    <w:jc w:val="center"/>
                    <w:outlineLvl w:val="9"/>
                    <w:rPr>
                      <w:bCs/>
                      <w:highlight w:val="none"/>
                    </w:rPr>
                  </w:pPr>
                  <w:r>
                    <w:rPr>
                      <w:rFonts w:hint="eastAsia"/>
                      <w:bCs/>
                      <w:highlight w:val="none"/>
                    </w:rPr>
                    <w:t>52.5</w:t>
                  </w:r>
                  <w:r>
                    <w:rPr>
                      <w:bCs/>
                      <w:highlight w:val="none"/>
                    </w:rPr>
                    <w:t>/-32.6/</w:t>
                  </w:r>
                  <w:r>
                    <w:rPr>
                      <w:rFonts w:hint="eastAsia"/>
                      <w:bCs/>
                      <w:highlight w:val="none"/>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1" w:type="pct"/>
                  <w:vAlign w:val="center"/>
                </w:tcPr>
                <w:p>
                  <w:pPr>
                    <w:keepLines w:val="0"/>
                    <w:pageBreakBefore w:val="0"/>
                    <w:wordWrap/>
                    <w:topLinePunct w:val="0"/>
                    <w:bidi w:val="0"/>
                    <w:jc w:val="center"/>
                    <w:outlineLvl w:val="9"/>
                    <w:rPr>
                      <w:bCs/>
                      <w:highlight w:val="none"/>
                    </w:rPr>
                  </w:pPr>
                  <w:r>
                    <w:rPr>
                      <w:bCs/>
                      <w:highlight w:val="none"/>
                    </w:rPr>
                    <w:t>本项目贡献值（昼间最大值）</w:t>
                  </w:r>
                </w:p>
              </w:tc>
              <w:tc>
                <w:tcPr>
                  <w:tcW w:w="2299" w:type="pct"/>
                  <w:vAlign w:val="center"/>
                </w:tcPr>
                <w:p>
                  <w:pPr>
                    <w:keepLines w:val="0"/>
                    <w:pageBreakBefore w:val="0"/>
                    <w:wordWrap/>
                    <w:topLinePunct w:val="0"/>
                    <w:bidi w:val="0"/>
                    <w:jc w:val="center"/>
                    <w:outlineLvl w:val="9"/>
                    <w:rPr>
                      <w:bCs/>
                      <w:highlight w:val="none"/>
                    </w:rPr>
                  </w:pPr>
                  <w:r>
                    <w:rPr>
                      <w:rFonts w:hint="eastAsia"/>
                      <w:bCs/>
                      <w:highlight w:val="none"/>
                    </w:rPr>
                    <w:t>51.56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1" w:type="pct"/>
                  <w:vAlign w:val="center"/>
                </w:tcPr>
                <w:p>
                  <w:pPr>
                    <w:keepLines w:val="0"/>
                    <w:pageBreakBefore w:val="0"/>
                    <w:wordWrap/>
                    <w:topLinePunct w:val="0"/>
                    <w:bidi w:val="0"/>
                    <w:jc w:val="center"/>
                    <w:outlineLvl w:val="9"/>
                    <w:rPr>
                      <w:bCs/>
                      <w:highlight w:val="none"/>
                    </w:rPr>
                  </w:pPr>
                  <w:r>
                    <w:rPr>
                      <w:bCs/>
                      <w:highlight w:val="none"/>
                    </w:rPr>
                    <w:t>标准值（昼间）</w:t>
                  </w:r>
                </w:p>
              </w:tc>
              <w:tc>
                <w:tcPr>
                  <w:tcW w:w="2299" w:type="pct"/>
                  <w:vAlign w:val="center"/>
                </w:tcPr>
                <w:p>
                  <w:pPr>
                    <w:keepLines w:val="0"/>
                    <w:pageBreakBefore w:val="0"/>
                    <w:wordWrap/>
                    <w:topLinePunct w:val="0"/>
                    <w:bidi w:val="0"/>
                    <w:jc w:val="center"/>
                    <w:outlineLvl w:val="9"/>
                    <w:rPr>
                      <w:rFonts w:hint="default" w:eastAsia="宋体"/>
                      <w:bCs/>
                      <w:highlight w:val="none"/>
                      <w:lang w:val="en-US" w:eastAsia="zh-CN"/>
                    </w:rPr>
                  </w:pPr>
                  <w:r>
                    <w:rPr>
                      <w:rFonts w:hint="eastAsia"/>
                      <w:bCs/>
                      <w:highlight w:val="none"/>
                      <w:lang w:val="en-US" w:eastAsia="zh-CN"/>
                    </w:rPr>
                    <w:t>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701" w:type="pct"/>
                  <w:vAlign w:val="center"/>
                </w:tcPr>
                <w:p>
                  <w:pPr>
                    <w:keepLines w:val="0"/>
                    <w:pageBreakBefore w:val="0"/>
                    <w:wordWrap/>
                    <w:topLinePunct w:val="0"/>
                    <w:bidi w:val="0"/>
                    <w:jc w:val="center"/>
                    <w:outlineLvl w:val="9"/>
                    <w:rPr>
                      <w:bCs/>
                      <w:highlight w:val="none"/>
                    </w:rPr>
                  </w:pPr>
                  <w:r>
                    <w:rPr>
                      <w:bCs/>
                      <w:highlight w:val="none"/>
                    </w:rPr>
                    <w:t>达标情况（昼间）</w:t>
                  </w:r>
                </w:p>
              </w:tc>
              <w:tc>
                <w:tcPr>
                  <w:tcW w:w="2299" w:type="pct"/>
                  <w:vAlign w:val="center"/>
                </w:tcPr>
                <w:p>
                  <w:pPr>
                    <w:keepLines w:val="0"/>
                    <w:pageBreakBefore w:val="0"/>
                    <w:wordWrap/>
                    <w:topLinePunct w:val="0"/>
                    <w:bidi w:val="0"/>
                    <w:jc w:val="center"/>
                    <w:outlineLvl w:val="9"/>
                    <w:rPr>
                      <w:bCs/>
                      <w:highlight w:val="none"/>
                    </w:rPr>
                  </w:pPr>
                  <w:r>
                    <w:rPr>
                      <w:bCs/>
                      <w:highlight w:val="none"/>
                    </w:rPr>
                    <w:t>达标</w:t>
                  </w:r>
                </w:p>
              </w:tc>
            </w:tr>
          </w:tbl>
          <w:p>
            <w:pPr>
              <w:keepLines w:val="0"/>
              <w:pageBreakBefore w:val="0"/>
              <w:wordWrap/>
              <w:topLinePunct w:val="0"/>
              <w:bidi w:val="0"/>
              <w:spacing w:line="360" w:lineRule="auto"/>
              <w:outlineLvl w:val="9"/>
              <w:rPr>
                <w:bCs/>
                <w:sz w:val="24"/>
                <w:highlight w:val="none"/>
              </w:rPr>
            </w:pPr>
            <w:r>
              <w:rPr>
                <w:bCs/>
                <w:sz w:val="24"/>
                <w:highlight w:val="none"/>
              </w:rPr>
              <w:t>注：1、项目昼</w:t>
            </w:r>
            <w:r>
              <w:rPr>
                <w:rFonts w:hint="eastAsia"/>
                <w:bCs/>
                <w:sz w:val="24"/>
                <w:highlight w:val="none"/>
              </w:rPr>
              <w:t>间</w:t>
            </w:r>
            <w:r>
              <w:rPr>
                <w:bCs/>
                <w:sz w:val="24"/>
                <w:highlight w:val="none"/>
              </w:rPr>
              <w:t>生产；</w:t>
            </w:r>
          </w:p>
          <w:p>
            <w:pPr>
              <w:keepLines w:val="0"/>
              <w:pageBreakBefore w:val="0"/>
              <w:wordWrap/>
              <w:topLinePunct w:val="0"/>
              <w:bidi w:val="0"/>
              <w:spacing w:line="360" w:lineRule="auto"/>
              <w:ind w:left="480"/>
              <w:outlineLvl w:val="9"/>
              <w:rPr>
                <w:bCs/>
                <w:sz w:val="24"/>
                <w:highlight w:val="none"/>
              </w:rPr>
            </w:pPr>
            <w:r>
              <w:rPr>
                <w:rFonts w:hint="eastAsia"/>
                <w:bCs/>
                <w:sz w:val="24"/>
                <w:highlight w:val="none"/>
              </w:rPr>
              <w:t>2、</w:t>
            </w:r>
            <w:r>
              <w:rPr>
                <w:bCs/>
                <w:sz w:val="24"/>
                <w:highlight w:val="none"/>
              </w:rPr>
              <w:t>厂界噪声标准依据为《工业企业厂界环境噪声排放标准》（GB12348-2008）表2中的</w:t>
            </w:r>
            <w:r>
              <w:rPr>
                <w:rFonts w:hint="eastAsia"/>
                <w:bCs/>
                <w:sz w:val="24"/>
                <w:highlight w:val="none"/>
                <w:lang w:val="en-US" w:eastAsia="zh-CN"/>
              </w:rPr>
              <w:t>1</w:t>
            </w:r>
            <w:r>
              <w:rPr>
                <w:bCs/>
                <w:sz w:val="24"/>
                <w:highlight w:val="none"/>
              </w:rPr>
              <w:t>类标准；</w:t>
            </w:r>
          </w:p>
          <w:p>
            <w:pPr>
              <w:pStyle w:val="91"/>
              <w:keepLines w:val="0"/>
              <w:pageBreakBefore w:val="0"/>
              <w:wordWrap/>
              <w:topLinePunct w:val="0"/>
              <w:bidi w:val="0"/>
              <w:spacing w:line="240" w:lineRule="auto"/>
              <w:outlineLvl w:val="9"/>
              <w:rPr>
                <w:rFonts w:eastAsia="宋体"/>
                <w:b/>
                <w:bCs/>
                <w:sz w:val="21"/>
                <w:szCs w:val="21"/>
                <w:highlight w:val="none"/>
              </w:rPr>
            </w:pPr>
            <w:r>
              <w:rPr>
                <w:rFonts w:hint="eastAsia" w:eastAsia="宋体"/>
                <w:b/>
                <w:bCs/>
                <w:sz w:val="21"/>
                <w:szCs w:val="21"/>
                <w:highlight w:val="none"/>
              </w:rPr>
              <w:t>表4-13 项目敏感目标处噪声预测结果单位：dB(A)</w:t>
            </w:r>
          </w:p>
          <w:tbl>
            <w:tblPr>
              <w:tblStyle w:val="29"/>
              <w:tblW w:w="857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26"/>
              <w:gridCol w:w="1200"/>
              <w:gridCol w:w="1078"/>
              <w:gridCol w:w="1322"/>
              <w:gridCol w:w="1296"/>
              <w:gridCol w:w="1256"/>
              <w:gridCol w:w="12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1" w:hRule="atLeast"/>
              </w:trPr>
              <w:tc>
                <w:tcPr>
                  <w:tcW w:w="1226" w:type="dxa"/>
                  <w:vMerge w:val="restart"/>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bCs/>
                      <w:kern w:val="0"/>
                      <w:sz w:val="21"/>
                      <w:szCs w:val="21"/>
                      <w:highlight w:val="none"/>
                    </w:rPr>
                    <w:t>位置</w:t>
                  </w:r>
                </w:p>
              </w:tc>
              <w:tc>
                <w:tcPr>
                  <w:tcW w:w="1200"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bCs/>
                      <w:kern w:val="0"/>
                      <w:sz w:val="21"/>
                      <w:szCs w:val="21"/>
                      <w:highlight w:val="none"/>
                    </w:rPr>
                    <w:t>现状值</w:t>
                  </w:r>
                </w:p>
              </w:tc>
              <w:tc>
                <w:tcPr>
                  <w:tcW w:w="1078"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bCs/>
                      <w:kern w:val="0"/>
                      <w:sz w:val="21"/>
                      <w:szCs w:val="21"/>
                      <w:highlight w:val="none"/>
                    </w:rPr>
                    <w:t>贡献值</w:t>
                  </w:r>
                </w:p>
              </w:tc>
              <w:tc>
                <w:tcPr>
                  <w:tcW w:w="1322"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kern w:val="0"/>
                      <w:sz w:val="21"/>
                      <w:szCs w:val="21"/>
                      <w:highlight w:val="none"/>
                    </w:rPr>
                    <w:t>预测值</w:t>
                  </w:r>
                </w:p>
              </w:tc>
              <w:tc>
                <w:tcPr>
                  <w:tcW w:w="1296"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kern w:val="0"/>
                      <w:sz w:val="21"/>
                      <w:szCs w:val="21"/>
                      <w:highlight w:val="none"/>
                    </w:rPr>
                    <w:t>预测值与现状值差值</w:t>
                  </w:r>
                </w:p>
              </w:tc>
              <w:tc>
                <w:tcPr>
                  <w:tcW w:w="1256"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sz w:val="21"/>
                      <w:szCs w:val="21"/>
                      <w:highlight w:val="none"/>
                    </w:rPr>
                    <w:t>声功能区变化情况</w:t>
                  </w:r>
                </w:p>
              </w:tc>
              <w:tc>
                <w:tcPr>
                  <w:tcW w:w="1200" w:type="dxa"/>
                  <w:vMerge w:val="restart"/>
                  <w:vAlign w:val="center"/>
                </w:tcPr>
                <w:p>
                  <w:pPr>
                    <w:pStyle w:val="22"/>
                    <w:keepLines w:val="0"/>
                    <w:pageBreakBefore w:val="0"/>
                    <w:wordWrap/>
                    <w:topLinePunct w:val="0"/>
                    <w:bidi w:val="0"/>
                    <w:adjustRightInd w:val="0"/>
                    <w:snapToGrid w:val="0"/>
                    <w:ind w:left="0"/>
                    <w:jc w:val="center"/>
                    <w:outlineLvl w:val="9"/>
                    <w:rPr>
                      <w:bCs/>
                      <w:sz w:val="21"/>
                      <w:szCs w:val="21"/>
                      <w:highlight w:val="none"/>
                    </w:rPr>
                  </w:pPr>
                  <w:r>
                    <w:rPr>
                      <w:rFonts w:hint="eastAsia"/>
                      <w:bCs/>
                      <w:sz w:val="21"/>
                      <w:szCs w:val="21"/>
                      <w:highlight w:val="none"/>
                    </w:rPr>
                    <w:t>影响程度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26" w:type="dxa"/>
                  <w:vMerge w:val="continue"/>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p>
              </w:tc>
              <w:tc>
                <w:tcPr>
                  <w:tcW w:w="1200"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bCs/>
                      <w:kern w:val="0"/>
                      <w:sz w:val="21"/>
                      <w:szCs w:val="21"/>
                      <w:highlight w:val="none"/>
                    </w:rPr>
                    <w:t>昼间</w:t>
                  </w:r>
                </w:p>
              </w:tc>
              <w:tc>
                <w:tcPr>
                  <w:tcW w:w="1078"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bCs/>
                      <w:kern w:val="0"/>
                      <w:sz w:val="21"/>
                      <w:szCs w:val="21"/>
                      <w:highlight w:val="none"/>
                    </w:rPr>
                    <w:t>昼间</w:t>
                  </w:r>
                </w:p>
              </w:tc>
              <w:tc>
                <w:tcPr>
                  <w:tcW w:w="1322"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kern w:val="0"/>
                      <w:sz w:val="21"/>
                      <w:szCs w:val="21"/>
                      <w:highlight w:val="none"/>
                    </w:rPr>
                    <w:t>昼间</w:t>
                  </w:r>
                </w:p>
              </w:tc>
              <w:tc>
                <w:tcPr>
                  <w:tcW w:w="1296"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kern w:val="0"/>
                      <w:sz w:val="21"/>
                      <w:szCs w:val="21"/>
                      <w:highlight w:val="none"/>
                    </w:rPr>
                    <w:t>昼间</w:t>
                  </w:r>
                </w:p>
              </w:tc>
              <w:tc>
                <w:tcPr>
                  <w:tcW w:w="1256"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kern w:val="0"/>
                      <w:sz w:val="21"/>
                      <w:szCs w:val="21"/>
                      <w:highlight w:val="none"/>
                      <w:lang w:val="en-US" w:eastAsia="zh-CN"/>
                    </w:rPr>
                    <w:t>1</w:t>
                  </w:r>
                  <w:r>
                    <w:rPr>
                      <w:bCs/>
                      <w:kern w:val="0"/>
                      <w:sz w:val="21"/>
                      <w:szCs w:val="21"/>
                      <w:highlight w:val="none"/>
                    </w:rPr>
                    <w:t>类</w:t>
                  </w:r>
                </w:p>
              </w:tc>
              <w:tc>
                <w:tcPr>
                  <w:tcW w:w="1200" w:type="dxa"/>
                  <w:vMerge w:val="continue"/>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26" w:type="dxa"/>
                  <w:vAlign w:val="center"/>
                </w:tcPr>
                <w:p>
                  <w:pPr>
                    <w:keepLines w:val="0"/>
                    <w:pageBreakBefore w:val="0"/>
                    <w:wordWrap/>
                    <w:topLinePunct w:val="0"/>
                    <w:bidi w:val="0"/>
                    <w:adjustRightInd w:val="0"/>
                    <w:snapToGrid w:val="0"/>
                    <w:spacing w:line="340" w:lineRule="atLeast"/>
                    <w:contextualSpacing/>
                    <w:jc w:val="center"/>
                    <w:outlineLvl w:val="9"/>
                    <w:rPr>
                      <w:bCs/>
                      <w:kern w:val="0"/>
                      <w:szCs w:val="21"/>
                      <w:highlight w:val="none"/>
                    </w:rPr>
                  </w:pPr>
                  <w:r>
                    <w:rPr>
                      <w:szCs w:val="21"/>
                      <w:highlight w:val="none"/>
                    </w:rPr>
                    <w:t>东侧</w:t>
                  </w:r>
                  <w:r>
                    <w:rPr>
                      <w:rFonts w:hint="eastAsia"/>
                      <w:szCs w:val="21"/>
                      <w:highlight w:val="none"/>
                    </w:rPr>
                    <w:t>民房</w:t>
                  </w:r>
                </w:p>
              </w:tc>
              <w:tc>
                <w:tcPr>
                  <w:tcW w:w="1200"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bCs/>
                      <w:kern w:val="0"/>
                      <w:sz w:val="21"/>
                      <w:szCs w:val="21"/>
                      <w:highlight w:val="none"/>
                    </w:rPr>
                    <w:t>51</w:t>
                  </w:r>
                </w:p>
              </w:tc>
              <w:tc>
                <w:tcPr>
                  <w:tcW w:w="1078"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hAnsi="等线" w:eastAsia="等线"/>
                      <w:sz w:val="21"/>
                      <w:szCs w:val="21"/>
                      <w:highlight w:val="none"/>
                    </w:rPr>
                    <w:t>52.0</w:t>
                  </w:r>
                </w:p>
              </w:tc>
              <w:tc>
                <w:tcPr>
                  <w:tcW w:w="1322"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hAnsi="等线" w:eastAsia="等线"/>
                      <w:sz w:val="21"/>
                      <w:szCs w:val="21"/>
                      <w:highlight w:val="none"/>
                    </w:rPr>
                    <w:t>52.7</w:t>
                  </w:r>
                </w:p>
              </w:tc>
              <w:tc>
                <w:tcPr>
                  <w:tcW w:w="1296"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kern w:val="0"/>
                      <w:sz w:val="21"/>
                      <w:szCs w:val="21"/>
                      <w:highlight w:val="none"/>
                    </w:rPr>
                    <w:t>1.7</w:t>
                  </w:r>
                </w:p>
              </w:tc>
              <w:tc>
                <w:tcPr>
                  <w:tcW w:w="1256" w:type="dxa"/>
                  <w:vAlign w:val="center"/>
                </w:tcPr>
                <w:p>
                  <w:pPr>
                    <w:keepLines w:val="0"/>
                    <w:pageBreakBefore w:val="0"/>
                    <w:wordWrap/>
                    <w:topLinePunct w:val="0"/>
                    <w:bidi w:val="0"/>
                    <w:adjustRightInd w:val="0"/>
                    <w:snapToGrid w:val="0"/>
                    <w:jc w:val="center"/>
                    <w:outlineLvl w:val="9"/>
                    <w:rPr>
                      <w:bCs/>
                      <w:kern w:val="0"/>
                      <w:szCs w:val="21"/>
                      <w:highlight w:val="none"/>
                    </w:rPr>
                  </w:pPr>
                  <w:r>
                    <w:rPr>
                      <w:rFonts w:hint="eastAsia"/>
                      <w:bCs/>
                      <w:kern w:val="0"/>
                      <w:szCs w:val="21"/>
                      <w:highlight w:val="none"/>
                    </w:rPr>
                    <w:t>无</w:t>
                  </w:r>
                </w:p>
              </w:tc>
              <w:tc>
                <w:tcPr>
                  <w:tcW w:w="1200" w:type="dxa"/>
                  <w:vAlign w:val="center"/>
                </w:tcPr>
                <w:p>
                  <w:pPr>
                    <w:keepLines w:val="0"/>
                    <w:pageBreakBefore w:val="0"/>
                    <w:wordWrap/>
                    <w:topLinePunct w:val="0"/>
                    <w:bidi w:val="0"/>
                    <w:adjustRightInd w:val="0"/>
                    <w:snapToGrid w:val="0"/>
                    <w:jc w:val="center"/>
                    <w:outlineLvl w:val="9"/>
                    <w:rPr>
                      <w:bCs/>
                      <w:kern w:val="0"/>
                      <w:szCs w:val="21"/>
                      <w:highlight w:val="none"/>
                    </w:rPr>
                  </w:pPr>
                  <w:r>
                    <w:rPr>
                      <w:rFonts w:hint="eastAsia"/>
                      <w:bCs/>
                      <w:kern w:val="0"/>
                      <w:szCs w:val="21"/>
                      <w:highlight w:val="none"/>
                    </w:rPr>
                    <w:t>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26" w:type="dxa"/>
                  <w:vAlign w:val="center"/>
                </w:tcPr>
                <w:p>
                  <w:pPr>
                    <w:keepLines w:val="0"/>
                    <w:pageBreakBefore w:val="0"/>
                    <w:wordWrap/>
                    <w:topLinePunct w:val="0"/>
                    <w:bidi w:val="0"/>
                    <w:adjustRightInd w:val="0"/>
                    <w:snapToGrid w:val="0"/>
                    <w:spacing w:line="340" w:lineRule="atLeast"/>
                    <w:contextualSpacing/>
                    <w:jc w:val="center"/>
                    <w:outlineLvl w:val="9"/>
                    <w:rPr>
                      <w:bCs/>
                      <w:kern w:val="0"/>
                      <w:szCs w:val="21"/>
                      <w:highlight w:val="none"/>
                    </w:rPr>
                  </w:pPr>
                  <w:r>
                    <w:rPr>
                      <w:szCs w:val="21"/>
                      <w:highlight w:val="none"/>
                    </w:rPr>
                    <w:t>南侧</w:t>
                  </w:r>
                  <w:r>
                    <w:rPr>
                      <w:rFonts w:hint="eastAsia"/>
                      <w:szCs w:val="21"/>
                      <w:highlight w:val="none"/>
                    </w:rPr>
                    <w:t>民房</w:t>
                  </w:r>
                </w:p>
              </w:tc>
              <w:tc>
                <w:tcPr>
                  <w:tcW w:w="1200" w:type="dxa"/>
                  <w:vAlign w:val="center"/>
                </w:tcPr>
                <w:p>
                  <w:pPr>
                    <w:pStyle w:val="22"/>
                    <w:keepLines w:val="0"/>
                    <w:pageBreakBefore w:val="0"/>
                    <w:wordWrap/>
                    <w:topLinePunct w:val="0"/>
                    <w:bidi w:val="0"/>
                    <w:adjustRightInd w:val="0"/>
                    <w:snapToGrid w:val="0"/>
                    <w:spacing w:line="340" w:lineRule="atLeast"/>
                    <w:ind w:left="0"/>
                    <w:jc w:val="center"/>
                    <w:outlineLvl w:val="9"/>
                    <w:rPr>
                      <w:rFonts w:eastAsia="等线"/>
                      <w:bCs/>
                      <w:kern w:val="0"/>
                      <w:sz w:val="21"/>
                      <w:szCs w:val="21"/>
                      <w:highlight w:val="none"/>
                    </w:rPr>
                  </w:pPr>
                  <w:r>
                    <w:rPr>
                      <w:rFonts w:hint="eastAsia" w:eastAsia="等线"/>
                      <w:bCs/>
                      <w:kern w:val="0"/>
                      <w:sz w:val="21"/>
                      <w:szCs w:val="21"/>
                      <w:highlight w:val="none"/>
                    </w:rPr>
                    <w:t>52</w:t>
                  </w:r>
                </w:p>
              </w:tc>
              <w:tc>
                <w:tcPr>
                  <w:tcW w:w="1078"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hAnsi="等线" w:eastAsia="等线"/>
                      <w:sz w:val="21"/>
                      <w:szCs w:val="21"/>
                      <w:highlight w:val="none"/>
                    </w:rPr>
                    <w:t>51.4</w:t>
                  </w:r>
                </w:p>
              </w:tc>
              <w:tc>
                <w:tcPr>
                  <w:tcW w:w="1322"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hAnsi="等线" w:eastAsia="等线"/>
                      <w:sz w:val="21"/>
                      <w:szCs w:val="21"/>
                      <w:highlight w:val="none"/>
                    </w:rPr>
                    <w:t>52.4</w:t>
                  </w:r>
                </w:p>
              </w:tc>
              <w:tc>
                <w:tcPr>
                  <w:tcW w:w="1296"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kern w:val="0"/>
                      <w:sz w:val="21"/>
                      <w:szCs w:val="21"/>
                      <w:highlight w:val="none"/>
                    </w:rPr>
                    <w:t>0.4</w:t>
                  </w:r>
                </w:p>
              </w:tc>
              <w:tc>
                <w:tcPr>
                  <w:tcW w:w="1256" w:type="dxa"/>
                  <w:vAlign w:val="center"/>
                </w:tcPr>
                <w:p>
                  <w:pPr>
                    <w:keepLines w:val="0"/>
                    <w:pageBreakBefore w:val="0"/>
                    <w:wordWrap/>
                    <w:topLinePunct w:val="0"/>
                    <w:bidi w:val="0"/>
                    <w:adjustRightInd w:val="0"/>
                    <w:snapToGrid w:val="0"/>
                    <w:jc w:val="center"/>
                    <w:outlineLvl w:val="9"/>
                    <w:rPr>
                      <w:bCs/>
                      <w:kern w:val="0"/>
                      <w:szCs w:val="21"/>
                      <w:highlight w:val="none"/>
                    </w:rPr>
                  </w:pPr>
                  <w:r>
                    <w:rPr>
                      <w:rFonts w:hint="eastAsia"/>
                      <w:bCs/>
                      <w:kern w:val="0"/>
                      <w:szCs w:val="21"/>
                      <w:highlight w:val="none"/>
                    </w:rPr>
                    <w:t>无</w:t>
                  </w:r>
                </w:p>
              </w:tc>
              <w:tc>
                <w:tcPr>
                  <w:tcW w:w="1200" w:type="dxa"/>
                  <w:vAlign w:val="center"/>
                </w:tcPr>
                <w:p>
                  <w:pPr>
                    <w:keepLines w:val="0"/>
                    <w:pageBreakBefore w:val="0"/>
                    <w:wordWrap/>
                    <w:topLinePunct w:val="0"/>
                    <w:bidi w:val="0"/>
                    <w:adjustRightInd w:val="0"/>
                    <w:snapToGrid w:val="0"/>
                    <w:jc w:val="center"/>
                    <w:outlineLvl w:val="9"/>
                    <w:rPr>
                      <w:bCs/>
                      <w:kern w:val="0"/>
                      <w:szCs w:val="21"/>
                      <w:highlight w:val="none"/>
                    </w:rPr>
                  </w:pPr>
                  <w:r>
                    <w:rPr>
                      <w:rFonts w:hint="eastAsia"/>
                      <w:bCs/>
                      <w:kern w:val="0"/>
                      <w:szCs w:val="21"/>
                      <w:highlight w:val="none"/>
                    </w:rPr>
                    <w:t>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226" w:type="dxa"/>
                  <w:vAlign w:val="center"/>
                </w:tcPr>
                <w:p>
                  <w:pPr>
                    <w:keepLines w:val="0"/>
                    <w:pageBreakBefore w:val="0"/>
                    <w:wordWrap/>
                    <w:topLinePunct w:val="0"/>
                    <w:bidi w:val="0"/>
                    <w:adjustRightInd w:val="0"/>
                    <w:snapToGrid w:val="0"/>
                    <w:spacing w:line="340" w:lineRule="atLeast"/>
                    <w:contextualSpacing/>
                    <w:jc w:val="center"/>
                    <w:outlineLvl w:val="9"/>
                    <w:rPr>
                      <w:bCs/>
                      <w:kern w:val="0"/>
                      <w:szCs w:val="21"/>
                      <w:highlight w:val="none"/>
                    </w:rPr>
                  </w:pPr>
                  <w:r>
                    <w:rPr>
                      <w:szCs w:val="21"/>
                      <w:highlight w:val="none"/>
                    </w:rPr>
                    <w:t>西侧</w:t>
                  </w:r>
                  <w:r>
                    <w:rPr>
                      <w:rFonts w:hint="eastAsia"/>
                      <w:szCs w:val="21"/>
                      <w:highlight w:val="none"/>
                    </w:rPr>
                    <w:t>民房</w:t>
                  </w:r>
                </w:p>
              </w:tc>
              <w:tc>
                <w:tcPr>
                  <w:tcW w:w="1200" w:type="dxa"/>
                  <w:vAlign w:val="center"/>
                </w:tcPr>
                <w:p>
                  <w:pPr>
                    <w:pStyle w:val="22"/>
                    <w:keepLines w:val="0"/>
                    <w:pageBreakBefore w:val="0"/>
                    <w:wordWrap/>
                    <w:topLinePunct w:val="0"/>
                    <w:bidi w:val="0"/>
                    <w:adjustRightInd w:val="0"/>
                    <w:snapToGrid w:val="0"/>
                    <w:spacing w:line="340" w:lineRule="atLeast"/>
                    <w:ind w:left="0"/>
                    <w:jc w:val="center"/>
                    <w:outlineLvl w:val="9"/>
                    <w:rPr>
                      <w:rFonts w:eastAsia="等线"/>
                      <w:bCs/>
                      <w:kern w:val="0"/>
                      <w:sz w:val="21"/>
                      <w:szCs w:val="21"/>
                      <w:highlight w:val="none"/>
                    </w:rPr>
                  </w:pPr>
                  <w:r>
                    <w:rPr>
                      <w:rFonts w:hint="eastAsia" w:eastAsia="等线"/>
                      <w:bCs/>
                      <w:kern w:val="0"/>
                      <w:sz w:val="21"/>
                      <w:szCs w:val="21"/>
                      <w:highlight w:val="none"/>
                    </w:rPr>
                    <w:t>51</w:t>
                  </w:r>
                </w:p>
              </w:tc>
              <w:tc>
                <w:tcPr>
                  <w:tcW w:w="1078"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hAnsi="等线" w:eastAsia="等线"/>
                      <w:sz w:val="21"/>
                      <w:szCs w:val="21"/>
                      <w:highlight w:val="none"/>
                    </w:rPr>
                    <w:t>53.3</w:t>
                  </w:r>
                </w:p>
              </w:tc>
              <w:tc>
                <w:tcPr>
                  <w:tcW w:w="1322"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hAnsi="等线" w:eastAsia="等线"/>
                      <w:sz w:val="21"/>
                      <w:szCs w:val="21"/>
                      <w:highlight w:val="none"/>
                    </w:rPr>
                    <w:t>52.1</w:t>
                  </w:r>
                </w:p>
              </w:tc>
              <w:tc>
                <w:tcPr>
                  <w:tcW w:w="1296"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kern w:val="0"/>
                      <w:sz w:val="21"/>
                      <w:szCs w:val="21"/>
                      <w:highlight w:val="none"/>
                    </w:rPr>
                    <w:t>1.1</w:t>
                  </w:r>
                </w:p>
              </w:tc>
              <w:tc>
                <w:tcPr>
                  <w:tcW w:w="1256" w:type="dxa"/>
                  <w:vAlign w:val="center"/>
                </w:tcPr>
                <w:p>
                  <w:pPr>
                    <w:keepLines w:val="0"/>
                    <w:pageBreakBefore w:val="0"/>
                    <w:wordWrap/>
                    <w:topLinePunct w:val="0"/>
                    <w:bidi w:val="0"/>
                    <w:adjustRightInd w:val="0"/>
                    <w:snapToGrid w:val="0"/>
                    <w:jc w:val="center"/>
                    <w:outlineLvl w:val="9"/>
                    <w:rPr>
                      <w:bCs/>
                      <w:kern w:val="0"/>
                      <w:szCs w:val="21"/>
                      <w:highlight w:val="none"/>
                    </w:rPr>
                  </w:pPr>
                  <w:r>
                    <w:rPr>
                      <w:rFonts w:hint="eastAsia"/>
                      <w:bCs/>
                      <w:kern w:val="0"/>
                      <w:szCs w:val="21"/>
                      <w:highlight w:val="none"/>
                    </w:rPr>
                    <w:t>无</w:t>
                  </w:r>
                </w:p>
              </w:tc>
              <w:tc>
                <w:tcPr>
                  <w:tcW w:w="1200" w:type="dxa"/>
                  <w:vAlign w:val="center"/>
                </w:tcPr>
                <w:p>
                  <w:pPr>
                    <w:keepLines w:val="0"/>
                    <w:pageBreakBefore w:val="0"/>
                    <w:wordWrap/>
                    <w:topLinePunct w:val="0"/>
                    <w:bidi w:val="0"/>
                    <w:adjustRightInd w:val="0"/>
                    <w:snapToGrid w:val="0"/>
                    <w:jc w:val="center"/>
                    <w:outlineLvl w:val="9"/>
                    <w:rPr>
                      <w:bCs/>
                      <w:kern w:val="0"/>
                      <w:szCs w:val="21"/>
                      <w:highlight w:val="none"/>
                    </w:rPr>
                  </w:pPr>
                  <w:r>
                    <w:rPr>
                      <w:rFonts w:hint="eastAsia"/>
                      <w:bCs/>
                      <w:kern w:val="0"/>
                      <w:szCs w:val="21"/>
                      <w:highlight w:val="none"/>
                    </w:rPr>
                    <w:t>较小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trPr>
              <w:tc>
                <w:tcPr>
                  <w:tcW w:w="1226" w:type="dxa"/>
                  <w:vAlign w:val="center"/>
                </w:tcPr>
                <w:p>
                  <w:pPr>
                    <w:keepLines w:val="0"/>
                    <w:pageBreakBefore w:val="0"/>
                    <w:wordWrap/>
                    <w:topLinePunct w:val="0"/>
                    <w:bidi w:val="0"/>
                    <w:adjustRightInd w:val="0"/>
                    <w:snapToGrid w:val="0"/>
                    <w:spacing w:line="340" w:lineRule="atLeast"/>
                    <w:contextualSpacing/>
                    <w:jc w:val="center"/>
                    <w:outlineLvl w:val="9"/>
                    <w:rPr>
                      <w:bCs/>
                      <w:kern w:val="0"/>
                      <w:szCs w:val="21"/>
                      <w:highlight w:val="none"/>
                    </w:rPr>
                  </w:pPr>
                  <w:r>
                    <w:rPr>
                      <w:szCs w:val="21"/>
                      <w:highlight w:val="none"/>
                    </w:rPr>
                    <w:t>北侧</w:t>
                  </w:r>
                  <w:r>
                    <w:rPr>
                      <w:rFonts w:hint="eastAsia"/>
                      <w:szCs w:val="21"/>
                      <w:highlight w:val="none"/>
                    </w:rPr>
                    <w:t>民房</w:t>
                  </w:r>
                </w:p>
              </w:tc>
              <w:tc>
                <w:tcPr>
                  <w:tcW w:w="1200"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bCs/>
                      <w:kern w:val="0"/>
                      <w:sz w:val="21"/>
                      <w:szCs w:val="21"/>
                      <w:highlight w:val="none"/>
                    </w:rPr>
                    <w:t>52</w:t>
                  </w:r>
                </w:p>
              </w:tc>
              <w:tc>
                <w:tcPr>
                  <w:tcW w:w="1078"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hAnsi="等线" w:eastAsia="等线"/>
                      <w:sz w:val="21"/>
                      <w:szCs w:val="21"/>
                      <w:highlight w:val="none"/>
                    </w:rPr>
                    <w:t>54.4</w:t>
                  </w:r>
                </w:p>
              </w:tc>
              <w:tc>
                <w:tcPr>
                  <w:tcW w:w="1322" w:type="dxa"/>
                  <w:vAlign w:val="center"/>
                </w:tcPr>
                <w:p>
                  <w:pPr>
                    <w:pStyle w:val="22"/>
                    <w:keepLines w:val="0"/>
                    <w:pageBreakBefore w:val="0"/>
                    <w:wordWrap/>
                    <w:topLinePunct w:val="0"/>
                    <w:bidi w:val="0"/>
                    <w:adjustRightInd w:val="0"/>
                    <w:snapToGrid w:val="0"/>
                    <w:spacing w:line="340" w:lineRule="atLeast"/>
                    <w:ind w:left="0"/>
                    <w:jc w:val="center"/>
                    <w:outlineLvl w:val="9"/>
                    <w:rPr>
                      <w:bCs/>
                      <w:kern w:val="0"/>
                      <w:sz w:val="21"/>
                      <w:szCs w:val="21"/>
                      <w:highlight w:val="none"/>
                    </w:rPr>
                  </w:pPr>
                  <w:r>
                    <w:rPr>
                      <w:rFonts w:hint="eastAsia" w:hAnsi="等线" w:eastAsia="等线"/>
                      <w:sz w:val="21"/>
                      <w:szCs w:val="21"/>
                      <w:highlight w:val="none"/>
                    </w:rPr>
                    <w:t>53.4</w:t>
                  </w:r>
                </w:p>
              </w:tc>
              <w:tc>
                <w:tcPr>
                  <w:tcW w:w="1296" w:type="dxa"/>
                  <w:vAlign w:val="center"/>
                </w:tcPr>
                <w:p>
                  <w:pPr>
                    <w:pStyle w:val="22"/>
                    <w:keepLines w:val="0"/>
                    <w:pageBreakBefore w:val="0"/>
                    <w:wordWrap/>
                    <w:topLinePunct w:val="0"/>
                    <w:bidi w:val="0"/>
                    <w:adjustRightInd w:val="0"/>
                    <w:snapToGrid w:val="0"/>
                    <w:ind w:left="0"/>
                    <w:jc w:val="center"/>
                    <w:outlineLvl w:val="9"/>
                    <w:rPr>
                      <w:bCs/>
                      <w:kern w:val="0"/>
                      <w:sz w:val="21"/>
                      <w:szCs w:val="21"/>
                      <w:highlight w:val="none"/>
                    </w:rPr>
                  </w:pPr>
                  <w:r>
                    <w:rPr>
                      <w:rFonts w:hint="eastAsia"/>
                      <w:bCs/>
                      <w:kern w:val="0"/>
                      <w:sz w:val="21"/>
                      <w:szCs w:val="21"/>
                      <w:highlight w:val="none"/>
                    </w:rPr>
                    <w:t>1.4</w:t>
                  </w:r>
                </w:p>
              </w:tc>
              <w:tc>
                <w:tcPr>
                  <w:tcW w:w="1256" w:type="dxa"/>
                  <w:vAlign w:val="center"/>
                </w:tcPr>
                <w:p>
                  <w:pPr>
                    <w:keepLines w:val="0"/>
                    <w:pageBreakBefore w:val="0"/>
                    <w:wordWrap/>
                    <w:topLinePunct w:val="0"/>
                    <w:bidi w:val="0"/>
                    <w:adjustRightInd w:val="0"/>
                    <w:snapToGrid w:val="0"/>
                    <w:jc w:val="center"/>
                    <w:outlineLvl w:val="9"/>
                    <w:rPr>
                      <w:bCs/>
                      <w:kern w:val="0"/>
                      <w:szCs w:val="21"/>
                      <w:highlight w:val="none"/>
                    </w:rPr>
                  </w:pPr>
                  <w:r>
                    <w:rPr>
                      <w:rFonts w:hint="eastAsia"/>
                      <w:bCs/>
                      <w:kern w:val="0"/>
                      <w:szCs w:val="21"/>
                      <w:highlight w:val="none"/>
                    </w:rPr>
                    <w:t>无</w:t>
                  </w:r>
                </w:p>
              </w:tc>
              <w:tc>
                <w:tcPr>
                  <w:tcW w:w="1200" w:type="dxa"/>
                  <w:vAlign w:val="center"/>
                </w:tcPr>
                <w:p>
                  <w:pPr>
                    <w:keepLines w:val="0"/>
                    <w:pageBreakBefore w:val="0"/>
                    <w:wordWrap/>
                    <w:topLinePunct w:val="0"/>
                    <w:bidi w:val="0"/>
                    <w:adjustRightInd w:val="0"/>
                    <w:snapToGrid w:val="0"/>
                    <w:jc w:val="center"/>
                    <w:outlineLvl w:val="9"/>
                    <w:rPr>
                      <w:bCs/>
                      <w:kern w:val="0"/>
                      <w:szCs w:val="21"/>
                      <w:highlight w:val="none"/>
                    </w:rPr>
                  </w:pPr>
                  <w:r>
                    <w:rPr>
                      <w:rFonts w:hint="eastAsia"/>
                      <w:bCs/>
                      <w:kern w:val="0"/>
                      <w:szCs w:val="21"/>
                      <w:highlight w:val="none"/>
                    </w:rPr>
                    <w:t>较小</w:t>
                  </w:r>
                </w:p>
              </w:tc>
            </w:tr>
          </w:tbl>
          <w:p>
            <w:pPr>
              <w:keepLines w:val="0"/>
              <w:pageBreakBefore w:val="0"/>
              <w:wordWrap/>
              <w:topLinePunct w:val="0"/>
              <w:bidi w:val="0"/>
              <w:spacing w:line="360" w:lineRule="auto"/>
              <w:outlineLvl w:val="9"/>
              <w:rPr>
                <w:bCs/>
                <w:sz w:val="24"/>
                <w:highlight w:val="none"/>
              </w:rPr>
            </w:pPr>
            <w:r>
              <w:rPr>
                <w:bCs/>
                <w:sz w:val="24"/>
                <w:highlight w:val="none"/>
              </w:rPr>
              <w:t>注：1、项目昼</w:t>
            </w:r>
            <w:r>
              <w:rPr>
                <w:rFonts w:hint="eastAsia"/>
                <w:bCs/>
                <w:sz w:val="24"/>
                <w:highlight w:val="none"/>
              </w:rPr>
              <w:t>间</w:t>
            </w:r>
            <w:r>
              <w:rPr>
                <w:bCs/>
                <w:sz w:val="24"/>
                <w:highlight w:val="none"/>
              </w:rPr>
              <w:t>生产；</w:t>
            </w:r>
          </w:p>
          <w:p>
            <w:pPr>
              <w:keepLines w:val="0"/>
              <w:pageBreakBefore w:val="0"/>
              <w:wordWrap/>
              <w:topLinePunct w:val="0"/>
              <w:bidi w:val="0"/>
              <w:spacing w:line="360" w:lineRule="auto"/>
              <w:ind w:left="480"/>
              <w:outlineLvl w:val="9"/>
              <w:rPr>
                <w:bCs/>
                <w:sz w:val="24"/>
                <w:highlight w:val="none"/>
              </w:rPr>
            </w:pPr>
            <w:r>
              <w:rPr>
                <w:rFonts w:hint="eastAsia"/>
                <w:bCs/>
                <w:sz w:val="24"/>
                <w:highlight w:val="none"/>
              </w:rPr>
              <w:t>2、敏感目标</w:t>
            </w:r>
            <w:r>
              <w:rPr>
                <w:bCs/>
                <w:sz w:val="24"/>
                <w:highlight w:val="none"/>
              </w:rPr>
              <w:t>噪声标准依据为《声环境质量标准》（GB3096-2008）</w:t>
            </w:r>
            <w:r>
              <w:rPr>
                <w:rFonts w:hint="eastAsia"/>
                <w:bCs/>
                <w:sz w:val="24"/>
                <w:highlight w:val="none"/>
                <w:lang w:val="en-US" w:eastAsia="zh-CN"/>
              </w:rPr>
              <w:t>1</w:t>
            </w:r>
            <w:r>
              <w:rPr>
                <w:bCs/>
                <w:sz w:val="24"/>
                <w:highlight w:val="none"/>
              </w:rPr>
              <w:t>类标准要求；</w:t>
            </w:r>
          </w:p>
          <w:p>
            <w:pPr>
              <w:keepLines w:val="0"/>
              <w:pageBreakBefore w:val="0"/>
              <w:widowControl/>
              <w:wordWrap/>
              <w:topLinePunct w:val="0"/>
              <w:bidi w:val="0"/>
              <w:jc w:val="center"/>
              <w:outlineLvl w:val="9"/>
              <w:rPr>
                <w:bCs/>
                <w:highlight w:val="none"/>
              </w:rPr>
            </w:pPr>
            <w:r>
              <w:rPr>
                <w:highlight w:val="none"/>
              </w:rPr>
              <w:t xml:space="preserve"> </w:t>
            </w:r>
            <w:r>
              <w:rPr>
                <w:highlight w:val="none"/>
              </w:rPr>
              <w:drawing>
                <wp:inline distT="0" distB="0" distL="114300" distR="114300">
                  <wp:extent cx="5514975" cy="3890645"/>
                  <wp:effectExtent l="9525" t="9525" r="19050" b="24130"/>
                  <wp:docPr id="5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2"/>
                          <pic:cNvPicPr>
                            <a:picLocks noChangeAspect="1"/>
                          </pic:cNvPicPr>
                        </pic:nvPicPr>
                        <pic:blipFill>
                          <a:blip r:embed="rId23"/>
                          <a:stretch>
                            <a:fillRect/>
                          </a:stretch>
                        </pic:blipFill>
                        <pic:spPr>
                          <a:xfrm>
                            <a:off x="0" y="0"/>
                            <a:ext cx="5514975" cy="3890645"/>
                          </a:xfrm>
                          <a:prstGeom prst="rect">
                            <a:avLst/>
                          </a:prstGeom>
                          <a:noFill/>
                          <a:ln>
                            <a:solidFill>
                              <a:schemeClr val="tx1"/>
                            </a:solidFill>
                          </a:ln>
                        </pic:spPr>
                      </pic:pic>
                    </a:graphicData>
                  </a:graphic>
                </wp:inline>
              </w:drawing>
            </w:r>
          </w:p>
          <w:p>
            <w:pPr>
              <w:keepLines w:val="0"/>
              <w:pageBreakBefore w:val="0"/>
              <w:wordWrap/>
              <w:topLinePunct w:val="0"/>
              <w:bidi w:val="0"/>
              <w:spacing w:before="120" w:beforeLines="50" w:line="360" w:lineRule="auto"/>
              <w:jc w:val="center"/>
              <w:outlineLvl w:val="9"/>
              <w:rPr>
                <w:b/>
                <w:highlight w:val="none"/>
              </w:rPr>
            </w:pPr>
            <w:r>
              <w:rPr>
                <w:b/>
                <w:highlight w:val="none"/>
              </w:rPr>
              <w:t>图4-1  噪声影响预测图</w:t>
            </w:r>
          </w:p>
          <w:p>
            <w:pPr>
              <w:keepLines w:val="0"/>
              <w:pageBreakBefore w:val="0"/>
              <w:wordWrap/>
              <w:topLinePunct w:val="0"/>
              <w:bidi w:val="0"/>
              <w:spacing w:line="360" w:lineRule="auto"/>
              <w:ind w:firstLine="448"/>
              <w:outlineLvl w:val="9"/>
              <w:rPr>
                <w:spacing w:val="-8"/>
                <w:sz w:val="24"/>
                <w:highlight w:val="none"/>
              </w:rPr>
            </w:pPr>
            <w:r>
              <w:rPr>
                <w:spacing w:val="-8"/>
                <w:sz w:val="24"/>
                <w:highlight w:val="none"/>
              </w:rPr>
              <w:t>（3）噪声影响评价结论</w:t>
            </w:r>
          </w:p>
          <w:p>
            <w:pPr>
              <w:keepLines w:val="0"/>
              <w:pageBreakBefore w:val="0"/>
              <w:wordWrap/>
              <w:topLinePunct w:val="0"/>
              <w:bidi w:val="0"/>
              <w:spacing w:line="360" w:lineRule="auto"/>
              <w:ind w:firstLine="448"/>
              <w:outlineLvl w:val="9"/>
              <w:rPr>
                <w:spacing w:val="-8"/>
                <w:sz w:val="24"/>
                <w:highlight w:val="none"/>
              </w:rPr>
            </w:pPr>
            <w:r>
              <w:rPr>
                <w:spacing w:val="-8"/>
                <w:sz w:val="24"/>
                <w:highlight w:val="none"/>
              </w:rPr>
              <w:t>根据预测可知，在采取相应的隔声减</w:t>
            </w:r>
            <w:r>
              <w:rPr>
                <w:rFonts w:hint="eastAsia"/>
                <w:spacing w:val="-8"/>
                <w:sz w:val="24"/>
                <w:highlight w:val="none"/>
              </w:rPr>
              <w:t>振</w:t>
            </w:r>
            <w:r>
              <w:rPr>
                <w:spacing w:val="-8"/>
                <w:sz w:val="24"/>
                <w:highlight w:val="none"/>
              </w:rPr>
              <w:t>措施后，本项目运营时</w:t>
            </w:r>
            <w:r>
              <w:rPr>
                <w:rFonts w:hint="eastAsia"/>
                <w:spacing w:val="-8"/>
                <w:sz w:val="24"/>
                <w:highlight w:val="none"/>
              </w:rPr>
              <w:t>厂界</w:t>
            </w:r>
            <w:r>
              <w:rPr>
                <w:spacing w:val="-8"/>
                <w:sz w:val="24"/>
                <w:highlight w:val="none"/>
              </w:rPr>
              <w:t>噪声排放均满足《工业企业厂界噪声排放标准》中的（GB12348-2008）</w:t>
            </w:r>
            <w:r>
              <w:rPr>
                <w:rFonts w:hint="eastAsia"/>
                <w:spacing w:val="-8"/>
                <w:sz w:val="24"/>
                <w:highlight w:val="none"/>
                <w:lang w:val="en-US" w:eastAsia="zh-CN"/>
              </w:rPr>
              <w:t>1</w:t>
            </w:r>
            <w:r>
              <w:rPr>
                <w:spacing w:val="-8"/>
                <w:sz w:val="24"/>
                <w:highlight w:val="none"/>
              </w:rPr>
              <w:t>类标准</w:t>
            </w:r>
            <w:r>
              <w:rPr>
                <w:rFonts w:hint="eastAsia"/>
                <w:spacing w:val="-8"/>
                <w:sz w:val="24"/>
                <w:highlight w:val="none"/>
              </w:rPr>
              <w:t>，敏感目标处噪声满足</w:t>
            </w:r>
            <w:r>
              <w:rPr>
                <w:sz w:val="24"/>
                <w:highlight w:val="none"/>
              </w:rPr>
              <w:t>《声环境质量标准》（GB3096-2008）</w:t>
            </w:r>
            <w:r>
              <w:rPr>
                <w:rFonts w:hint="eastAsia"/>
                <w:sz w:val="24"/>
                <w:highlight w:val="none"/>
                <w:lang w:val="en-US" w:eastAsia="zh-CN"/>
              </w:rPr>
              <w:t>1</w:t>
            </w:r>
            <w:r>
              <w:rPr>
                <w:sz w:val="24"/>
                <w:highlight w:val="none"/>
              </w:rPr>
              <w:t>类标准要求</w:t>
            </w:r>
            <w:r>
              <w:rPr>
                <w:spacing w:val="-8"/>
                <w:sz w:val="24"/>
                <w:highlight w:val="none"/>
              </w:rPr>
              <w:t>；因此，在采取相应措施后，本项目的建设对周围声环境产生影响较小。</w:t>
            </w:r>
          </w:p>
          <w:p>
            <w:pPr>
              <w:keepLines w:val="0"/>
              <w:pageBreakBefore w:val="0"/>
              <w:wordWrap/>
              <w:topLinePunct w:val="0"/>
              <w:bidi w:val="0"/>
              <w:spacing w:line="360" w:lineRule="auto"/>
              <w:ind w:firstLine="448"/>
              <w:outlineLvl w:val="9"/>
              <w:rPr>
                <w:spacing w:val="-8"/>
                <w:sz w:val="24"/>
                <w:highlight w:val="none"/>
              </w:rPr>
            </w:pPr>
            <w:r>
              <w:rPr>
                <w:spacing w:val="-8"/>
                <w:sz w:val="24"/>
                <w:highlight w:val="none"/>
              </w:rPr>
              <w:t>本工程选用低噪声设备，采用隔声、减振等措施，本项目经减振、隔声处理等降噪措施后，本项目厂界处昼间噪声可满足《工业企业厂界环境噪声排放标准》（GB12348-2008）表1中</w:t>
            </w:r>
            <w:r>
              <w:rPr>
                <w:rFonts w:hint="eastAsia"/>
                <w:spacing w:val="-8"/>
                <w:sz w:val="24"/>
                <w:highlight w:val="none"/>
                <w:lang w:val="en-US" w:eastAsia="zh-CN"/>
              </w:rPr>
              <w:t>1</w:t>
            </w:r>
            <w:r>
              <w:rPr>
                <w:spacing w:val="-8"/>
                <w:sz w:val="24"/>
                <w:highlight w:val="none"/>
              </w:rPr>
              <w:t>类标准。</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（3）污染防治措施及环境影响分析</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针对本项目噪声源的特点，本次评价提出以下措施：</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①选用低噪声设备：在满足项目生产工艺的前提下选择低噪声设备，并加装减振垫，从源头上降低噪声。</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②合理布局：在满足生产的前提下综合考虑，设备布置时考虑声源方向性和车间噪声强弱等因素，进行合理布局，进一步降低厂界噪声，将设备安置在设备间内及远离厂界的位置，充分利用院内建筑物的隔声作用，减轻各类声源对周围环境的影响。</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③加强设备的维护，确保设备处于良好的运转状态，杜绝因设备不正常运转时产生的高噪声现象。</w:t>
            </w:r>
          </w:p>
          <w:p>
            <w:pPr>
              <w:pStyle w:val="109"/>
              <w:keepLines w:val="0"/>
              <w:pageBreakBefore w:val="0"/>
              <w:wordWrap/>
              <w:topLinePunct w:val="0"/>
              <w:bidi w:val="0"/>
              <w:spacing w:line="360" w:lineRule="auto"/>
              <w:ind w:firstLine="480"/>
              <w:outlineLvl w:val="9"/>
              <w:rPr>
                <w:highlight w:val="none"/>
              </w:rPr>
            </w:pPr>
            <w:r>
              <w:rPr>
                <w:rFonts w:hint="eastAsia"/>
                <w:highlight w:val="none"/>
              </w:rPr>
              <w:t>④对高噪声设备加装减振基础。</w:t>
            </w:r>
          </w:p>
          <w:p>
            <w:pPr>
              <w:keepLines w:val="0"/>
              <w:pageBreakBefore w:val="0"/>
              <w:wordWrap/>
              <w:topLinePunct w:val="0"/>
              <w:bidi w:val="0"/>
              <w:adjustRightInd w:val="0"/>
              <w:snapToGrid w:val="0"/>
              <w:spacing w:line="360" w:lineRule="auto"/>
              <w:ind w:firstLine="480" w:firstLineChars="200"/>
              <w:textAlignment w:val="center"/>
              <w:outlineLvl w:val="9"/>
              <w:rPr>
                <w:sz w:val="24"/>
                <w:highlight w:val="none"/>
              </w:rPr>
            </w:pPr>
            <w:r>
              <w:rPr>
                <w:sz w:val="24"/>
                <w:highlight w:val="none"/>
              </w:rPr>
              <w:t>本项目各生产设备均位于生产车间内，采取减振、消声、隔声等措施，再经距离衰减后可使厂界噪声值满足《工业企业厂界环境噪声排放标准》（GB12348-2008）表1中</w:t>
            </w:r>
            <w:r>
              <w:rPr>
                <w:rFonts w:hint="eastAsia"/>
                <w:sz w:val="24"/>
                <w:highlight w:val="none"/>
                <w:lang w:val="en-US" w:eastAsia="zh-CN"/>
              </w:rPr>
              <w:t>1</w:t>
            </w:r>
            <w:r>
              <w:rPr>
                <w:sz w:val="24"/>
                <w:highlight w:val="none"/>
              </w:rPr>
              <w:t>类标准，</w:t>
            </w:r>
            <w:r>
              <w:rPr>
                <w:snapToGrid w:val="0"/>
                <w:kern w:val="0"/>
                <w:sz w:val="24"/>
                <w:highlight w:val="none"/>
              </w:rPr>
              <w:t>敏感目标处声环境质量满足《声环境质量标准》（GB3096-2008）中</w:t>
            </w:r>
            <w:r>
              <w:rPr>
                <w:rFonts w:hint="eastAsia"/>
                <w:snapToGrid w:val="0"/>
                <w:kern w:val="0"/>
                <w:sz w:val="24"/>
                <w:highlight w:val="none"/>
                <w:lang w:val="en-US" w:eastAsia="zh-CN"/>
              </w:rPr>
              <w:t>1</w:t>
            </w:r>
            <w:r>
              <w:rPr>
                <w:snapToGrid w:val="0"/>
                <w:kern w:val="0"/>
                <w:sz w:val="24"/>
                <w:highlight w:val="none"/>
              </w:rPr>
              <w:t>类标准。</w:t>
            </w:r>
            <w:r>
              <w:rPr>
                <w:sz w:val="24"/>
                <w:highlight w:val="none"/>
              </w:rPr>
              <w:t>同时运营期落实好报告中提出的监测要求，发现超标及时采取降噪措施，保证厂界噪声达标排放，对周围声环境影响较小</w:t>
            </w:r>
          </w:p>
          <w:p>
            <w:pPr>
              <w:keepLines w:val="0"/>
              <w:pageBreakBefore w:val="0"/>
              <w:wordWrap/>
              <w:topLinePunct w:val="0"/>
              <w:bidi w:val="0"/>
              <w:spacing w:line="360" w:lineRule="auto"/>
              <w:ind w:firstLine="480" w:firstLineChars="200"/>
              <w:outlineLvl w:val="9"/>
              <w:rPr>
                <w:sz w:val="24"/>
                <w:highlight w:val="none"/>
              </w:rPr>
            </w:pPr>
            <w:r>
              <w:rPr>
                <w:rFonts w:hint="eastAsia"/>
                <w:sz w:val="24"/>
                <w:highlight w:val="none"/>
              </w:rPr>
              <w:t>（4）监测计划</w:t>
            </w:r>
          </w:p>
          <w:p>
            <w:pPr>
              <w:pStyle w:val="109"/>
              <w:keepLines w:val="0"/>
              <w:pageBreakBefore w:val="0"/>
              <w:wordWrap/>
              <w:topLinePunct w:val="0"/>
              <w:bidi w:val="0"/>
              <w:spacing w:line="360" w:lineRule="auto"/>
              <w:ind w:firstLine="480"/>
              <w:outlineLvl w:val="9"/>
              <w:rPr>
                <w:highlight w:val="none"/>
              </w:rPr>
            </w:pPr>
            <w:r>
              <w:rPr>
                <w:bCs/>
                <w:kern w:val="0"/>
                <w:highlight w:val="none"/>
              </w:rPr>
              <w:t>依据《排污单位自行监测技术指南 总则》（HJ819-2017）要求，确定本项目</w:t>
            </w:r>
            <w:r>
              <w:rPr>
                <w:rFonts w:hint="eastAsia"/>
                <w:bCs/>
                <w:kern w:val="0"/>
                <w:highlight w:val="none"/>
              </w:rPr>
              <w:t>噪声</w:t>
            </w:r>
            <w:r>
              <w:rPr>
                <w:bCs/>
                <w:kern w:val="0"/>
                <w:highlight w:val="none"/>
              </w:rPr>
              <w:t>监测计划，具体</w:t>
            </w:r>
            <w:r>
              <w:rPr>
                <w:kern w:val="0"/>
                <w:highlight w:val="none"/>
              </w:rPr>
              <w:t>见下表</w:t>
            </w:r>
            <w:r>
              <w:rPr>
                <w:rFonts w:hint="eastAsia"/>
                <w:highlight w:val="none"/>
              </w:rPr>
              <w:t>。</w:t>
            </w:r>
          </w:p>
          <w:p>
            <w:pPr>
              <w:pStyle w:val="76"/>
              <w:keepLines w:val="0"/>
              <w:pageBreakBefore w:val="0"/>
              <w:wordWrap/>
              <w:topLinePunct w:val="0"/>
              <w:bidi w:val="0"/>
              <w:spacing w:before="0" w:after="0"/>
              <w:outlineLvl w:val="9"/>
              <w:rPr>
                <w:rFonts w:ascii="Times New Roman" w:hAnsi="Times New Roman" w:eastAsia="宋体"/>
                <w:sz w:val="21"/>
                <w:szCs w:val="21"/>
                <w:highlight w:val="none"/>
              </w:rPr>
            </w:pPr>
            <w:bookmarkStart w:id="184" w:name="_Toc30681"/>
            <w:bookmarkStart w:id="185" w:name="_Toc23676"/>
            <w:bookmarkStart w:id="186" w:name="_Toc4783"/>
            <w:bookmarkStart w:id="187" w:name="_Toc7432"/>
            <w:bookmarkStart w:id="188" w:name="_Toc3038"/>
            <w:bookmarkStart w:id="189" w:name="_Toc27860"/>
            <w:bookmarkStart w:id="190" w:name="_Toc28829"/>
            <w:bookmarkStart w:id="191" w:name="_Toc19981"/>
            <w:bookmarkStart w:id="192" w:name="_Toc15912"/>
            <w:bookmarkStart w:id="193" w:name="_Toc432"/>
            <w:bookmarkStart w:id="194" w:name="_Toc5046"/>
            <w:r>
              <w:rPr>
                <w:rFonts w:ascii="Times New Roman" w:hAnsi="Times New Roman" w:eastAsia="宋体"/>
                <w:sz w:val="21"/>
                <w:szCs w:val="21"/>
                <w:highlight w:val="none"/>
              </w:rPr>
              <w:t>表4-</w:t>
            </w:r>
            <w:r>
              <w:rPr>
                <w:rFonts w:hint="eastAsia" w:ascii="Times New Roman" w:hAnsi="Times New Roman" w:eastAsia="宋体"/>
                <w:sz w:val="21"/>
                <w:szCs w:val="21"/>
                <w:highlight w:val="none"/>
              </w:rPr>
              <w:t>14</w:t>
            </w:r>
            <w:r>
              <w:rPr>
                <w:rFonts w:ascii="Times New Roman" w:hAnsi="Times New Roman" w:eastAsia="宋体"/>
                <w:sz w:val="21"/>
                <w:szCs w:val="21"/>
                <w:highlight w:val="none"/>
              </w:rPr>
              <w:t>噪声监测要求一览表</w:t>
            </w:r>
            <w:bookmarkEnd w:id="184"/>
            <w:bookmarkEnd w:id="185"/>
            <w:bookmarkEnd w:id="186"/>
            <w:bookmarkEnd w:id="187"/>
            <w:bookmarkEnd w:id="188"/>
            <w:bookmarkEnd w:id="189"/>
            <w:bookmarkEnd w:id="190"/>
            <w:bookmarkEnd w:id="191"/>
            <w:bookmarkEnd w:id="192"/>
            <w:bookmarkEnd w:id="193"/>
            <w:bookmarkEnd w:id="194"/>
          </w:p>
          <w:tbl>
            <w:tblPr>
              <w:tblStyle w:val="29"/>
              <w:tblW w:w="878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108" w:type="dxa"/>
                <w:bottom w:w="0" w:type="dxa"/>
                <w:right w:w="108" w:type="dxa"/>
              </w:tblCellMar>
            </w:tblPr>
            <w:tblGrid>
              <w:gridCol w:w="2093"/>
              <w:gridCol w:w="3392"/>
              <w:gridCol w:w="3302"/>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91" w:type="pct"/>
                  <w:tcBorders>
                    <w:tl2br w:val="nil"/>
                    <w:tr2bl w:val="nil"/>
                  </w:tcBorders>
                  <w:vAlign w:val="center"/>
                </w:tcPr>
                <w:p>
                  <w:pPr>
                    <w:keepLines w:val="0"/>
                    <w:pageBreakBefore w:val="0"/>
                    <w:wordWrap/>
                    <w:topLinePunct w:val="0"/>
                    <w:bidi w:val="0"/>
                    <w:jc w:val="center"/>
                    <w:outlineLvl w:val="9"/>
                    <w:rPr>
                      <w:szCs w:val="21"/>
                      <w:highlight w:val="none"/>
                    </w:rPr>
                  </w:pPr>
                  <w:r>
                    <w:rPr>
                      <w:szCs w:val="21"/>
                      <w:highlight w:val="none"/>
                    </w:rPr>
                    <w:t>监测因子</w:t>
                  </w:r>
                </w:p>
              </w:tc>
              <w:tc>
                <w:tcPr>
                  <w:tcW w:w="1929" w:type="pct"/>
                  <w:tcBorders>
                    <w:tl2br w:val="nil"/>
                    <w:tr2bl w:val="nil"/>
                  </w:tcBorders>
                  <w:vAlign w:val="center"/>
                </w:tcPr>
                <w:p>
                  <w:pPr>
                    <w:keepLines w:val="0"/>
                    <w:pageBreakBefore w:val="0"/>
                    <w:wordWrap/>
                    <w:topLinePunct w:val="0"/>
                    <w:bidi w:val="0"/>
                    <w:jc w:val="center"/>
                    <w:outlineLvl w:val="9"/>
                    <w:rPr>
                      <w:szCs w:val="21"/>
                      <w:highlight w:val="none"/>
                    </w:rPr>
                  </w:pPr>
                  <w:r>
                    <w:rPr>
                      <w:szCs w:val="21"/>
                      <w:highlight w:val="none"/>
                    </w:rPr>
                    <w:t>监测点位</w:t>
                  </w:r>
                </w:p>
              </w:tc>
              <w:tc>
                <w:tcPr>
                  <w:tcW w:w="1878" w:type="pct"/>
                  <w:tcBorders>
                    <w:tl2br w:val="nil"/>
                    <w:tr2bl w:val="nil"/>
                  </w:tcBorders>
                  <w:vAlign w:val="center"/>
                </w:tcPr>
                <w:p>
                  <w:pPr>
                    <w:keepLines w:val="0"/>
                    <w:pageBreakBefore w:val="0"/>
                    <w:wordWrap/>
                    <w:topLinePunct w:val="0"/>
                    <w:bidi w:val="0"/>
                    <w:jc w:val="center"/>
                    <w:outlineLvl w:val="9"/>
                    <w:rPr>
                      <w:szCs w:val="21"/>
                      <w:highlight w:val="none"/>
                    </w:rPr>
                  </w:pPr>
                  <w:r>
                    <w:rPr>
                      <w:szCs w:val="21"/>
                      <w:highlight w:val="none"/>
                    </w:rPr>
                    <w:t>监测频次</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91" w:type="pct"/>
                  <w:tcBorders>
                    <w:tl2br w:val="nil"/>
                    <w:tr2bl w:val="nil"/>
                  </w:tcBorders>
                  <w:vAlign w:val="center"/>
                </w:tcPr>
                <w:p>
                  <w:pPr>
                    <w:keepLines w:val="0"/>
                    <w:pageBreakBefore w:val="0"/>
                    <w:wordWrap/>
                    <w:topLinePunct w:val="0"/>
                    <w:bidi w:val="0"/>
                    <w:jc w:val="center"/>
                    <w:outlineLvl w:val="9"/>
                    <w:rPr>
                      <w:szCs w:val="21"/>
                      <w:highlight w:val="none"/>
                    </w:rPr>
                  </w:pPr>
                  <w:r>
                    <w:rPr>
                      <w:rFonts w:hint="eastAsia"/>
                      <w:szCs w:val="21"/>
                      <w:highlight w:val="none"/>
                    </w:rPr>
                    <w:t>等效连续A声级</w:t>
                  </w:r>
                </w:p>
              </w:tc>
              <w:tc>
                <w:tcPr>
                  <w:tcW w:w="1929" w:type="pct"/>
                  <w:tcBorders>
                    <w:tl2br w:val="nil"/>
                    <w:tr2bl w:val="nil"/>
                  </w:tcBorders>
                  <w:vAlign w:val="center"/>
                </w:tcPr>
                <w:p>
                  <w:pPr>
                    <w:keepLines w:val="0"/>
                    <w:pageBreakBefore w:val="0"/>
                    <w:wordWrap/>
                    <w:topLinePunct w:val="0"/>
                    <w:bidi w:val="0"/>
                    <w:jc w:val="center"/>
                    <w:outlineLvl w:val="9"/>
                    <w:rPr>
                      <w:szCs w:val="21"/>
                      <w:highlight w:val="none"/>
                    </w:rPr>
                  </w:pPr>
                  <w:r>
                    <w:rPr>
                      <w:szCs w:val="21"/>
                      <w:highlight w:val="none"/>
                    </w:rPr>
                    <w:t>厂界四周</w:t>
                  </w:r>
                  <w:r>
                    <w:rPr>
                      <w:rFonts w:hint="eastAsia"/>
                      <w:szCs w:val="21"/>
                      <w:highlight w:val="none"/>
                    </w:rPr>
                    <w:t>及敏感目标处</w:t>
                  </w:r>
                </w:p>
              </w:tc>
              <w:tc>
                <w:tcPr>
                  <w:tcW w:w="1878" w:type="pct"/>
                  <w:tcBorders>
                    <w:tl2br w:val="nil"/>
                    <w:tr2bl w:val="nil"/>
                  </w:tcBorders>
                  <w:vAlign w:val="center"/>
                </w:tcPr>
                <w:p>
                  <w:pPr>
                    <w:keepLines w:val="0"/>
                    <w:pageBreakBefore w:val="0"/>
                    <w:wordWrap/>
                    <w:topLinePunct w:val="0"/>
                    <w:bidi w:val="0"/>
                    <w:jc w:val="center"/>
                    <w:outlineLvl w:val="9"/>
                    <w:rPr>
                      <w:szCs w:val="21"/>
                      <w:highlight w:val="none"/>
                    </w:rPr>
                  </w:pPr>
                  <w:r>
                    <w:rPr>
                      <w:szCs w:val="21"/>
                      <w:highlight w:val="none"/>
                    </w:rPr>
                    <w:t>每季一次</w:t>
                  </w:r>
                </w:p>
              </w:tc>
            </w:tr>
          </w:tbl>
          <w:p>
            <w:pPr>
              <w:keepLines w:val="0"/>
              <w:pageBreakBefore w:val="0"/>
              <w:wordWrap/>
              <w:topLinePunct w:val="0"/>
              <w:bidi w:val="0"/>
              <w:spacing w:line="360" w:lineRule="auto"/>
              <w:jc w:val="left"/>
              <w:outlineLvl w:val="9"/>
              <w:rPr>
                <w:b/>
                <w:sz w:val="24"/>
                <w:highlight w:val="none"/>
              </w:rPr>
            </w:pPr>
            <w:r>
              <w:rPr>
                <w:b/>
                <w:sz w:val="24"/>
                <w:highlight w:val="none"/>
              </w:rPr>
              <w:t>四、固体废物</w:t>
            </w:r>
          </w:p>
          <w:p>
            <w:pPr>
              <w:pStyle w:val="72"/>
              <w:keepLines w:val="0"/>
              <w:pageBreakBefore w:val="0"/>
              <w:wordWrap/>
              <w:topLinePunct w:val="0"/>
              <w:bidi w:val="0"/>
              <w:spacing w:line="360" w:lineRule="auto"/>
              <w:ind w:firstLineChars="200"/>
              <w:outlineLvl w:val="9"/>
              <w:rPr>
                <w:highlight w:val="none"/>
              </w:rPr>
            </w:pPr>
            <w:r>
              <w:rPr>
                <w:highlight w:val="none"/>
              </w:rPr>
              <w:t>本项目产生的固体废物主要为</w:t>
            </w:r>
            <w:r>
              <w:rPr>
                <w:rFonts w:hint="eastAsia"/>
                <w:szCs w:val="28"/>
                <w:highlight w:val="none"/>
              </w:rPr>
              <w:t>废弃包装、</w:t>
            </w:r>
            <w:r>
              <w:rPr>
                <w:kern w:val="0"/>
                <w:highlight w:val="none"/>
              </w:rPr>
              <w:t>锅炉灰渣</w:t>
            </w:r>
            <w:r>
              <w:rPr>
                <w:rFonts w:hint="eastAsia"/>
                <w:kern w:val="0"/>
                <w:highlight w:val="none"/>
              </w:rPr>
              <w:t>、布袋除尘器收尘</w:t>
            </w:r>
            <w:r>
              <w:rPr>
                <w:szCs w:val="28"/>
                <w:highlight w:val="none"/>
              </w:rPr>
              <w:t>及员工产生的生活垃圾</w:t>
            </w:r>
            <w:r>
              <w:rPr>
                <w:highlight w:val="none"/>
              </w:rPr>
              <w:t>、废布袋、废离子交换树脂。</w:t>
            </w:r>
          </w:p>
          <w:p>
            <w:pPr>
              <w:pStyle w:val="7"/>
              <w:keepLines w:val="0"/>
              <w:pageBreakBefore w:val="0"/>
              <w:wordWrap/>
              <w:topLinePunct w:val="0"/>
              <w:bidi w:val="0"/>
              <w:spacing w:line="360" w:lineRule="auto"/>
              <w:ind w:firstLine="480" w:firstLineChars="200"/>
              <w:outlineLvl w:val="9"/>
              <w:rPr>
                <w:bCs/>
                <w:szCs w:val="24"/>
                <w:highlight w:val="none"/>
              </w:rPr>
            </w:pPr>
            <w:r>
              <w:rPr>
                <w:rFonts w:hint="eastAsia"/>
                <w:bCs/>
                <w:szCs w:val="24"/>
                <w:highlight w:val="none"/>
              </w:rPr>
              <w:t>1、废弃包装</w:t>
            </w:r>
          </w:p>
          <w:p>
            <w:pPr>
              <w:pStyle w:val="7"/>
              <w:keepLines w:val="0"/>
              <w:pageBreakBefore w:val="0"/>
              <w:wordWrap/>
              <w:topLinePunct w:val="0"/>
              <w:bidi w:val="0"/>
              <w:spacing w:line="360" w:lineRule="auto"/>
              <w:ind w:firstLine="480" w:firstLineChars="200"/>
              <w:outlineLvl w:val="9"/>
              <w:rPr>
                <w:bCs/>
                <w:szCs w:val="24"/>
                <w:highlight w:val="none"/>
              </w:rPr>
            </w:pPr>
            <w:r>
              <w:rPr>
                <w:rFonts w:hint="eastAsia"/>
                <w:bCs/>
                <w:szCs w:val="24"/>
                <w:highlight w:val="none"/>
              </w:rPr>
              <w:t>生产过程中，产生一定量的废弃包装，根据项目单位提供资料，废弃包装产生量约为0.4t/a，</w:t>
            </w:r>
            <w:r>
              <w:rPr>
                <w:rFonts w:hint="eastAsia"/>
                <w:highlight w:val="none"/>
              </w:rPr>
              <w:t>废弃包装为一般工业固体废物</w:t>
            </w:r>
            <w:r>
              <w:rPr>
                <w:rFonts w:hint="eastAsia"/>
                <w:szCs w:val="24"/>
                <w:highlight w:val="none"/>
              </w:rPr>
              <w:t>（类别：方便食品制造，代码：143-002-39）</w:t>
            </w:r>
            <w:r>
              <w:rPr>
                <w:rFonts w:hint="eastAsia"/>
                <w:highlight w:val="none"/>
              </w:rPr>
              <w:t>，</w:t>
            </w:r>
            <w:r>
              <w:rPr>
                <w:rFonts w:hint="eastAsia"/>
                <w:bCs/>
                <w:szCs w:val="24"/>
                <w:highlight w:val="none"/>
              </w:rPr>
              <w:t>统一收集，外售综合利用。</w:t>
            </w:r>
          </w:p>
          <w:p>
            <w:pPr>
              <w:keepLines w:val="0"/>
              <w:pageBreakBefore w:val="0"/>
              <w:wordWrap/>
              <w:topLinePunct w:val="0"/>
              <w:bidi w:val="0"/>
              <w:spacing w:line="360" w:lineRule="auto"/>
              <w:ind w:firstLine="480" w:firstLineChars="200"/>
              <w:outlineLvl w:val="9"/>
              <w:rPr>
                <w:sz w:val="24"/>
                <w:highlight w:val="none"/>
              </w:rPr>
            </w:pPr>
            <w:r>
              <w:rPr>
                <w:rFonts w:hint="eastAsia"/>
                <w:bCs/>
                <w:sz w:val="24"/>
                <w:highlight w:val="none"/>
              </w:rPr>
              <w:t>2</w:t>
            </w:r>
            <w:r>
              <w:rPr>
                <w:bCs/>
                <w:sz w:val="24"/>
                <w:highlight w:val="none"/>
              </w:rPr>
              <w:t>、生活垃圾</w:t>
            </w:r>
          </w:p>
          <w:p>
            <w:pPr>
              <w:pStyle w:val="7"/>
              <w:keepLines w:val="0"/>
              <w:pageBreakBefore w:val="0"/>
              <w:wordWrap/>
              <w:topLinePunct w:val="0"/>
              <w:bidi w:val="0"/>
              <w:spacing w:line="360" w:lineRule="auto"/>
              <w:ind w:firstLine="480" w:firstLineChars="200"/>
              <w:outlineLvl w:val="9"/>
              <w:rPr>
                <w:szCs w:val="24"/>
                <w:highlight w:val="none"/>
              </w:rPr>
            </w:pPr>
            <w:r>
              <w:rPr>
                <w:szCs w:val="24"/>
                <w:highlight w:val="none"/>
              </w:rPr>
              <w:t>本项目员工人数约</w:t>
            </w:r>
            <w:r>
              <w:rPr>
                <w:rFonts w:hint="eastAsia"/>
                <w:szCs w:val="24"/>
                <w:highlight w:val="none"/>
              </w:rPr>
              <w:t>15</w:t>
            </w:r>
            <w:r>
              <w:rPr>
                <w:szCs w:val="24"/>
                <w:highlight w:val="none"/>
              </w:rPr>
              <w:t>人，年工作</w:t>
            </w:r>
            <w:r>
              <w:rPr>
                <w:rFonts w:hint="eastAsia"/>
                <w:szCs w:val="24"/>
                <w:highlight w:val="none"/>
              </w:rPr>
              <w:t>120</w:t>
            </w:r>
            <w:r>
              <w:rPr>
                <w:szCs w:val="24"/>
                <w:highlight w:val="none"/>
              </w:rPr>
              <w:t>天，工作人员生活垃圾排放量按0.5kg/人•d计，则生活垃圾排放量为0.</w:t>
            </w:r>
            <w:r>
              <w:rPr>
                <w:rFonts w:hint="eastAsia"/>
                <w:szCs w:val="24"/>
                <w:highlight w:val="none"/>
              </w:rPr>
              <w:t>9</w:t>
            </w:r>
            <w:r>
              <w:rPr>
                <w:szCs w:val="24"/>
                <w:highlight w:val="none"/>
              </w:rPr>
              <w:t>t/a，</w:t>
            </w:r>
            <w:r>
              <w:rPr>
                <w:rFonts w:hint="eastAsia"/>
                <w:szCs w:val="24"/>
                <w:highlight w:val="none"/>
              </w:rPr>
              <w:t>集中收集</w:t>
            </w:r>
            <w:r>
              <w:rPr>
                <w:szCs w:val="24"/>
                <w:highlight w:val="none"/>
              </w:rPr>
              <w:t>，</w:t>
            </w:r>
            <w:r>
              <w:rPr>
                <w:rFonts w:hint="eastAsia"/>
                <w:bCs/>
                <w:highlight w:val="none"/>
              </w:rPr>
              <w:t>定期运送至生活垃圾填埋场</w:t>
            </w:r>
            <w:r>
              <w:rPr>
                <w:szCs w:val="24"/>
                <w:highlight w:val="none"/>
              </w:rPr>
              <w:t>。。</w:t>
            </w:r>
          </w:p>
          <w:p>
            <w:pPr>
              <w:keepLines w:val="0"/>
              <w:pageBreakBefore w:val="0"/>
              <w:wordWrap/>
              <w:topLinePunct w:val="0"/>
              <w:bidi w:val="0"/>
              <w:adjustRightInd w:val="0"/>
              <w:snapToGrid w:val="0"/>
              <w:spacing w:line="360" w:lineRule="auto"/>
              <w:ind w:firstLine="480" w:firstLineChars="200"/>
              <w:outlineLvl w:val="9"/>
              <w:rPr>
                <w:kern w:val="0"/>
                <w:sz w:val="24"/>
                <w:highlight w:val="none"/>
              </w:rPr>
            </w:pPr>
            <w:r>
              <w:rPr>
                <w:rFonts w:hint="eastAsia"/>
                <w:kern w:val="0"/>
                <w:sz w:val="24"/>
                <w:highlight w:val="none"/>
              </w:rPr>
              <w:t>3</w:t>
            </w:r>
            <w:r>
              <w:rPr>
                <w:kern w:val="0"/>
                <w:sz w:val="24"/>
                <w:highlight w:val="none"/>
              </w:rPr>
              <w:t>、锅炉灰渣</w:t>
            </w:r>
          </w:p>
          <w:p>
            <w:pPr>
              <w:keepLines w:val="0"/>
              <w:pageBreakBefore w:val="0"/>
              <w:wordWrap/>
              <w:topLinePunct w:val="0"/>
              <w:bidi w:val="0"/>
              <w:adjustRightInd w:val="0"/>
              <w:snapToGrid w:val="0"/>
              <w:spacing w:line="360" w:lineRule="auto"/>
              <w:ind w:firstLine="480" w:firstLineChars="200"/>
              <w:outlineLvl w:val="9"/>
              <w:rPr>
                <w:kern w:val="0"/>
                <w:sz w:val="24"/>
                <w:highlight w:val="none"/>
              </w:rPr>
            </w:pPr>
            <w:r>
              <w:rPr>
                <w:kern w:val="0"/>
                <w:sz w:val="24"/>
                <w:highlight w:val="none"/>
              </w:rPr>
              <w:t>根据《污染源源强核算技术指南锅炉》（HJ991-2018）中的规定，生物质锅炉灰渣产生量以下式进行计算：</w:t>
            </w:r>
          </w:p>
          <w:p>
            <w:pPr>
              <w:keepLines w:val="0"/>
              <w:pageBreakBefore w:val="0"/>
              <w:wordWrap/>
              <w:topLinePunct w:val="0"/>
              <w:bidi w:val="0"/>
              <w:ind w:firstLine="482"/>
              <w:jc w:val="center"/>
              <w:outlineLvl w:val="9"/>
              <w:rPr>
                <w:b/>
                <w:szCs w:val="28"/>
                <w:highlight w:val="none"/>
              </w:rPr>
            </w:pPr>
            <w:r>
              <w:rPr>
                <w:b/>
                <w:szCs w:val="28"/>
                <w:highlight w:val="none"/>
              </w:rPr>
              <w:object>
                <v:shape id="_x0000_i1026" o:spt="75" type="#_x0000_t75" style="height:31.1pt;width:123.7pt;" o:ole="t" filled="f" o:preferrelative="t" stroked="f" coordsize="21600,21600">
                  <v:path/>
                  <v:fill on="f" focussize="0,0"/>
                  <v:stroke on="f" joinstyle="miter"/>
                  <v:imagedata r:id="rId25" o:title=""/>
                  <o:lock v:ext="edit" aspectratio="t"/>
                  <w10:wrap type="none"/>
                  <w10:anchorlock/>
                </v:shape>
                <o:OLEObject Type="Embed" ProgID="Equation.3" ShapeID="_x0000_i1026" DrawAspect="Content" ObjectID="_1468075726" r:id="rId24">
                  <o:LockedField>false</o:LockedField>
                </o:OLEObject>
              </w:object>
            </w:r>
          </w:p>
          <w:p>
            <w:pPr>
              <w:keepLines w:val="0"/>
              <w:pageBreakBefore w:val="0"/>
              <w:wordWrap/>
              <w:topLinePunct w:val="0"/>
              <w:bidi w:val="0"/>
              <w:spacing w:line="360" w:lineRule="auto"/>
              <w:ind w:firstLine="460" w:firstLineChars="192"/>
              <w:outlineLvl w:val="9"/>
              <w:rPr>
                <w:sz w:val="24"/>
                <w:highlight w:val="none"/>
              </w:rPr>
            </w:pPr>
            <w:r>
              <w:rPr>
                <w:sz w:val="24"/>
                <w:highlight w:val="none"/>
              </w:rPr>
              <w:t>式中：</w:t>
            </w:r>
            <w:r>
              <w:rPr>
                <w:sz w:val="24"/>
                <w:highlight w:val="none"/>
              </w:rPr>
              <w:object>
                <v:shape id="_x0000_i1027" o:spt="75" type="#_x0000_t75" style="height:17.25pt;width:17.25pt;" o:ole="t" filled="f" o:preferrelative="t" stroked="f" coordsize="21600,21600">
                  <v:path/>
                  <v:fill on="f" focussize="0,0"/>
                  <v:stroke on="f" joinstyle="miter"/>
                  <v:imagedata r:id="rId27" o:title=""/>
                  <o:lock v:ext="edit" aspectratio="t"/>
                  <w10:wrap type="none"/>
                  <w10:anchorlock/>
                </v:shape>
                <o:OLEObject Type="Embed" ProgID="Equation.3" ShapeID="_x0000_i1027" DrawAspect="Content" ObjectID="_1468075727" r:id="rId26">
                  <o:LockedField>false</o:LockedField>
                </o:OLEObject>
              </w:object>
            </w:r>
            <w:r>
              <w:rPr>
                <w:sz w:val="24"/>
                <w:highlight w:val="none"/>
              </w:rPr>
              <w:t>——核算时段内灰渣产生量；t</w:t>
            </w:r>
          </w:p>
          <w:p>
            <w:pPr>
              <w:keepLines w:val="0"/>
              <w:pageBreakBefore w:val="0"/>
              <w:wordWrap/>
              <w:topLinePunct w:val="0"/>
              <w:bidi w:val="0"/>
              <w:spacing w:line="360" w:lineRule="auto"/>
              <w:ind w:firstLine="1214" w:firstLineChars="506"/>
              <w:outlineLvl w:val="9"/>
              <w:rPr>
                <w:sz w:val="24"/>
                <w:highlight w:val="none"/>
              </w:rPr>
            </w:pPr>
            <w:r>
              <w:rPr>
                <w:sz w:val="24"/>
                <w:highlight w:val="none"/>
              </w:rPr>
              <w:object>
                <v:shape id="_x0000_i1028" o:spt="75" type="#_x0000_t75" style="height:12.75pt;width:12.75pt;" o:ole="t" filled="f" o:preferrelative="t" stroked="f" coordsize="21600,21600">
                  <v:path/>
                  <v:fill on="f" focussize="0,0"/>
                  <v:stroke on="f" joinstyle="miter"/>
                  <v:imagedata r:id="rId29" o:title=""/>
                  <o:lock v:ext="edit" aspectratio="t"/>
                  <w10:wrap type="none"/>
                  <w10:anchorlock/>
                </v:shape>
                <o:OLEObject Type="Embed" ProgID="Equation.3" ShapeID="_x0000_i1028" DrawAspect="Content" ObjectID="_1468075728" r:id="rId28">
                  <o:LockedField>false</o:LockedField>
                </o:OLEObject>
              </w:object>
            </w:r>
            <w:r>
              <w:rPr>
                <w:sz w:val="24"/>
                <w:highlight w:val="none"/>
              </w:rPr>
              <w:t>——核算时段内，锅炉燃料消耗量，t（</w:t>
            </w:r>
            <w:r>
              <w:rPr>
                <w:rFonts w:hint="eastAsia"/>
                <w:sz w:val="24"/>
                <w:highlight w:val="none"/>
              </w:rPr>
              <w:t>672t</w:t>
            </w:r>
            <w:r>
              <w:rPr>
                <w:sz w:val="24"/>
                <w:highlight w:val="none"/>
              </w:rPr>
              <w:t>/a）</w:t>
            </w:r>
          </w:p>
          <w:p>
            <w:pPr>
              <w:keepLines w:val="0"/>
              <w:pageBreakBefore w:val="0"/>
              <w:wordWrap/>
              <w:topLinePunct w:val="0"/>
              <w:bidi w:val="0"/>
              <w:spacing w:line="360" w:lineRule="auto"/>
              <w:ind w:firstLine="1262" w:firstLineChars="526"/>
              <w:outlineLvl w:val="9"/>
              <w:rPr>
                <w:sz w:val="24"/>
                <w:highlight w:val="none"/>
              </w:rPr>
            </w:pPr>
            <w:r>
              <w:rPr>
                <w:sz w:val="24"/>
                <w:highlight w:val="none"/>
              </w:rPr>
              <w:object>
                <v:shape id="_x0000_i1029" o:spt="75" type="#_x0000_t75" style="height:17.25pt;width:17.25pt;" o:ole="t" filled="f" o:preferrelative="t" stroked="f" coordsize="21600,21600">
                  <v:path/>
                  <v:fill on="f" focussize="0,0"/>
                  <v:stroke on="f" joinstyle="miter"/>
                  <v:imagedata r:id="rId31" o:title=""/>
                  <o:lock v:ext="edit" aspectratio="t"/>
                  <w10:wrap type="none"/>
                  <w10:anchorlock/>
                </v:shape>
                <o:OLEObject Type="Embed" ProgID="Equation.3" ShapeID="_x0000_i1029" DrawAspect="Content" ObjectID="_1468075729" r:id="rId30">
                  <o:LockedField>false</o:LockedField>
                </o:OLEObject>
              </w:object>
            </w:r>
            <w:r>
              <w:rPr>
                <w:sz w:val="24"/>
                <w:highlight w:val="none"/>
              </w:rPr>
              <w:t>——收到基灰分的质量分数，%（6.56%）</w:t>
            </w:r>
          </w:p>
          <w:p>
            <w:pPr>
              <w:keepLines w:val="0"/>
              <w:pageBreakBefore w:val="0"/>
              <w:wordWrap/>
              <w:topLinePunct w:val="0"/>
              <w:bidi w:val="0"/>
              <w:spacing w:line="360" w:lineRule="auto"/>
              <w:ind w:firstLine="1214" w:firstLineChars="506"/>
              <w:outlineLvl w:val="9"/>
              <w:rPr>
                <w:sz w:val="24"/>
                <w:highlight w:val="none"/>
              </w:rPr>
            </w:pPr>
            <w:r>
              <w:rPr>
                <w:sz w:val="24"/>
                <w:highlight w:val="none"/>
              </w:rPr>
              <w:object>
                <v:shape id="_x0000_i1030" o:spt="75" type="#_x0000_t75" style="height:17.25pt;width:13.5pt;" o:ole="t" filled="f" o:preferrelative="t" stroked="f" coordsize="21600,21600">
                  <v:path/>
                  <v:fill on="f" focussize="0,0"/>
                  <v:stroke on="f" joinstyle="miter"/>
                  <v:imagedata r:id="rId33" o:title=""/>
                  <o:lock v:ext="edit" aspectratio="t"/>
                  <w10:wrap type="none"/>
                  <w10:anchorlock/>
                </v:shape>
                <o:OLEObject Type="Embed" ProgID="Equation.3" ShapeID="_x0000_i1030" DrawAspect="Content" ObjectID="_1468075730" r:id="rId32">
                  <o:LockedField>false</o:LockedField>
                </o:OLEObject>
              </w:object>
            </w:r>
            <w:r>
              <w:rPr>
                <w:sz w:val="24"/>
                <w:highlight w:val="none"/>
              </w:rPr>
              <w:t>——锅炉机械不完全燃烧热损失，%（取</w:t>
            </w:r>
            <w:r>
              <w:rPr>
                <w:rFonts w:hint="eastAsia"/>
                <w:sz w:val="24"/>
                <w:highlight w:val="none"/>
              </w:rPr>
              <w:t>7</w:t>
            </w:r>
            <w:r>
              <w:rPr>
                <w:sz w:val="24"/>
                <w:highlight w:val="none"/>
              </w:rPr>
              <w:t>%）</w:t>
            </w:r>
          </w:p>
          <w:p>
            <w:pPr>
              <w:keepLines w:val="0"/>
              <w:pageBreakBefore w:val="0"/>
              <w:wordWrap/>
              <w:topLinePunct w:val="0"/>
              <w:bidi w:val="0"/>
              <w:spacing w:line="360" w:lineRule="auto"/>
              <w:ind w:firstLine="1214" w:firstLineChars="506"/>
              <w:outlineLvl w:val="9"/>
              <w:rPr>
                <w:sz w:val="24"/>
                <w:highlight w:val="none"/>
              </w:rPr>
            </w:pPr>
            <w:r>
              <w:rPr>
                <w:sz w:val="24"/>
                <w:highlight w:val="none"/>
              </w:rPr>
              <w:object>
                <v:shape id="_x0000_i1031" o:spt="75" type="#_x0000_t75" style="height:19.5pt;width:30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r>
              <w:rPr>
                <w:sz w:val="24"/>
                <w:highlight w:val="none"/>
              </w:rPr>
              <w:t>——收到基低位发热量，kJ/kg（16770kJ/kg）</w:t>
            </w:r>
          </w:p>
          <w:p>
            <w:pPr>
              <w:keepLines w:val="0"/>
              <w:pageBreakBefore w:val="0"/>
              <w:wordWrap/>
              <w:topLinePunct w:val="0"/>
              <w:bidi w:val="0"/>
              <w:adjustRightInd w:val="0"/>
              <w:snapToGrid w:val="0"/>
              <w:spacing w:line="360" w:lineRule="auto"/>
              <w:ind w:firstLine="480" w:firstLineChars="200"/>
              <w:outlineLvl w:val="9"/>
              <w:rPr>
                <w:kern w:val="0"/>
                <w:sz w:val="24"/>
                <w:highlight w:val="none"/>
              </w:rPr>
            </w:pPr>
            <w:r>
              <w:rPr>
                <w:kern w:val="0"/>
                <w:sz w:val="24"/>
                <w:highlight w:val="none"/>
              </w:rPr>
              <w:t>根据本项目生物质燃料的检验报告中给出的空气干燥基（ad）灰分、空气干燥基水分（Mad）和收到基水分（Mar）计算得出本项目的收到基（ar）灰分质量分数，公式如下：</w:t>
            </w:r>
          </w:p>
          <w:p>
            <w:pPr>
              <w:keepLines w:val="0"/>
              <w:pageBreakBefore w:val="0"/>
              <w:wordWrap/>
              <w:topLinePunct w:val="0"/>
              <w:bidi w:val="0"/>
              <w:ind w:firstLine="482"/>
              <w:jc w:val="center"/>
              <w:outlineLvl w:val="9"/>
              <w:rPr>
                <w:b/>
                <w:szCs w:val="28"/>
                <w:highlight w:val="none"/>
              </w:rPr>
            </w:pPr>
            <m:oMathPara>
              <m:oMath>
                <m:sSub>
                  <m:sSubPr>
                    <m:ctrlPr>
                      <w:rPr>
                        <w:rFonts w:ascii="Cambria Math" w:hAnsi="Cambria Math"/>
                        <w:b/>
                        <w:szCs w:val="28"/>
                        <w:highlight w:val="none"/>
                      </w:rPr>
                    </m:ctrlPr>
                  </m:sSubPr>
                  <m:e>
                    <m:r>
                      <m:rPr>
                        <m:sty m:val="bi"/>
                      </m:rPr>
                      <w:rPr>
                        <w:rFonts w:ascii="Cambria Math" w:hAnsi="Cambria Math"/>
                        <w:szCs w:val="28"/>
                        <w:highlight w:val="none"/>
                      </w:rPr>
                      <m:t>X</m:t>
                    </m:r>
                    <m:ctrlPr>
                      <w:rPr>
                        <w:rFonts w:ascii="Cambria Math" w:hAnsi="Cambria Math"/>
                        <w:b/>
                        <w:szCs w:val="28"/>
                        <w:highlight w:val="none"/>
                      </w:rPr>
                    </m:ctrlPr>
                  </m:e>
                  <m:sub>
                    <m:r>
                      <m:rPr>
                        <m:sty m:val="bi"/>
                      </m:rPr>
                      <w:rPr>
                        <w:rFonts w:ascii="Cambria Math" w:hAnsi="Cambria Math"/>
                        <w:szCs w:val="28"/>
                        <w:highlight w:val="none"/>
                      </w:rPr>
                      <m:t>ar</m:t>
                    </m:r>
                    <m:ctrlPr>
                      <w:rPr>
                        <w:rFonts w:ascii="Cambria Math" w:hAnsi="Cambria Math"/>
                        <w:b/>
                        <w:szCs w:val="28"/>
                        <w:highlight w:val="none"/>
                      </w:rPr>
                    </m:ctrlPr>
                  </m:sub>
                </m:sSub>
                <m:r>
                  <m:rPr>
                    <m:sty m:val="bi"/>
                  </m:rPr>
                  <w:rPr>
                    <w:rFonts w:ascii="Cambria Math" w:hAnsi="Cambria Math"/>
                    <w:szCs w:val="28"/>
                    <w:highlight w:val="none"/>
                  </w:rPr>
                  <m:t>=</m:t>
                </m:r>
                <m:sSub>
                  <m:sSubPr>
                    <m:ctrlPr>
                      <w:rPr>
                        <w:rFonts w:ascii="Cambria Math" w:hAnsi="Cambria Math"/>
                        <w:b/>
                        <w:i/>
                        <w:szCs w:val="28"/>
                        <w:highlight w:val="none"/>
                      </w:rPr>
                    </m:ctrlPr>
                  </m:sSubPr>
                  <m:e>
                    <m:r>
                      <m:rPr>
                        <m:sty m:val="bi"/>
                      </m:rPr>
                      <w:rPr>
                        <w:rFonts w:ascii="Cambria Math" w:hAnsi="Cambria Math"/>
                        <w:szCs w:val="28"/>
                        <w:highlight w:val="none"/>
                      </w:rPr>
                      <m:t>X</m:t>
                    </m:r>
                    <m:ctrlPr>
                      <w:rPr>
                        <w:rFonts w:ascii="Cambria Math" w:hAnsi="Cambria Math"/>
                        <w:b/>
                        <w:i/>
                        <w:szCs w:val="28"/>
                        <w:highlight w:val="none"/>
                      </w:rPr>
                    </m:ctrlPr>
                  </m:e>
                  <m:sub>
                    <m:r>
                      <m:rPr>
                        <m:sty m:val="bi"/>
                      </m:rPr>
                      <w:rPr>
                        <w:rFonts w:ascii="Cambria Math" w:hAnsi="Cambria Math"/>
                        <w:szCs w:val="28"/>
                        <w:highlight w:val="none"/>
                      </w:rPr>
                      <m:t>ad</m:t>
                    </m:r>
                    <m:ctrlPr>
                      <w:rPr>
                        <w:rFonts w:ascii="Cambria Math" w:hAnsi="Cambria Math"/>
                        <w:b/>
                        <w:i/>
                        <w:szCs w:val="28"/>
                        <w:highlight w:val="none"/>
                      </w:rPr>
                    </m:ctrlPr>
                  </m:sub>
                </m:sSub>
                <m:r>
                  <m:rPr>
                    <m:sty m:val="bi"/>
                  </m:rPr>
                  <w:rPr>
                    <w:rFonts w:ascii="Cambria Math" w:hAnsi="Cambria Math"/>
                    <w:szCs w:val="28"/>
                    <w:highlight w:val="none"/>
                  </w:rPr>
                  <m:t>×</m:t>
                </m:r>
                <m:f>
                  <m:fPr>
                    <m:ctrlPr>
                      <w:rPr>
                        <w:rFonts w:ascii="Cambria Math" w:hAnsi="Cambria Math"/>
                        <w:b/>
                        <w:i/>
                        <w:szCs w:val="28"/>
                        <w:highlight w:val="none"/>
                      </w:rPr>
                    </m:ctrlPr>
                  </m:fPr>
                  <m:num>
                    <m:r>
                      <m:rPr>
                        <m:sty m:val="bi"/>
                      </m:rPr>
                      <w:rPr>
                        <w:rFonts w:ascii="Cambria Math" w:hAnsi="Cambria Math"/>
                        <w:szCs w:val="28"/>
                        <w:highlight w:val="none"/>
                      </w:rPr>
                      <m:t>100−</m:t>
                    </m:r>
                    <m:sSub>
                      <m:sSubPr>
                        <m:ctrlPr>
                          <w:rPr>
                            <w:rFonts w:ascii="Cambria Math" w:hAnsi="Cambria Math"/>
                            <w:b/>
                            <w:i/>
                            <w:szCs w:val="28"/>
                            <w:highlight w:val="none"/>
                          </w:rPr>
                        </m:ctrlPr>
                      </m:sSubPr>
                      <m:e>
                        <m:r>
                          <m:rPr>
                            <m:sty m:val="bi"/>
                          </m:rPr>
                          <w:rPr>
                            <w:rFonts w:ascii="Cambria Math" w:hAnsi="Cambria Math"/>
                            <w:szCs w:val="28"/>
                            <w:highlight w:val="none"/>
                          </w:rPr>
                          <m:t>M</m:t>
                        </m:r>
                        <m:ctrlPr>
                          <w:rPr>
                            <w:rFonts w:ascii="Cambria Math" w:hAnsi="Cambria Math"/>
                            <w:b/>
                            <w:i/>
                            <w:szCs w:val="28"/>
                            <w:highlight w:val="none"/>
                          </w:rPr>
                        </m:ctrlPr>
                      </m:e>
                      <m:sub>
                        <m:r>
                          <m:rPr>
                            <m:sty m:val="bi"/>
                          </m:rPr>
                          <w:rPr>
                            <w:rFonts w:ascii="Cambria Math" w:hAnsi="Cambria Math"/>
                            <w:szCs w:val="28"/>
                            <w:highlight w:val="none"/>
                          </w:rPr>
                          <m:t>ar</m:t>
                        </m:r>
                        <m:ctrlPr>
                          <w:rPr>
                            <w:rFonts w:ascii="Cambria Math" w:hAnsi="Cambria Math"/>
                            <w:b/>
                            <w:i/>
                            <w:szCs w:val="28"/>
                            <w:highlight w:val="none"/>
                          </w:rPr>
                        </m:ctrlPr>
                      </m:sub>
                    </m:sSub>
                    <m:ctrlPr>
                      <w:rPr>
                        <w:rFonts w:ascii="Cambria Math" w:hAnsi="Cambria Math"/>
                        <w:b/>
                        <w:i/>
                        <w:szCs w:val="28"/>
                        <w:highlight w:val="none"/>
                      </w:rPr>
                    </m:ctrlPr>
                  </m:num>
                  <m:den>
                    <m:r>
                      <m:rPr>
                        <m:sty m:val="bi"/>
                      </m:rPr>
                      <w:rPr>
                        <w:rFonts w:ascii="Cambria Math" w:hAnsi="Cambria Math"/>
                        <w:szCs w:val="28"/>
                        <w:highlight w:val="none"/>
                      </w:rPr>
                      <m:t>100−</m:t>
                    </m:r>
                    <m:sSub>
                      <m:sSubPr>
                        <m:ctrlPr>
                          <w:rPr>
                            <w:rFonts w:ascii="Cambria Math" w:hAnsi="Cambria Math"/>
                            <w:b/>
                            <w:i/>
                            <w:szCs w:val="28"/>
                            <w:highlight w:val="none"/>
                          </w:rPr>
                        </m:ctrlPr>
                      </m:sSubPr>
                      <m:e>
                        <m:r>
                          <m:rPr>
                            <m:sty m:val="bi"/>
                          </m:rPr>
                          <w:rPr>
                            <w:rFonts w:ascii="Cambria Math" w:hAnsi="Cambria Math"/>
                            <w:szCs w:val="28"/>
                            <w:highlight w:val="none"/>
                          </w:rPr>
                          <m:t>M</m:t>
                        </m:r>
                        <m:ctrlPr>
                          <w:rPr>
                            <w:rFonts w:ascii="Cambria Math" w:hAnsi="Cambria Math"/>
                            <w:b/>
                            <w:i/>
                            <w:szCs w:val="28"/>
                            <w:highlight w:val="none"/>
                          </w:rPr>
                        </m:ctrlPr>
                      </m:e>
                      <m:sub>
                        <m:r>
                          <m:rPr>
                            <m:sty m:val="bi"/>
                          </m:rPr>
                          <w:rPr>
                            <w:rFonts w:ascii="Cambria Math" w:hAnsi="Cambria Math"/>
                            <w:szCs w:val="28"/>
                            <w:highlight w:val="none"/>
                          </w:rPr>
                          <m:t>ad</m:t>
                        </m:r>
                        <m:ctrlPr>
                          <w:rPr>
                            <w:rFonts w:ascii="Cambria Math" w:hAnsi="Cambria Math"/>
                            <w:b/>
                            <w:i/>
                            <w:szCs w:val="28"/>
                            <w:highlight w:val="none"/>
                          </w:rPr>
                        </m:ctrlPr>
                      </m:sub>
                    </m:sSub>
                    <m:ctrlPr>
                      <w:rPr>
                        <w:rFonts w:ascii="Cambria Math" w:hAnsi="Cambria Math"/>
                        <w:b/>
                        <w:i/>
                        <w:szCs w:val="28"/>
                        <w:highlight w:val="none"/>
                      </w:rPr>
                    </m:ctrlPr>
                  </m:den>
                </m:f>
                <m:r>
                  <m:rPr>
                    <m:sty m:val="bi"/>
                  </m:rPr>
                  <w:rPr>
                    <w:rFonts w:ascii="Cambria Math" w:hAnsi="Cambria Math"/>
                    <w:szCs w:val="28"/>
                    <w:highlight w:val="none"/>
                  </w:rPr>
                  <m:t>%=6.56×</m:t>
                </m:r>
                <m:f>
                  <m:fPr>
                    <m:ctrlPr>
                      <w:rPr>
                        <w:rFonts w:ascii="Cambria Math" w:hAnsi="Cambria Math"/>
                        <w:b/>
                        <w:i/>
                        <w:szCs w:val="28"/>
                        <w:highlight w:val="none"/>
                      </w:rPr>
                    </m:ctrlPr>
                  </m:fPr>
                  <m:num>
                    <m:r>
                      <m:rPr>
                        <m:sty m:val="bi"/>
                      </m:rPr>
                      <w:rPr>
                        <w:rFonts w:ascii="Cambria Math" w:hAnsi="Cambria Math"/>
                        <w:szCs w:val="28"/>
                        <w:highlight w:val="none"/>
                      </w:rPr>
                      <m:t>100−5.5</m:t>
                    </m:r>
                    <m:ctrlPr>
                      <w:rPr>
                        <w:rFonts w:ascii="Cambria Math" w:hAnsi="Cambria Math"/>
                        <w:b/>
                        <w:i/>
                        <w:szCs w:val="28"/>
                        <w:highlight w:val="none"/>
                      </w:rPr>
                    </m:ctrlPr>
                  </m:num>
                  <m:den>
                    <m:r>
                      <m:rPr>
                        <m:sty m:val="bi"/>
                      </m:rPr>
                      <w:rPr>
                        <w:rFonts w:ascii="Cambria Math" w:hAnsi="Cambria Math"/>
                        <w:szCs w:val="28"/>
                        <w:highlight w:val="none"/>
                      </w:rPr>
                      <m:t>100−5.55</m:t>
                    </m:r>
                    <m:ctrlPr>
                      <w:rPr>
                        <w:rFonts w:ascii="Cambria Math" w:hAnsi="Cambria Math"/>
                        <w:b/>
                        <w:i/>
                        <w:szCs w:val="28"/>
                        <w:highlight w:val="none"/>
                      </w:rPr>
                    </m:ctrlPr>
                  </m:den>
                </m:f>
                <m:r>
                  <m:rPr>
                    <m:sty m:val="bi"/>
                  </m:rPr>
                  <w:rPr>
                    <w:rFonts w:ascii="Cambria Math" w:hAnsi="Cambria Math"/>
                    <w:szCs w:val="28"/>
                    <w:highlight w:val="none"/>
                  </w:rPr>
                  <m:t>=6.56</m:t>
                </m:r>
              </m:oMath>
            </m:oMathPara>
          </w:p>
          <w:p>
            <w:pPr>
              <w:keepLines w:val="0"/>
              <w:pageBreakBefore w:val="0"/>
              <w:wordWrap/>
              <w:topLinePunct w:val="0"/>
              <w:bidi w:val="0"/>
              <w:adjustRightInd w:val="0"/>
              <w:snapToGrid w:val="0"/>
              <w:spacing w:line="360" w:lineRule="auto"/>
              <w:ind w:firstLine="480" w:firstLineChars="200"/>
              <w:outlineLvl w:val="9"/>
              <w:rPr>
                <w:kern w:val="0"/>
                <w:sz w:val="24"/>
                <w:highlight w:val="none"/>
              </w:rPr>
            </w:pPr>
            <w:r>
              <w:rPr>
                <w:kern w:val="0"/>
                <w:sz w:val="24"/>
                <w:highlight w:val="none"/>
              </w:rPr>
              <w:t>带入</w:t>
            </w:r>
            <w:r>
              <w:rPr>
                <w:kern w:val="0"/>
                <w:sz w:val="24"/>
                <w:highlight w:val="none"/>
              </w:rPr>
              <w:object>
                <v:shape id="_x0000_i1032" o:spt="75" type="#_x0000_t75" style="height:17.25pt;width:17.25pt;" o:ole="t" filled="f" o:preferrelative="t" stroked="f" coordsize="21600,21600">
                  <v:path/>
                  <v:fill on="f" focussize="0,0"/>
                  <v:stroke on="f" joinstyle="miter"/>
                  <v:imagedata r:id="rId27" o:title=""/>
                  <o:lock v:ext="edit" aspectratio="t"/>
                  <w10:wrap type="none"/>
                  <w10:anchorlock/>
                </v:shape>
                <o:OLEObject Type="Embed" ProgID="Equation.3" ShapeID="_x0000_i1032" DrawAspect="Content" ObjectID="_1468075732" r:id="rId36">
                  <o:LockedField>false</o:LockedField>
                </o:OLEObject>
              </w:object>
            </w:r>
            <w:r>
              <w:rPr>
                <w:kern w:val="0"/>
                <w:sz w:val="24"/>
                <w:highlight w:val="none"/>
              </w:rPr>
              <w:t>计算公式后最终求得本项目生物质锅炉灰渣产生量为</w:t>
            </w:r>
            <w:r>
              <w:rPr>
                <w:rFonts w:hint="eastAsia"/>
                <w:kern w:val="0"/>
                <w:sz w:val="24"/>
                <w:highlight w:val="none"/>
              </w:rPr>
              <w:t>67.2</w:t>
            </w:r>
            <w:r>
              <w:rPr>
                <w:kern w:val="0"/>
                <w:sz w:val="24"/>
                <w:highlight w:val="none"/>
              </w:rPr>
              <w:t>t/a。锅炉灰渣产生后应封闭暂存，定期外售综合利用。</w:t>
            </w:r>
            <w:r>
              <w:rPr>
                <w:sz w:val="24"/>
                <w:highlight w:val="none"/>
              </w:rPr>
              <w:t>根据《一般固体废物分类与代码》（GB/T39198-2020），类别代码为443-001-64。</w:t>
            </w:r>
          </w:p>
          <w:p>
            <w:pPr>
              <w:keepLines w:val="0"/>
              <w:pageBreakBefore w:val="0"/>
              <w:wordWrap/>
              <w:topLinePunct w:val="0"/>
              <w:bidi w:val="0"/>
              <w:adjustRightInd w:val="0"/>
              <w:snapToGrid w:val="0"/>
              <w:spacing w:line="360" w:lineRule="auto"/>
              <w:ind w:firstLine="480" w:firstLineChars="200"/>
              <w:outlineLvl w:val="9"/>
              <w:rPr>
                <w:kern w:val="0"/>
                <w:sz w:val="24"/>
                <w:highlight w:val="none"/>
              </w:rPr>
            </w:pPr>
            <w:r>
              <w:rPr>
                <w:rFonts w:hint="eastAsia"/>
                <w:kern w:val="0"/>
                <w:sz w:val="24"/>
                <w:highlight w:val="none"/>
              </w:rPr>
              <w:t>4、布袋除尘器收尘</w:t>
            </w:r>
          </w:p>
          <w:p>
            <w:pPr>
              <w:keepLines w:val="0"/>
              <w:pageBreakBefore w:val="0"/>
              <w:wordWrap/>
              <w:topLinePunct w:val="0"/>
              <w:bidi w:val="0"/>
              <w:spacing w:before="0" w:after="0" w:line="360" w:lineRule="auto"/>
              <w:ind w:left="0" w:firstLine="480" w:firstLineChars="200"/>
              <w:outlineLvl w:val="9"/>
              <w:rPr>
                <w:rFonts w:eastAsia="宋体"/>
                <w:b w:val="0"/>
                <w:bCs w:val="0"/>
                <w:color w:val="auto"/>
                <w:kern w:val="0"/>
                <w:sz w:val="24"/>
                <w:highlight w:val="none"/>
              </w:rPr>
            </w:pPr>
            <w:bookmarkStart w:id="195" w:name="_Toc25615"/>
            <w:bookmarkStart w:id="196" w:name="_Toc16306"/>
            <w:bookmarkStart w:id="197" w:name="_Toc1192"/>
            <w:bookmarkStart w:id="198" w:name="_Toc22973"/>
            <w:bookmarkStart w:id="199" w:name="_Toc32606"/>
            <w:bookmarkStart w:id="200" w:name="_Toc31395"/>
            <w:bookmarkStart w:id="201" w:name="_Toc19828"/>
            <w:bookmarkStart w:id="202" w:name="_Toc122"/>
            <w:r>
              <w:rPr>
                <w:rFonts w:eastAsia="宋体"/>
                <w:b w:val="0"/>
                <w:bCs w:val="0"/>
                <w:color w:val="auto"/>
                <w:kern w:val="0"/>
                <w:sz w:val="24"/>
                <w:highlight w:val="none"/>
              </w:rPr>
              <w:t>根据布袋除尘器净化效率（99%）计算，除尘器收集粉尘量约为</w:t>
            </w:r>
            <w:r>
              <w:rPr>
                <w:rFonts w:hint="eastAsia" w:eastAsia="宋体"/>
                <w:b w:val="0"/>
                <w:bCs w:val="0"/>
                <w:color w:val="auto"/>
                <w:kern w:val="0"/>
                <w:sz w:val="24"/>
                <w:highlight w:val="none"/>
                <w:lang w:eastAsia="zh-CN"/>
              </w:rPr>
              <w:t>13.86</w:t>
            </w:r>
            <w:r>
              <w:rPr>
                <w:rFonts w:eastAsia="宋体"/>
                <w:b w:val="0"/>
                <w:bCs w:val="0"/>
                <w:color w:val="auto"/>
                <w:kern w:val="0"/>
                <w:sz w:val="24"/>
                <w:highlight w:val="none"/>
              </w:rPr>
              <w:t>t/a。</w:t>
            </w:r>
            <w:r>
              <w:rPr>
                <w:rFonts w:hint="eastAsia" w:ascii="宋体" w:hAnsi="宋体" w:eastAsia="宋体" w:cs="宋体"/>
                <w:b w:val="0"/>
                <w:bCs w:val="0"/>
                <w:color w:val="auto"/>
                <w:kern w:val="0"/>
                <w:sz w:val="24"/>
                <w:highlight w:val="none"/>
              </w:rPr>
              <w:t>除尘器收尘与锅炉灰渣一同封闭暂存，外售综合利用。</w:t>
            </w:r>
            <w:r>
              <w:rPr>
                <w:rFonts w:eastAsia="宋体"/>
                <w:b w:val="0"/>
                <w:bCs w:val="0"/>
                <w:color w:val="auto"/>
                <w:sz w:val="24"/>
                <w:szCs w:val="24"/>
                <w:highlight w:val="none"/>
              </w:rPr>
              <w:t>根据《一般固体废物分类与代码》</w:t>
            </w:r>
            <w:r>
              <w:rPr>
                <w:rFonts w:eastAsia="宋体"/>
                <w:b w:val="0"/>
                <w:bCs w:val="0"/>
                <w:color w:val="auto"/>
                <w:kern w:val="0"/>
                <w:sz w:val="24"/>
                <w:highlight w:val="none"/>
              </w:rPr>
              <w:t>（GB/T39198-2020），类别代码为443-001-66。</w:t>
            </w:r>
            <w:bookmarkEnd w:id="195"/>
            <w:bookmarkEnd w:id="196"/>
            <w:bookmarkEnd w:id="197"/>
            <w:bookmarkEnd w:id="198"/>
            <w:bookmarkEnd w:id="199"/>
            <w:bookmarkEnd w:id="200"/>
            <w:bookmarkEnd w:id="201"/>
            <w:bookmarkEnd w:id="202"/>
          </w:p>
          <w:p>
            <w:pPr>
              <w:keepLines w:val="0"/>
              <w:pageBreakBefore w:val="0"/>
              <w:wordWrap/>
              <w:topLinePunct w:val="0"/>
              <w:bidi w:val="0"/>
              <w:spacing w:before="0" w:after="0" w:line="360" w:lineRule="auto"/>
              <w:ind w:left="0" w:firstLine="480" w:firstLineChars="200"/>
              <w:outlineLvl w:val="9"/>
              <w:rPr>
                <w:rFonts w:eastAsia="宋体"/>
                <w:b w:val="0"/>
                <w:bCs w:val="0"/>
                <w:color w:val="auto"/>
                <w:kern w:val="0"/>
                <w:sz w:val="24"/>
                <w:highlight w:val="none"/>
              </w:rPr>
            </w:pPr>
            <w:bookmarkStart w:id="203" w:name="_Toc9642"/>
            <w:bookmarkStart w:id="204" w:name="_Toc6308"/>
            <w:r>
              <w:rPr>
                <w:rFonts w:hint="eastAsia" w:eastAsia="宋体"/>
                <w:b w:val="0"/>
                <w:bCs w:val="0"/>
                <w:color w:val="auto"/>
                <w:kern w:val="0"/>
                <w:sz w:val="24"/>
                <w:highlight w:val="none"/>
              </w:rPr>
              <w:t>5、玉米皮等生产固废</w:t>
            </w:r>
            <w:bookmarkEnd w:id="203"/>
            <w:bookmarkEnd w:id="204"/>
          </w:p>
          <w:p>
            <w:pPr>
              <w:keepLines w:val="0"/>
              <w:pageBreakBefore w:val="0"/>
              <w:wordWrap/>
              <w:topLinePunct w:val="0"/>
              <w:bidi w:val="0"/>
              <w:spacing w:before="0" w:after="0" w:line="360" w:lineRule="auto"/>
              <w:ind w:left="0" w:firstLine="480" w:firstLineChars="200"/>
              <w:outlineLvl w:val="9"/>
              <w:rPr>
                <w:rFonts w:eastAsia="宋体"/>
                <w:b w:val="0"/>
                <w:bCs w:val="0"/>
                <w:color w:val="auto"/>
                <w:kern w:val="0"/>
                <w:sz w:val="24"/>
                <w:highlight w:val="none"/>
              </w:rPr>
            </w:pPr>
            <w:bookmarkStart w:id="205" w:name="_Toc30629"/>
            <w:bookmarkStart w:id="206" w:name="_Toc6875"/>
            <w:r>
              <w:rPr>
                <w:rFonts w:hint="eastAsia" w:eastAsia="宋体"/>
                <w:b w:val="0"/>
                <w:bCs w:val="0"/>
                <w:color w:val="auto"/>
                <w:kern w:val="0"/>
                <w:sz w:val="24"/>
                <w:highlight w:val="none"/>
              </w:rPr>
              <w:t>生产过程中产生的玉米皮、玉米须和缺粒、杂色、成熟度过高或过低的不合格玉米、边角料等为一般固废，产生量为100t/a，集中收集，采用袋装或桶装方式密闭存储，定期拉运外售。</w:t>
            </w:r>
            <w:r>
              <w:rPr>
                <w:rFonts w:eastAsia="宋体"/>
                <w:b w:val="0"/>
                <w:bCs w:val="0"/>
                <w:color w:val="auto"/>
                <w:sz w:val="24"/>
                <w:szCs w:val="24"/>
                <w:highlight w:val="none"/>
              </w:rPr>
              <w:t>根据《一般固体废物分类与代码》</w:t>
            </w:r>
            <w:r>
              <w:rPr>
                <w:rFonts w:eastAsia="宋体"/>
                <w:b w:val="0"/>
                <w:bCs w:val="0"/>
                <w:color w:val="auto"/>
                <w:kern w:val="0"/>
                <w:sz w:val="24"/>
                <w:highlight w:val="none"/>
              </w:rPr>
              <w:t>（GB/T39198-2020），类别代码为143-002-34。</w:t>
            </w:r>
            <w:bookmarkEnd w:id="205"/>
            <w:bookmarkEnd w:id="206"/>
          </w:p>
          <w:p>
            <w:pPr>
              <w:keepLines w:val="0"/>
              <w:pageBreakBefore w:val="0"/>
              <w:wordWrap/>
              <w:topLinePunct w:val="0"/>
              <w:bidi w:val="0"/>
              <w:spacing w:before="0" w:after="0" w:line="360" w:lineRule="auto"/>
              <w:ind w:left="0" w:firstLine="480" w:firstLineChars="200"/>
              <w:outlineLvl w:val="9"/>
              <w:rPr>
                <w:rFonts w:eastAsia="宋体"/>
                <w:b w:val="0"/>
                <w:bCs w:val="0"/>
                <w:color w:val="auto"/>
                <w:kern w:val="0"/>
                <w:sz w:val="24"/>
                <w:highlight w:val="none"/>
              </w:rPr>
            </w:pPr>
            <w:bookmarkStart w:id="207" w:name="_Toc14976"/>
            <w:bookmarkStart w:id="208" w:name="_Toc187"/>
            <w:r>
              <w:rPr>
                <w:rFonts w:hint="eastAsia" w:eastAsia="宋体"/>
                <w:b w:val="0"/>
                <w:bCs w:val="0"/>
                <w:color w:val="auto"/>
                <w:kern w:val="0"/>
                <w:sz w:val="24"/>
                <w:highlight w:val="none"/>
              </w:rPr>
              <w:t>6、废布袋</w:t>
            </w:r>
            <w:bookmarkEnd w:id="207"/>
            <w:bookmarkEnd w:id="208"/>
          </w:p>
          <w:p>
            <w:pPr>
              <w:keepLines w:val="0"/>
              <w:pageBreakBefore w:val="0"/>
              <w:wordWrap/>
              <w:topLinePunct w:val="0"/>
              <w:bidi w:val="0"/>
              <w:spacing w:before="0" w:after="0" w:line="360" w:lineRule="auto"/>
              <w:ind w:left="0" w:firstLine="480" w:firstLineChars="200"/>
              <w:outlineLvl w:val="9"/>
              <w:rPr>
                <w:rFonts w:eastAsia="宋体"/>
                <w:b w:val="0"/>
                <w:bCs w:val="0"/>
                <w:color w:val="auto"/>
                <w:kern w:val="0"/>
                <w:sz w:val="24"/>
                <w:highlight w:val="none"/>
              </w:rPr>
            </w:pPr>
            <w:bookmarkStart w:id="209" w:name="_Toc2133"/>
            <w:bookmarkStart w:id="210" w:name="_Toc26982"/>
            <w:r>
              <w:rPr>
                <w:rFonts w:hint="eastAsia" w:eastAsia="宋体"/>
                <w:b w:val="0"/>
                <w:bCs w:val="0"/>
                <w:color w:val="auto"/>
                <w:kern w:val="0"/>
                <w:sz w:val="24"/>
                <w:highlight w:val="none"/>
              </w:rPr>
              <w:t>布袋工作条件好的条件下使用1-3年左右，本项目以2年更换一次计，每次更换量为0.2t计，废布袋集中收集，由</w:t>
            </w:r>
            <w:r>
              <w:rPr>
                <w:rFonts w:hint="eastAsia" w:eastAsia="宋体"/>
                <w:b w:val="0"/>
                <w:bCs w:val="0"/>
                <w:color w:val="auto"/>
                <w:kern w:val="0"/>
                <w:sz w:val="24"/>
                <w:highlight w:val="none"/>
                <w:lang w:val="en-US" w:eastAsia="zh-CN"/>
              </w:rPr>
              <w:t>厂家统一回收</w:t>
            </w:r>
            <w:r>
              <w:rPr>
                <w:rFonts w:hint="eastAsia" w:eastAsia="宋体"/>
                <w:b w:val="0"/>
                <w:bCs w:val="0"/>
                <w:color w:val="auto"/>
                <w:kern w:val="0"/>
                <w:sz w:val="24"/>
                <w:highlight w:val="none"/>
              </w:rPr>
              <w:t>。</w:t>
            </w:r>
            <w:bookmarkEnd w:id="209"/>
            <w:bookmarkEnd w:id="210"/>
          </w:p>
          <w:p>
            <w:pPr>
              <w:keepLines w:val="0"/>
              <w:pageBreakBefore w:val="0"/>
              <w:wordWrap/>
              <w:topLinePunct w:val="0"/>
              <w:bidi w:val="0"/>
              <w:spacing w:before="0" w:after="0" w:line="360" w:lineRule="auto"/>
              <w:ind w:left="0" w:firstLine="480" w:firstLineChars="200"/>
              <w:outlineLvl w:val="9"/>
              <w:rPr>
                <w:rFonts w:eastAsia="宋体"/>
                <w:b w:val="0"/>
                <w:bCs w:val="0"/>
                <w:color w:val="auto"/>
                <w:kern w:val="0"/>
                <w:sz w:val="24"/>
                <w:highlight w:val="none"/>
              </w:rPr>
            </w:pPr>
            <w:bookmarkStart w:id="211" w:name="_Toc26920"/>
            <w:bookmarkStart w:id="212" w:name="_Toc28961"/>
            <w:r>
              <w:rPr>
                <w:rFonts w:hint="eastAsia" w:eastAsia="宋体"/>
                <w:b w:val="0"/>
                <w:bCs w:val="0"/>
                <w:color w:val="auto"/>
                <w:kern w:val="0"/>
                <w:sz w:val="24"/>
                <w:highlight w:val="none"/>
              </w:rPr>
              <w:t>7、废离子交换树脂</w:t>
            </w:r>
            <w:bookmarkEnd w:id="211"/>
            <w:bookmarkEnd w:id="212"/>
          </w:p>
          <w:p>
            <w:pPr>
              <w:keepLines w:val="0"/>
              <w:pageBreakBefore w:val="0"/>
              <w:wordWrap/>
              <w:topLinePunct w:val="0"/>
              <w:bidi w:val="0"/>
              <w:spacing w:before="0" w:after="0" w:line="360" w:lineRule="auto"/>
              <w:ind w:left="0" w:firstLine="480" w:firstLineChars="200"/>
              <w:outlineLvl w:val="9"/>
              <w:rPr>
                <w:highlight w:val="none"/>
              </w:rPr>
            </w:pPr>
            <w:bookmarkStart w:id="213" w:name="_Toc32570"/>
            <w:bookmarkStart w:id="214" w:name="_Toc24658"/>
            <w:r>
              <w:rPr>
                <w:rFonts w:hint="eastAsia" w:eastAsia="宋体"/>
                <w:b w:val="0"/>
                <w:bCs w:val="0"/>
                <w:color w:val="auto"/>
                <w:kern w:val="0"/>
                <w:sz w:val="24"/>
                <w:highlight w:val="none"/>
              </w:rPr>
              <w:t>项目软水制备系统运行过程中会产生废离子交换树脂，更换周期约为半年/次，产生量为0.2t/a，由厂家回收再利用。</w:t>
            </w:r>
            <w:bookmarkEnd w:id="213"/>
            <w:bookmarkEnd w:id="214"/>
          </w:p>
          <w:p>
            <w:pPr>
              <w:keepLines w:val="0"/>
              <w:pageBreakBefore w:val="0"/>
              <w:wordWrap/>
              <w:topLinePunct w:val="0"/>
              <w:bidi w:val="0"/>
              <w:spacing w:before="0" w:after="0" w:line="360" w:lineRule="auto"/>
              <w:ind w:left="0" w:firstLine="480" w:firstLineChars="200"/>
              <w:outlineLvl w:val="9"/>
              <w:rPr>
                <w:rFonts w:eastAsia="宋体"/>
                <w:b w:val="0"/>
                <w:bCs w:val="0"/>
                <w:color w:val="auto"/>
                <w:kern w:val="0"/>
                <w:sz w:val="24"/>
                <w:highlight w:val="none"/>
              </w:rPr>
            </w:pPr>
            <w:bookmarkStart w:id="215" w:name="_Toc26533"/>
            <w:bookmarkStart w:id="216" w:name="_Toc29966"/>
            <w:r>
              <w:rPr>
                <w:rFonts w:eastAsia="宋体"/>
                <w:b w:val="0"/>
                <w:bCs w:val="0"/>
                <w:color w:val="auto"/>
                <w:kern w:val="0"/>
                <w:sz w:val="24"/>
                <w:highlight w:val="none"/>
              </w:rPr>
              <w:t>固体废物产生情况见表4-</w:t>
            </w:r>
            <w:r>
              <w:rPr>
                <w:rFonts w:hint="eastAsia" w:eastAsia="宋体"/>
                <w:b w:val="0"/>
                <w:bCs w:val="0"/>
                <w:color w:val="auto"/>
                <w:kern w:val="0"/>
                <w:sz w:val="24"/>
                <w:highlight w:val="none"/>
              </w:rPr>
              <w:t>15</w:t>
            </w:r>
            <w:r>
              <w:rPr>
                <w:rFonts w:eastAsia="宋体"/>
                <w:b w:val="0"/>
                <w:bCs w:val="0"/>
                <w:color w:val="auto"/>
                <w:kern w:val="0"/>
                <w:sz w:val="24"/>
                <w:highlight w:val="none"/>
              </w:rPr>
              <w:t>。</w:t>
            </w:r>
            <w:bookmarkEnd w:id="215"/>
            <w:bookmarkEnd w:id="216"/>
          </w:p>
          <w:p>
            <w:pPr>
              <w:keepLines w:val="0"/>
              <w:pageBreakBefore w:val="0"/>
              <w:wordWrap/>
              <w:topLinePunct w:val="0"/>
              <w:bidi w:val="0"/>
              <w:ind w:firstLine="422" w:firstLineChars="200"/>
              <w:jc w:val="center"/>
              <w:outlineLvl w:val="9"/>
              <w:rPr>
                <w:b/>
                <w:szCs w:val="21"/>
                <w:highlight w:val="none"/>
              </w:rPr>
            </w:pPr>
            <w:r>
              <w:rPr>
                <w:b/>
                <w:szCs w:val="21"/>
                <w:highlight w:val="none"/>
              </w:rPr>
              <w:t>表4-</w:t>
            </w:r>
            <w:r>
              <w:rPr>
                <w:rFonts w:hint="eastAsia"/>
                <w:b/>
                <w:szCs w:val="21"/>
                <w:highlight w:val="none"/>
              </w:rPr>
              <w:t>15</w:t>
            </w:r>
            <w:r>
              <w:rPr>
                <w:b/>
                <w:szCs w:val="21"/>
                <w:highlight w:val="none"/>
              </w:rPr>
              <w:t xml:space="preserve"> 一般固体废物一览表</w:t>
            </w:r>
          </w:p>
          <w:tbl>
            <w:tblPr>
              <w:tblStyle w:val="2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951"/>
              <w:gridCol w:w="1516"/>
              <w:gridCol w:w="673"/>
              <w:gridCol w:w="781"/>
              <w:gridCol w:w="1141"/>
              <w:gridCol w:w="955"/>
              <w:gridCol w:w="10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restart"/>
                  <w:vAlign w:val="center"/>
                </w:tcPr>
                <w:p>
                  <w:pPr>
                    <w:pStyle w:val="132"/>
                    <w:keepLines w:val="0"/>
                    <w:pageBreakBefore w:val="0"/>
                    <w:wordWrap/>
                    <w:topLinePunct w:val="0"/>
                    <w:bidi w:val="0"/>
                    <w:outlineLvl w:val="9"/>
                    <w:rPr>
                      <w:sz w:val="21"/>
                      <w:szCs w:val="21"/>
                      <w:highlight w:val="none"/>
                    </w:rPr>
                  </w:pPr>
                  <w:r>
                    <w:rPr>
                      <w:sz w:val="21"/>
                      <w:szCs w:val="21"/>
                      <w:highlight w:val="none"/>
                    </w:rPr>
                    <w:t>工序/生产线</w:t>
                  </w:r>
                </w:p>
              </w:tc>
              <w:tc>
                <w:tcPr>
                  <w:tcW w:w="1120" w:type="pct"/>
                  <w:vMerge w:val="restart"/>
                  <w:vAlign w:val="center"/>
                </w:tcPr>
                <w:p>
                  <w:pPr>
                    <w:pStyle w:val="132"/>
                    <w:keepLines w:val="0"/>
                    <w:pageBreakBefore w:val="0"/>
                    <w:wordWrap/>
                    <w:topLinePunct w:val="0"/>
                    <w:bidi w:val="0"/>
                    <w:outlineLvl w:val="9"/>
                    <w:rPr>
                      <w:sz w:val="21"/>
                      <w:szCs w:val="21"/>
                      <w:highlight w:val="none"/>
                    </w:rPr>
                  </w:pPr>
                  <w:r>
                    <w:rPr>
                      <w:sz w:val="21"/>
                      <w:szCs w:val="21"/>
                      <w:highlight w:val="none"/>
                    </w:rPr>
                    <w:t>固体废物名称</w:t>
                  </w:r>
                </w:p>
              </w:tc>
              <w:tc>
                <w:tcPr>
                  <w:tcW w:w="870" w:type="pct"/>
                  <w:vMerge w:val="restart"/>
                  <w:vAlign w:val="center"/>
                </w:tcPr>
                <w:p>
                  <w:pPr>
                    <w:pStyle w:val="132"/>
                    <w:keepLines w:val="0"/>
                    <w:pageBreakBefore w:val="0"/>
                    <w:wordWrap/>
                    <w:topLinePunct w:val="0"/>
                    <w:bidi w:val="0"/>
                    <w:outlineLvl w:val="9"/>
                    <w:rPr>
                      <w:sz w:val="21"/>
                      <w:szCs w:val="21"/>
                      <w:highlight w:val="none"/>
                    </w:rPr>
                  </w:pPr>
                  <w:r>
                    <w:rPr>
                      <w:sz w:val="21"/>
                      <w:szCs w:val="21"/>
                      <w:highlight w:val="none"/>
                    </w:rPr>
                    <w:t>固废属性/代码</w:t>
                  </w:r>
                </w:p>
              </w:tc>
              <w:tc>
                <w:tcPr>
                  <w:tcW w:w="836" w:type="pct"/>
                  <w:gridSpan w:val="2"/>
                  <w:vAlign w:val="center"/>
                </w:tcPr>
                <w:p>
                  <w:pPr>
                    <w:pStyle w:val="132"/>
                    <w:keepLines w:val="0"/>
                    <w:pageBreakBefore w:val="0"/>
                    <w:wordWrap/>
                    <w:topLinePunct w:val="0"/>
                    <w:bidi w:val="0"/>
                    <w:outlineLvl w:val="9"/>
                    <w:rPr>
                      <w:sz w:val="21"/>
                      <w:szCs w:val="21"/>
                      <w:highlight w:val="none"/>
                    </w:rPr>
                  </w:pPr>
                  <w:r>
                    <w:rPr>
                      <w:sz w:val="21"/>
                      <w:szCs w:val="21"/>
                      <w:highlight w:val="none"/>
                    </w:rPr>
                    <w:t>产生情况</w:t>
                  </w:r>
                </w:p>
              </w:tc>
              <w:tc>
                <w:tcPr>
                  <w:tcW w:w="1204" w:type="pct"/>
                  <w:gridSpan w:val="2"/>
                  <w:vAlign w:val="center"/>
                </w:tcPr>
                <w:p>
                  <w:pPr>
                    <w:pStyle w:val="132"/>
                    <w:keepLines w:val="0"/>
                    <w:pageBreakBefore w:val="0"/>
                    <w:wordWrap/>
                    <w:topLinePunct w:val="0"/>
                    <w:bidi w:val="0"/>
                    <w:outlineLvl w:val="9"/>
                    <w:rPr>
                      <w:sz w:val="21"/>
                      <w:szCs w:val="21"/>
                      <w:highlight w:val="none"/>
                    </w:rPr>
                  </w:pPr>
                  <w:r>
                    <w:rPr>
                      <w:sz w:val="21"/>
                      <w:szCs w:val="21"/>
                      <w:highlight w:val="none"/>
                    </w:rPr>
                    <w:t>处置措施</w:t>
                  </w:r>
                </w:p>
              </w:tc>
              <w:tc>
                <w:tcPr>
                  <w:tcW w:w="579" w:type="pct"/>
                  <w:vMerge w:val="restart"/>
                  <w:vAlign w:val="center"/>
                </w:tcPr>
                <w:p>
                  <w:pPr>
                    <w:pStyle w:val="132"/>
                    <w:keepLines w:val="0"/>
                    <w:pageBreakBefore w:val="0"/>
                    <w:wordWrap/>
                    <w:topLinePunct w:val="0"/>
                    <w:bidi w:val="0"/>
                    <w:outlineLvl w:val="9"/>
                    <w:rPr>
                      <w:sz w:val="21"/>
                      <w:szCs w:val="21"/>
                      <w:highlight w:val="none"/>
                    </w:rPr>
                  </w:pPr>
                  <w:r>
                    <w:rPr>
                      <w:sz w:val="21"/>
                      <w:szCs w:val="21"/>
                      <w:highlight w:val="none"/>
                    </w:rPr>
                    <w:t>最终去向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Merge w:val="continue"/>
                  <w:vAlign w:val="center"/>
                </w:tcPr>
                <w:p>
                  <w:pPr>
                    <w:pStyle w:val="132"/>
                    <w:keepLines w:val="0"/>
                    <w:pageBreakBefore w:val="0"/>
                    <w:wordWrap/>
                    <w:topLinePunct w:val="0"/>
                    <w:bidi w:val="0"/>
                    <w:outlineLvl w:val="9"/>
                    <w:rPr>
                      <w:sz w:val="21"/>
                      <w:szCs w:val="21"/>
                      <w:highlight w:val="none"/>
                    </w:rPr>
                  </w:pPr>
                </w:p>
              </w:tc>
              <w:tc>
                <w:tcPr>
                  <w:tcW w:w="1120" w:type="pct"/>
                  <w:vMerge w:val="continue"/>
                  <w:vAlign w:val="center"/>
                </w:tcPr>
                <w:p>
                  <w:pPr>
                    <w:pStyle w:val="132"/>
                    <w:keepLines w:val="0"/>
                    <w:pageBreakBefore w:val="0"/>
                    <w:wordWrap/>
                    <w:topLinePunct w:val="0"/>
                    <w:bidi w:val="0"/>
                    <w:outlineLvl w:val="9"/>
                    <w:rPr>
                      <w:sz w:val="21"/>
                      <w:szCs w:val="21"/>
                      <w:highlight w:val="none"/>
                    </w:rPr>
                  </w:pPr>
                </w:p>
              </w:tc>
              <w:tc>
                <w:tcPr>
                  <w:tcW w:w="870" w:type="pct"/>
                  <w:vMerge w:val="continue"/>
                  <w:vAlign w:val="center"/>
                </w:tcPr>
                <w:p>
                  <w:pPr>
                    <w:pStyle w:val="132"/>
                    <w:keepLines w:val="0"/>
                    <w:pageBreakBefore w:val="0"/>
                    <w:wordWrap/>
                    <w:topLinePunct w:val="0"/>
                    <w:bidi w:val="0"/>
                    <w:outlineLvl w:val="9"/>
                    <w:rPr>
                      <w:sz w:val="21"/>
                      <w:szCs w:val="21"/>
                      <w:highlight w:val="none"/>
                    </w:rPr>
                  </w:pPr>
                </w:p>
              </w:tc>
              <w:tc>
                <w:tcPr>
                  <w:tcW w:w="387" w:type="pct"/>
                  <w:vAlign w:val="center"/>
                </w:tcPr>
                <w:p>
                  <w:pPr>
                    <w:pStyle w:val="132"/>
                    <w:keepLines w:val="0"/>
                    <w:pageBreakBefore w:val="0"/>
                    <w:wordWrap/>
                    <w:topLinePunct w:val="0"/>
                    <w:bidi w:val="0"/>
                    <w:outlineLvl w:val="9"/>
                    <w:rPr>
                      <w:sz w:val="21"/>
                      <w:szCs w:val="21"/>
                      <w:highlight w:val="none"/>
                    </w:rPr>
                  </w:pPr>
                  <w:r>
                    <w:rPr>
                      <w:sz w:val="21"/>
                      <w:szCs w:val="21"/>
                      <w:highlight w:val="none"/>
                    </w:rPr>
                    <w:t>核算方法</w:t>
                  </w:r>
                </w:p>
              </w:tc>
              <w:tc>
                <w:tcPr>
                  <w:tcW w:w="448" w:type="pct"/>
                  <w:vAlign w:val="center"/>
                </w:tcPr>
                <w:p>
                  <w:pPr>
                    <w:pStyle w:val="132"/>
                    <w:keepLines w:val="0"/>
                    <w:pageBreakBefore w:val="0"/>
                    <w:wordWrap/>
                    <w:topLinePunct w:val="0"/>
                    <w:bidi w:val="0"/>
                    <w:outlineLvl w:val="9"/>
                    <w:rPr>
                      <w:sz w:val="21"/>
                      <w:szCs w:val="21"/>
                      <w:highlight w:val="none"/>
                    </w:rPr>
                  </w:pPr>
                  <w:r>
                    <w:rPr>
                      <w:sz w:val="21"/>
                      <w:szCs w:val="21"/>
                      <w:highlight w:val="none"/>
                    </w:rPr>
                    <w:t>产生量（t/a）</w:t>
                  </w:r>
                </w:p>
              </w:tc>
              <w:tc>
                <w:tcPr>
                  <w:tcW w:w="655" w:type="pct"/>
                  <w:vAlign w:val="center"/>
                </w:tcPr>
                <w:p>
                  <w:pPr>
                    <w:pStyle w:val="132"/>
                    <w:keepLines w:val="0"/>
                    <w:pageBreakBefore w:val="0"/>
                    <w:wordWrap/>
                    <w:topLinePunct w:val="0"/>
                    <w:bidi w:val="0"/>
                    <w:outlineLvl w:val="9"/>
                    <w:rPr>
                      <w:sz w:val="21"/>
                      <w:szCs w:val="21"/>
                      <w:highlight w:val="none"/>
                    </w:rPr>
                  </w:pPr>
                  <w:r>
                    <w:rPr>
                      <w:sz w:val="21"/>
                      <w:szCs w:val="21"/>
                      <w:highlight w:val="none"/>
                    </w:rPr>
                    <w:t>工艺</w:t>
                  </w:r>
                </w:p>
              </w:tc>
              <w:tc>
                <w:tcPr>
                  <w:tcW w:w="549" w:type="pct"/>
                  <w:vAlign w:val="center"/>
                </w:tcPr>
                <w:p>
                  <w:pPr>
                    <w:pStyle w:val="132"/>
                    <w:keepLines w:val="0"/>
                    <w:pageBreakBefore w:val="0"/>
                    <w:wordWrap/>
                    <w:topLinePunct w:val="0"/>
                    <w:bidi w:val="0"/>
                    <w:outlineLvl w:val="9"/>
                    <w:rPr>
                      <w:sz w:val="21"/>
                      <w:szCs w:val="21"/>
                      <w:highlight w:val="none"/>
                    </w:rPr>
                  </w:pPr>
                  <w:r>
                    <w:rPr>
                      <w:sz w:val="21"/>
                      <w:szCs w:val="21"/>
                      <w:highlight w:val="none"/>
                    </w:rPr>
                    <w:t>处置量（t/a）</w:t>
                  </w:r>
                </w:p>
              </w:tc>
              <w:tc>
                <w:tcPr>
                  <w:tcW w:w="579" w:type="pct"/>
                  <w:vMerge w:val="continue"/>
                  <w:vAlign w:val="center"/>
                </w:tcPr>
                <w:p>
                  <w:pPr>
                    <w:pStyle w:val="132"/>
                    <w:keepLines w:val="0"/>
                    <w:pageBreakBefore w:val="0"/>
                    <w:wordWrap/>
                    <w:topLinePunct w:val="0"/>
                    <w:bidi w:val="0"/>
                    <w:outlineLvl w:val="9"/>
                    <w:rPr>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Align w:val="center"/>
                </w:tcPr>
                <w:p>
                  <w:pPr>
                    <w:pStyle w:val="132"/>
                    <w:keepLines w:val="0"/>
                    <w:pageBreakBefore w:val="0"/>
                    <w:wordWrap/>
                    <w:topLinePunct w:val="0"/>
                    <w:bidi w:val="0"/>
                    <w:outlineLvl w:val="9"/>
                    <w:rPr>
                      <w:sz w:val="21"/>
                      <w:szCs w:val="21"/>
                      <w:highlight w:val="none"/>
                    </w:rPr>
                  </w:pPr>
                  <w:r>
                    <w:rPr>
                      <w:sz w:val="21"/>
                      <w:szCs w:val="21"/>
                      <w:highlight w:val="none"/>
                    </w:rPr>
                    <w:t>职工</w:t>
                  </w:r>
                </w:p>
              </w:tc>
              <w:tc>
                <w:tcPr>
                  <w:tcW w:w="1120" w:type="pct"/>
                  <w:vAlign w:val="center"/>
                </w:tcPr>
                <w:p>
                  <w:pPr>
                    <w:pStyle w:val="132"/>
                    <w:keepLines w:val="0"/>
                    <w:pageBreakBefore w:val="0"/>
                    <w:wordWrap/>
                    <w:topLinePunct w:val="0"/>
                    <w:bidi w:val="0"/>
                    <w:outlineLvl w:val="9"/>
                    <w:rPr>
                      <w:sz w:val="21"/>
                      <w:szCs w:val="21"/>
                      <w:highlight w:val="none"/>
                    </w:rPr>
                  </w:pPr>
                  <w:r>
                    <w:rPr>
                      <w:sz w:val="21"/>
                      <w:szCs w:val="21"/>
                      <w:highlight w:val="none"/>
                    </w:rPr>
                    <w:t>生活垃圾</w:t>
                  </w:r>
                </w:p>
              </w:tc>
              <w:tc>
                <w:tcPr>
                  <w:tcW w:w="870" w:type="pct"/>
                  <w:vAlign w:val="center"/>
                </w:tcPr>
                <w:p>
                  <w:pPr>
                    <w:pStyle w:val="132"/>
                    <w:keepLines w:val="0"/>
                    <w:pageBreakBefore w:val="0"/>
                    <w:wordWrap/>
                    <w:topLinePunct w:val="0"/>
                    <w:bidi w:val="0"/>
                    <w:outlineLvl w:val="9"/>
                    <w:rPr>
                      <w:sz w:val="21"/>
                      <w:szCs w:val="21"/>
                      <w:highlight w:val="none"/>
                    </w:rPr>
                  </w:pPr>
                  <w:r>
                    <w:rPr>
                      <w:sz w:val="21"/>
                      <w:szCs w:val="21"/>
                      <w:highlight w:val="none"/>
                    </w:rPr>
                    <w:t>/</w:t>
                  </w:r>
                </w:p>
              </w:tc>
              <w:tc>
                <w:tcPr>
                  <w:tcW w:w="387" w:type="pct"/>
                  <w:vMerge w:val="restart"/>
                  <w:vAlign w:val="center"/>
                </w:tcPr>
                <w:p>
                  <w:pPr>
                    <w:pStyle w:val="132"/>
                    <w:keepLines w:val="0"/>
                    <w:pageBreakBefore w:val="0"/>
                    <w:wordWrap/>
                    <w:topLinePunct w:val="0"/>
                    <w:bidi w:val="0"/>
                    <w:outlineLvl w:val="9"/>
                    <w:rPr>
                      <w:sz w:val="21"/>
                      <w:szCs w:val="21"/>
                      <w:highlight w:val="none"/>
                    </w:rPr>
                  </w:pPr>
                  <w:r>
                    <w:rPr>
                      <w:sz w:val="21"/>
                      <w:szCs w:val="21"/>
                      <w:highlight w:val="none"/>
                    </w:rPr>
                    <w:t>类比法</w:t>
                  </w:r>
                </w:p>
              </w:tc>
              <w:tc>
                <w:tcPr>
                  <w:tcW w:w="448" w:type="pct"/>
                  <w:vAlign w:val="center"/>
                </w:tcPr>
                <w:p>
                  <w:pPr>
                    <w:pStyle w:val="132"/>
                    <w:keepLines w:val="0"/>
                    <w:pageBreakBefore w:val="0"/>
                    <w:wordWrap/>
                    <w:topLinePunct w:val="0"/>
                    <w:bidi w:val="0"/>
                    <w:outlineLvl w:val="9"/>
                    <w:rPr>
                      <w:sz w:val="21"/>
                      <w:szCs w:val="21"/>
                      <w:highlight w:val="none"/>
                    </w:rPr>
                  </w:pPr>
                  <w:r>
                    <w:rPr>
                      <w:rFonts w:hint="eastAsia"/>
                      <w:sz w:val="21"/>
                      <w:szCs w:val="21"/>
                      <w:highlight w:val="none"/>
                    </w:rPr>
                    <w:t>0.9</w:t>
                  </w:r>
                </w:p>
              </w:tc>
              <w:tc>
                <w:tcPr>
                  <w:tcW w:w="655" w:type="pct"/>
                  <w:vAlign w:val="center"/>
                </w:tcPr>
                <w:p>
                  <w:pPr>
                    <w:pStyle w:val="132"/>
                    <w:keepLines w:val="0"/>
                    <w:pageBreakBefore w:val="0"/>
                    <w:wordWrap/>
                    <w:topLinePunct w:val="0"/>
                    <w:bidi w:val="0"/>
                    <w:outlineLvl w:val="9"/>
                    <w:rPr>
                      <w:sz w:val="21"/>
                      <w:szCs w:val="21"/>
                      <w:highlight w:val="none"/>
                    </w:rPr>
                  </w:pPr>
                  <w:r>
                    <w:rPr>
                      <w:rFonts w:hint="eastAsia"/>
                      <w:sz w:val="21"/>
                      <w:szCs w:val="21"/>
                      <w:highlight w:val="none"/>
                    </w:rPr>
                    <w:t>垃圾桶</w:t>
                  </w:r>
                </w:p>
              </w:tc>
              <w:tc>
                <w:tcPr>
                  <w:tcW w:w="549" w:type="pct"/>
                  <w:vAlign w:val="center"/>
                </w:tcPr>
                <w:p>
                  <w:pPr>
                    <w:pStyle w:val="132"/>
                    <w:keepLines w:val="0"/>
                    <w:pageBreakBefore w:val="0"/>
                    <w:wordWrap/>
                    <w:topLinePunct w:val="0"/>
                    <w:bidi w:val="0"/>
                    <w:outlineLvl w:val="9"/>
                    <w:rPr>
                      <w:sz w:val="21"/>
                      <w:szCs w:val="21"/>
                      <w:highlight w:val="none"/>
                    </w:rPr>
                  </w:pPr>
                  <w:r>
                    <w:rPr>
                      <w:rFonts w:hint="eastAsia"/>
                      <w:sz w:val="21"/>
                      <w:szCs w:val="21"/>
                      <w:highlight w:val="none"/>
                    </w:rPr>
                    <w:t>0.9</w:t>
                  </w:r>
                </w:p>
              </w:tc>
              <w:tc>
                <w:tcPr>
                  <w:tcW w:w="579" w:type="pct"/>
                  <w:vAlign w:val="center"/>
                </w:tcPr>
                <w:p>
                  <w:pPr>
                    <w:pStyle w:val="132"/>
                    <w:keepLines w:val="0"/>
                    <w:pageBreakBefore w:val="0"/>
                    <w:wordWrap/>
                    <w:topLinePunct w:val="0"/>
                    <w:bidi w:val="0"/>
                    <w:outlineLvl w:val="9"/>
                    <w:rPr>
                      <w:sz w:val="21"/>
                      <w:szCs w:val="21"/>
                      <w:highlight w:val="none"/>
                    </w:rPr>
                  </w:pPr>
                  <w:r>
                    <w:rPr>
                      <w:sz w:val="21"/>
                      <w:szCs w:val="21"/>
                      <w:highlight w:val="none"/>
                    </w:rPr>
                    <w:t>垃圾填埋场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Align w:val="center"/>
                </w:tcPr>
                <w:p>
                  <w:pPr>
                    <w:pStyle w:val="132"/>
                    <w:keepLines w:val="0"/>
                    <w:pageBreakBefore w:val="0"/>
                    <w:wordWrap/>
                    <w:topLinePunct w:val="0"/>
                    <w:bidi w:val="0"/>
                    <w:outlineLvl w:val="9"/>
                    <w:rPr>
                      <w:sz w:val="21"/>
                      <w:szCs w:val="21"/>
                      <w:highlight w:val="none"/>
                    </w:rPr>
                  </w:pPr>
                  <w:r>
                    <w:rPr>
                      <w:sz w:val="21"/>
                      <w:szCs w:val="21"/>
                      <w:highlight w:val="none"/>
                    </w:rPr>
                    <w:t>布袋除尘器</w:t>
                  </w:r>
                </w:p>
              </w:tc>
              <w:tc>
                <w:tcPr>
                  <w:tcW w:w="1120" w:type="pct"/>
                  <w:vAlign w:val="center"/>
                </w:tcPr>
                <w:p>
                  <w:pPr>
                    <w:pStyle w:val="132"/>
                    <w:keepLines w:val="0"/>
                    <w:pageBreakBefore w:val="0"/>
                    <w:wordWrap/>
                    <w:topLinePunct w:val="0"/>
                    <w:bidi w:val="0"/>
                    <w:outlineLvl w:val="9"/>
                    <w:rPr>
                      <w:sz w:val="21"/>
                      <w:szCs w:val="21"/>
                      <w:highlight w:val="none"/>
                    </w:rPr>
                  </w:pPr>
                  <w:r>
                    <w:rPr>
                      <w:sz w:val="21"/>
                      <w:szCs w:val="21"/>
                      <w:highlight w:val="none"/>
                    </w:rPr>
                    <w:t>布袋除尘器收尘</w:t>
                  </w:r>
                </w:p>
              </w:tc>
              <w:tc>
                <w:tcPr>
                  <w:tcW w:w="870" w:type="pct"/>
                  <w:vAlign w:val="center"/>
                </w:tcPr>
                <w:p>
                  <w:pPr>
                    <w:pStyle w:val="132"/>
                    <w:keepLines w:val="0"/>
                    <w:pageBreakBefore w:val="0"/>
                    <w:wordWrap/>
                    <w:topLinePunct w:val="0"/>
                    <w:bidi w:val="0"/>
                    <w:outlineLvl w:val="9"/>
                    <w:rPr>
                      <w:sz w:val="21"/>
                      <w:szCs w:val="21"/>
                      <w:highlight w:val="none"/>
                    </w:rPr>
                  </w:pPr>
                  <w:r>
                    <w:rPr>
                      <w:sz w:val="21"/>
                      <w:szCs w:val="21"/>
                      <w:highlight w:val="none"/>
                    </w:rPr>
                    <w:t>一般固体废物/443-001-66</w:t>
                  </w:r>
                </w:p>
              </w:tc>
              <w:tc>
                <w:tcPr>
                  <w:tcW w:w="387" w:type="pct"/>
                  <w:vMerge w:val="continue"/>
                  <w:vAlign w:val="center"/>
                </w:tcPr>
                <w:p>
                  <w:pPr>
                    <w:pStyle w:val="132"/>
                    <w:keepLines w:val="0"/>
                    <w:pageBreakBefore w:val="0"/>
                    <w:wordWrap/>
                    <w:topLinePunct w:val="0"/>
                    <w:bidi w:val="0"/>
                    <w:outlineLvl w:val="9"/>
                    <w:rPr>
                      <w:sz w:val="21"/>
                      <w:szCs w:val="21"/>
                      <w:highlight w:val="none"/>
                    </w:rPr>
                  </w:pPr>
                </w:p>
              </w:tc>
              <w:tc>
                <w:tcPr>
                  <w:tcW w:w="448" w:type="pct"/>
                  <w:vAlign w:val="center"/>
                </w:tcPr>
                <w:p>
                  <w:pPr>
                    <w:pStyle w:val="132"/>
                    <w:keepLines w:val="0"/>
                    <w:pageBreakBefore w:val="0"/>
                    <w:wordWrap/>
                    <w:topLinePunct w:val="0"/>
                    <w:bidi w:val="0"/>
                    <w:outlineLvl w:val="9"/>
                    <w:rPr>
                      <w:rFonts w:hint="eastAsia" w:eastAsia="宋体"/>
                      <w:sz w:val="21"/>
                      <w:szCs w:val="21"/>
                      <w:highlight w:val="none"/>
                      <w:lang w:eastAsia="zh-CN"/>
                    </w:rPr>
                  </w:pPr>
                  <w:r>
                    <w:rPr>
                      <w:rFonts w:hint="eastAsia"/>
                      <w:sz w:val="21"/>
                      <w:szCs w:val="21"/>
                      <w:highlight w:val="none"/>
                      <w:lang w:eastAsia="zh-CN"/>
                    </w:rPr>
                    <w:t>13.86</w:t>
                  </w:r>
                </w:p>
              </w:tc>
              <w:tc>
                <w:tcPr>
                  <w:tcW w:w="655" w:type="pct"/>
                  <w:vAlign w:val="center"/>
                </w:tcPr>
                <w:p>
                  <w:pPr>
                    <w:pStyle w:val="132"/>
                    <w:keepLines w:val="0"/>
                    <w:pageBreakBefore w:val="0"/>
                    <w:wordWrap/>
                    <w:topLinePunct w:val="0"/>
                    <w:bidi w:val="0"/>
                    <w:outlineLvl w:val="9"/>
                    <w:rPr>
                      <w:sz w:val="21"/>
                      <w:szCs w:val="21"/>
                      <w:highlight w:val="none"/>
                    </w:rPr>
                  </w:pPr>
                  <w:r>
                    <w:rPr>
                      <w:sz w:val="21"/>
                      <w:szCs w:val="21"/>
                      <w:highlight w:val="none"/>
                    </w:rPr>
                    <w:t>封闭暂存</w:t>
                  </w:r>
                </w:p>
              </w:tc>
              <w:tc>
                <w:tcPr>
                  <w:tcW w:w="549" w:type="pct"/>
                  <w:vAlign w:val="center"/>
                </w:tcPr>
                <w:p>
                  <w:pPr>
                    <w:pStyle w:val="132"/>
                    <w:keepLines w:val="0"/>
                    <w:pageBreakBefore w:val="0"/>
                    <w:wordWrap/>
                    <w:topLinePunct w:val="0"/>
                    <w:bidi w:val="0"/>
                    <w:outlineLvl w:val="9"/>
                    <w:rPr>
                      <w:rFonts w:hint="eastAsia" w:eastAsia="宋体"/>
                      <w:sz w:val="21"/>
                      <w:szCs w:val="21"/>
                      <w:highlight w:val="none"/>
                      <w:lang w:eastAsia="zh-CN"/>
                    </w:rPr>
                  </w:pPr>
                  <w:r>
                    <w:rPr>
                      <w:rFonts w:hint="eastAsia"/>
                      <w:sz w:val="21"/>
                      <w:szCs w:val="21"/>
                      <w:highlight w:val="none"/>
                      <w:lang w:eastAsia="zh-CN"/>
                    </w:rPr>
                    <w:t>13.86</w:t>
                  </w:r>
                </w:p>
              </w:tc>
              <w:tc>
                <w:tcPr>
                  <w:tcW w:w="579" w:type="pct"/>
                  <w:vAlign w:val="center"/>
                </w:tcPr>
                <w:p>
                  <w:pPr>
                    <w:pStyle w:val="132"/>
                    <w:keepLines w:val="0"/>
                    <w:pageBreakBefore w:val="0"/>
                    <w:wordWrap/>
                    <w:topLinePunct w:val="0"/>
                    <w:bidi w:val="0"/>
                    <w:outlineLvl w:val="9"/>
                    <w:rPr>
                      <w:sz w:val="21"/>
                      <w:szCs w:val="21"/>
                      <w:highlight w:val="none"/>
                    </w:rPr>
                  </w:pPr>
                  <w:r>
                    <w:rPr>
                      <w:sz w:val="21"/>
                      <w:szCs w:val="21"/>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Align w:val="center"/>
                </w:tcPr>
                <w:p>
                  <w:pPr>
                    <w:pStyle w:val="132"/>
                    <w:keepLines w:val="0"/>
                    <w:pageBreakBefore w:val="0"/>
                    <w:wordWrap/>
                    <w:topLinePunct w:val="0"/>
                    <w:bidi w:val="0"/>
                    <w:outlineLvl w:val="9"/>
                    <w:rPr>
                      <w:sz w:val="21"/>
                      <w:szCs w:val="21"/>
                      <w:highlight w:val="none"/>
                    </w:rPr>
                  </w:pPr>
                  <w:r>
                    <w:rPr>
                      <w:sz w:val="21"/>
                      <w:szCs w:val="21"/>
                      <w:highlight w:val="none"/>
                    </w:rPr>
                    <w:t>锅炉</w:t>
                  </w:r>
                </w:p>
              </w:tc>
              <w:tc>
                <w:tcPr>
                  <w:tcW w:w="1120" w:type="pct"/>
                  <w:vAlign w:val="center"/>
                </w:tcPr>
                <w:p>
                  <w:pPr>
                    <w:pStyle w:val="132"/>
                    <w:keepLines w:val="0"/>
                    <w:pageBreakBefore w:val="0"/>
                    <w:wordWrap/>
                    <w:topLinePunct w:val="0"/>
                    <w:bidi w:val="0"/>
                    <w:outlineLvl w:val="9"/>
                    <w:rPr>
                      <w:sz w:val="21"/>
                      <w:szCs w:val="21"/>
                      <w:highlight w:val="none"/>
                    </w:rPr>
                  </w:pPr>
                  <w:r>
                    <w:rPr>
                      <w:sz w:val="21"/>
                      <w:szCs w:val="21"/>
                      <w:highlight w:val="none"/>
                    </w:rPr>
                    <w:t>锅炉灰渣</w:t>
                  </w:r>
                </w:p>
              </w:tc>
              <w:tc>
                <w:tcPr>
                  <w:tcW w:w="870" w:type="pct"/>
                  <w:vAlign w:val="center"/>
                </w:tcPr>
                <w:p>
                  <w:pPr>
                    <w:pStyle w:val="132"/>
                    <w:keepLines w:val="0"/>
                    <w:pageBreakBefore w:val="0"/>
                    <w:wordWrap/>
                    <w:topLinePunct w:val="0"/>
                    <w:bidi w:val="0"/>
                    <w:outlineLvl w:val="9"/>
                    <w:rPr>
                      <w:sz w:val="21"/>
                      <w:szCs w:val="21"/>
                      <w:highlight w:val="none"/>
                    </w:rPr>
                  </w:pPr>
                  <w:r>
                    <w:rPr>
                      <w:sz w:val="21"/>
                      <w:szCs w:val="21"/>
                      <w:highlight w:val="none"/>
                    </w:rPr>
                    <w:t>一般固体废物/443-001-64</w:t>
                  </w:r>
                </w:p>
              </w:tc>
              <w:tc>
                <w:tcPr>
                  <w:tcW w:w="387" w:type="pct"/>
                  <w:vMerge w:val="continue"/>
                  <w:vAlign w:val="center"/>
                </w:tcPr>
                <w:p>
                  <w:pPr>
                    <w:pStyle w:val="132"/>
                    <w:keepLines w:val="0"/>
                    <w:pageBreakBefore w:val="0"/>
                    <w:wordWrap/>
                    <w:topLinePunct w:val="0"/>
                    <w:bidi w:val="0"/>
                    <w:outlineLvl w:val="9"/>
                    <w:rPr>
                      <w:sz w:val="21"/>
                      <w:szCs w:val="21"/>
                      <w:highlight w:val="none"/>
                    </w:rPr>
                  </w:pPr>
                </w:p>
              </w:tc>
              <w:tc>
                <w:tcPr>
                  <w:tcW w:w="448" w:type="pct"/>
                  <w:vAlign w:val="center"/>
                </w:tcPr>
                <w:p>
                  <w:pPr>
                    <w:pStyle w:val="132"/>
                    <w:keepLines w:val="0"/>
                    <w:pageBreakBefore w:val="0"/>
                    <w:wordWrap/>
                    <w:topLinePunct w:val="0"/>
                    <w:bidi w:val="0"/>
                    <w:outlineLvl w:val="9"/>
                    <w:rPr>
                      <w:sz w:val="21"/>
                      <w:szCs w:val="21"/>
                      <w:highlight w:val="none"/>
                    </w:rPr>
                  </w:pPr>
                  <w:r>
                    <w:rPr>
                      <w:rFonts w:hint="eastAsia"/>
                      <w:sz w:val="21"/>
                      <w:szCs w:val="21"/>
                      <w:highlight w:val="none"/>
                    </w:rPr>
                    <w:t>67.2</w:t>
                  </w:r>
                </w:p>
              </w:tc>
              <w:tc>
                <w:tcPr>
                  <w:tcW w:w="655" w:type="pct"/>
                  <w:vAlign w:val="center"/>
                </w:tcPr>
                <w:p>
                  <w:pPr>
                    <w:pStyle w:val="133"/>
                    <w:keepLines w:val="0"/>
                    <w:pageBreakBefore w:val="0"/>
                    <w:wordWrap/>
                    <w:topLinePunct w:val="0"/>
                    <w:bidi w:val="0"/>
                    <w:jc w:val="center"/>
                    <w:outlineLvl w:val="9"/>
                    <w:rPr>
                      <w:sz w:val="21"/>
                      <w:szCs w:val="21"/>
                      <w:highlight w:val="none"/>
                    </w:rPr>
                  </w:pPr>
                  <w:r>
                    <w:rPr>
                      <w:sz w:val="21"/>
                      <w:szCs w:val="21"/>
                      <w:highlight w:val="none"/>
                    </w:rPr>
                    <w:t>封闭暂存</w:t>
                  </w:r>
                </w:p>
              </w:tc>
              <w:tc>
                <w:tcPr>
                  <w:tcW w:w="549" w:type="pct"/>
                  <w:vAlign w:val="center"/>
                </w:tcPr>
                <w:p>
                  <w:pPr>
                    <w:pStyle w:val="132"/>
                    <w:keepLines w:val="0"/>
                    <w:pageBreakBefore w:val="0"/>
                    <w:wordWrap/>
                    <w:topLinePunct w:val="0"/>
                    <w:bidi w:val="0"/>
                    <w:outlineLvl w:val="9"/>
                    <w:rPr>
                      <w:sz w:val="21"/>
                      <w:szCs w:val="21"/>
                      <w:highlight w:val="none"/>
                    </w:rPr>
                  </w:pPr>
                  <w:r>
                    <w:rPr>
                      <w:rFonts w:hint="eastAsia"/>
                      <w:sz w:val="21"/>
                      <w:szCs w:val="21"/>
                      <w:highlight w:val="none"/>
                    </w:rPr>
                    <w:t>67.2</w:t>
                  </w:r>
                </w:p>
              </w:tc>
              <w:tc>
                <w:tcPr>
                  <w:tcW w:w="579" w:type="pct"/>
                  <w:vAlign w:val="center"/>
                </w:tcPr>
                <w:p>
                  <w:pPr>
                    <w:pStyle w:val="132"/>
                    <w:keepLines w:val="0"/>
                    <w:pageBreakBefore w:val="0"/>
                    <w:wordWrap/>
                    <w:topLinePunct w:val="0"/>
                    <w:bidi w:val="0"/>
                    <w:outlineLvl w:val="9"/>
                    <w:rPr>
                      <w:sz w:val="21"/>
                      <w:szCs w:val="21"/>
                      <w:highlight w:val="none"/>
                    </w:rPr>
                  </w:pPr>
                  <w:r>
                    <w:rPr>
                      <w:sz w:val="21"/>
                      <w:szCs w:val="21"/>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Align w:val="center"/>
                </w:tcPr>
                <w:p>
                  <w:pPr>
                    <w:pStyle w:val="132"/>
                    <w:keepLines w:val="0"/>
                    <w:pageBreakBefore w:val="0"/>
                    <w:wordWrap/>
                    <w:topLinePunct w:val="0"/>
                    <w:bidi w:val="0"/>
                    <w:outlineLvl w:val="9"/>
                    <w:rPr>
                      <w:sz w:val="21"/>
                      <w:szCs w:val="21"/>
                      <w:highlight w:val="none"/>
                    </w:rPr>
                  </w:pPr>
                  <w:r>
                    <w:rPr>
                      <w:rFonts w:hint="eastAsia"/>
                      <w:sz w:val="21"/>
                      <w:szCs w:val="21"/>
                      <w:highlight w:val="none"/>
                    </w:rPr>
                    <w:t>包装</w:t>
                  </w:r>
                </w:p>
              </w:tc>
              <w:tc>
                <w:tcPr>
                  <w:tcW w:w="1120" w:type="pct"/>
                  <w:vAlign w:val="center"/>
                </w:tcPr>
                <w:p>
                  <w:pPr>
                    <w:pStyle w:val="132"/>
                    <w:keepLines w:val="0"/>
                    <w:pageBreakBefore w:val="0"/>
                    <w:wordWrap/>
                    <w:topLinePunct w:val="0"/>
                    <w:bidi w:val="0"/>
                    <w:outlineLvl w:val="9"/>
                    <w:rPr>
                      <w:sz w:val="21"/>
                      <w:szCs w:val="21"/>
                      <w:highlight w:val="none"/>
                    </w:rPr>
                  </w:pPr>
                  <w:r>
                    <w:rPr>
                      <w:rFonts w:hint="eastAsia"/>
                      <w:sz w:val="21"/>
                      <w:szCs w:val="21"/>
                      <w:highlight w:val="none"/>
                    </w:rPr>
                    <w:t>废弃包装</w:t>
                  </w:r>
                </w:p>
              </w:tc>
              <w:tc>
                <w:tcPr>
                  <w:tcW w:w="870" w:type="pct"/>
                  <w:vAlign w:val="center"/>
                </w:tcPr>
                <w:p>
                  <w:pPr>
                    <w:pStyle w:val="132"/>
                    <w:keepLines w:val="0"/>
                    <w:pageBreakBefore w:val="0"/>
                    <w:wordWrap/>
                    <w:topLinePunct w:val="0"/>
                    <w:bidi w:val="0"/>
                    <w:outlineLvl w:val="9"/>
                    <w:rPr>
                      <w:sz w:val="21"/>
                      <w:szCs w:val="21"/>
                      <w:highlight w:val="none"/>
                    </w:rPr>
                  </w:pPr>
                  <w:r>
                    <w:rPr>
                      <w:color w:val="000000" w:themeColor="text1"/>
                      <w:sz w:val="21"/>
                      <w:szCs w:val="21"/>
                      <w:highlight w:val="none"/>
                      <w14:textFill>
                        <w14:solidFill>
                          <w14:schemeClr w14:val="tx1"/>
                        </w14:solidFill>
                      </w14:textFill>
                    </w:rPr>
                    <w:t>一般固体废物/143-002-3</w:t>
                  </w:r>
                  <w:r>
                    <w:rPr>
                      <w:rFonts w:hint="eastAsia"/>
                      <w:color w:val="000000" w:themeColor="text1"/>
                      <w:sz w:val="21"/>
                      <w:szCs w:val="21"/>
                      <w:highlight w:val="none"/>
                      <w14:textFill>
                        <w14:solidFill>
                          <w14:schemeClr w14:val="tx1"/>
                        </w14:solidFill>
                      </w14:textFill>
                    </w:rPr>
                    <w:t>9</w:t>
                  </w:r>
                </w:p>
              </w:tc>
              <w:tc>
                <w:tcPr>
                  <w:tcW w:w="387" w:type="pct"/>
                  <w:vMerge w:val="continue"/>
                  <w:vAlign w:val="center"/>
                </w:tcPr>
                <w:p>
                  <w:pPr>
                    <w:pStyle w:val="132"/>
                    <w:keepLines w:val="0"/>
                    <w:pageBreakBefore w:val="0"/>
                    <w:wordWrap/>
                    <w:topLinePunct w:val="0"/>
                    <w:bidi w:val="0"/>
                    <w:outlineLvl w:val="9"/>
                    <w:rPr>
                      <w:sz w:val="21"/>
                      <w:szCs w:val="21"/>
                      <w:highlight w:val="none"/>
                    </w:rPr>
                  </w:pPr>
                </w:p>
              </w:tc>
              <w:tc>
                <w:tcPr>
                  <w:tcW w:w="448" w:type="pct"/>
                  <w:vAlign w:val="center"/>
                </w:tcPr>
                <w:p>
                  <w:pPr>
                    <w:pStyle w:val="132"/>
                    <w:keepLines w:val="0"/>
                    <w:pageBreakBefore w:val="0"/>
                    <w:wordWrap/>
                    <w:topLinePunct w:val="0"/>
                    <w:bidi w:val="0"/>
                    <w:outlineLvl w:val="9"/>
                    <w:rPr>
                      <w:sz w:val="21"/>
                      <w:szCs w:val="21"/>
                      <w:highlight w:val="none"/>
                    </w:rPr>
                  </w:pPr>
                  <w:r>
                    <w:rPr>
                      <w:rFonts w:hint="eastAsia"/>
                      <w:sz w:val="21"/>
                      <w:szCs w:val="21"/>
                      <w:highlight w:val="none"/>
                    </w:rPr>
                    <w:t>0.4</w:t>
                  </w:r>
                </w:p>
              </w:tc>
              <w:tc>
                <w:tcPr>
                  <w:tcW w:w="655" w:type="pct"/>
                  <w:vAlign w:val="center"/>
                </w:tcPr>
                <w:p>
                  <w:pPr>
                    <w:pStyle w:val="133"/>
                    <w:keepLines w:val="0"/>
                    <w:pageBreakBefore w:val="0"/>
                    <w:wordWrap/>
                    <w:topLinePunct w:val="0"/>
                    <w:bidi w:val="0"/>
                    <w:jc w:val="center"/>
                    <w:outlineLvl w:val="9"/>
                    <w:rPr>
                      <w:sz w:val="21"/>
                      <w:szCs w:val="21"/>
                      <w:highlight w:val="none"/>
                    </w:rPr>
                  </w:pPr>
                  <w:r>
                    <w:rPr>
                      <w:sz w:val="21"/>
                      <w:szCs w:val="21"/>
                      <w:highlight w:val="none"/>
                    </w:rPr>
                    <w:t>集中收集</w:t>
                  </w:r>
                </w:p>
              </w:tc>
              <w:tc>
                <w:tcPr>
                  <w:tcW w:w="549" w:type="pct"/>
                  <w:vAlign w:val="center"/>
                </w:tcPr>
                <w:p>
                  <w:pPr>
                    <w:pStyle w:val="132"/>
                    <w:keepLines w:val="0"/>
                    <w:pageBreakBefore w:val="0"/>
                    <w:wordWrap/>
                    <w:topLinePunct w:val="0"/>
                    <w:bidi w:val="0"/>
                    <w:outlineLvl w:val="9"/>
                    <w:rPr>
                      <w:sz w:val="21"/>
                      <w:szCs w:val="21"/>
                      <w:highlight w:val="none"/>
                    </w:rPr>
                  </w:pPr>
                  <w:r>
                    <w:rPr>
                      <w:rFonts w:hint="eastAsia"/>
                      <w:sz w:val="21"/>
                      <w:szCs w:val="21"/>
                      <w:highlight w:val="none"/>
                    </w:rPr>
                    <w:t>0.4</w:t>
                  </w:r>
                </w:p>
              </w:tc>
              <w:tc>
                <w:tcPr>
                  <w:tcW w:w="579" w:type="pct"/>
                  <w:vAlign w:val="center"/>
                </w:tcPr>
                <w:p>
                  <w:pPr>
                    <w:pStyle w:val="132"/>
                    <w:keepLines w:val="0"/>
                    <w:pageBreakBefore w:val="0"/>
                    <w:wordWrap/>
                    <w:topLinePunct w:val="0"/>
                    <w:bidi w:val="0"/>
                    <w:outlineLvl w:val="9"/>
                    <w:rPr>
                      <w:sz w:val="21"/>
                      <w:szCs w:val="21"/>
                      <w:highlight w:val="none"/>
                    </w:rPr>
                  </w:pPr>
                  <w:r>
                    <w:rPr>
                      <w:sz w:val="21"/>
                      <w:szCs w:val="21"/>
                      <w:highlight w:val="none"/>
                    </w:rPr>
                    <w:t>外售综合利用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剥皮</w:t>
                  </w:r>
                </w:p>
              </w:tc>
              <w:tc>
                <w:tcPr>
                  <w:tcW w:w="1120" w:type="pct"/>
                  <w:vAlign w:val="center"/>
                </w:tcPr>
                <w:p>
                  <w:pPr>
                    <w:pStyle w:val="132"/>
                    <w:keepLines w:val="0"/>
                    <w:pageBreakBefore w:val="0"/>
                    <w:wordWrap/>
                    <w:topLinePunct w:val="0"/>
                    <w:bidi w:val="0"/>
                    <w:jc w:val="both"/>
                    <w:outlineLvl w:val="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玉米皮、玉米须和缺粒、杂色、成熟度过高或过低的不合格玉米、边角料</w:t>
                  </w:r>
                </w:p>
              </w:tc>
              <w:tc>
                <w:tcPr>
                  <w:tcW w:w="870"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一般固体废物/143-002-34</w:t>
                  </w:r>
                </w:p>
              </w:tc>
              <w:tc>
                <w:tcPr>
                  <w:tcW w:w="387" w:type="pct"/>
                  <w:vMerge w:val="continue"/>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p>
              </w:tc>
              <w:tc>
                <w:tcPr>
                  <w:tcW w:w="448"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100</w:t>
                  </w:r>
                </w:p>
              </w:tc>
              <w:tc>
                <w:tcPr>
                  <w:tcW w:w="655" w:type="pct"/>
                  <w:vAlign w:val="center"/>
                </w:tcPr>
                <w:p>
                  <w:pPr>
                    <w:pStyle w:val="133"/>
                    <w:keepLines w:val="0"/>
                    <w:pageBreakBefore w:val="0"/>
                    <w:wordWrap/>
                    <w:topLinePunct w:val="0"/>
                    <w:bidi w:val="0"/>
                    <w:jc w:val="center"/>
                    <w:outlineLvl w:val="9"/>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袋装或桶装方式密闭存储</w:t>
                  </w:r>
                </w:p>
              </w:tc>
              <w:tc>
                <w:tcPr>
                  <w:tcW w:w="549"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100</w:t>
                  </w:r>
                </w:p>
              </w:tc>
              <w:tc>
                <w:tcPr>
                  <w:tcW w:w="579"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废布袋</w:t>
                  </w:r>
                </w:p>
              </w:tc>
              <w:tc>
                <w:tcPr>
                  <w:tcW w:w="1120"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废布袋</w:t>
                  </w:r>
                </w:p>
              </w:tc>
              <w:tc>
                <w:tcPr>
                  <w:tcW w:w="870"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一般固体废物/900-999-99</w:t>
                  </w:r>
                </w:p>
              </w:tc>
              <w:tc>
                <w:tcPr>
                  <w:tcW w:w="387" w:type="pct"/>
                  <w:vMerge w:val="continue"/>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p>
              </w:tc>
              <w:tc>
                <w:tcPr>
                  <w:tcW w:w="448"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0.2/2a</w:t>
                  </w:r>
                </w:p>
              </w:tc>
              <w:tc>
                <w:tcPr>
                  <w:tcW w:w="655" w:type="pct"/>
                  <w:vAlign w:val="center"/>
                </w:tcPr>
                <w:p>
                  <w:pPr>
                    <w:pStyle w:val="133"/>
                    <w:keepLines w:val="0"/>
                    <w:pageBreakBefore w:val="0"/>
                    <w:wordWrap/>
                    <w:topLinePunct w:val="0"/>
                    <w:bidi w:val="0"/>
                    <w:outlineLvl w:val="9"/>
                    <w:rPr>
                      <w:color w:val="000000" w:themeColor="text1"/>
                      <w:sz w:val="21"/>
                      <w:szCs w:val="21"/>
                      <w:highlight w:val="none"/>
                      <w14:textFill>
                        <w14:solidFill>
                          <w14:schemeClr w14:val="tx1"/>
                        </w14:solidFill>
                      </w14:textFill>
                    </w:rPr>
                  </w:pPr>
                  <w:r>
                    <w:rPr>
                      <w:rFonts w:hint="eastAsia"/>
                      <w:kern w:val="0"/>
                      <w:szCs w:val="21"/>
                      <w:highlight w:val="none"/>
                      <w:lang w:bidi="ar"/>
                    </w:rPr>
                    <w:t>由</w:t>
                  </w:r>
                  <w:r>
                    <w:rPr>
                      <w:rFonts w:hint="eastAsia"/>
                      <w:kern w:val="0"/>
                      <w:szCs w:val="21"/>
                      <w:highlight w:val="none"/>
                      <w:lang w:val="en-US" w:eastAsia="zh-CN" w:bidi="ar"/>
                    </w:rPr>
                    <w:t>厂家统一回收</w:t>
                  </w:r>
                </w:p>
              </w:tc>
              <w:tc>
                <w:tcPr>
                  <w:tcW w:w="549"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0.2/2a</w:t>
                  </w:r>
                </w:p>
              </w:tc>
              <w:tc>
                <w:tcPr>
                  <w:tcW w:w="579" w:type="pct"/>
                  <w:vAlign w:val="center"/>
                </w:tcPr>
                <w:p>
                  <w:pPr>
                    <w:pStyle w:val="133"/>
                    <w:keepLines w:val="0"/>
                    <w:pageBreakBefore w:val="0"/>
                    <w:wordWrap/>
                    <w:topLinePunct w:val="0"/>
                    <w:bidi w:val="0"/>
                    <w:outlineLvl w:val="9"/>
                    <w:rPr>
                      <w:color w:val="000000" w:themeColor="text1"/>
                      <w:sz w:val="21"/>
                      <w:szCs w:val="21"/>
                      <w:highlight w:val="none"/>
                      <w14:textFill>
                        <w14:solidFill>
                          <w14:schemeClr w14:val="tx1"/>
                        </w14:solidFill>
                      </w14:textFill>
                    </w:rPr>
                  </w:pPr>
                  <w:r>
                    <w:rPr>
                      <w:rFonts w:hint="eastAsia"/>
                      <w:kern w:val="0"/>
                      <w:szCs w:val="21"/>
                      <w:highlight w:val="none"/>
                      <w:lang w:bidi="ar"/>
                    </w:rPr>
                    <w:t>由</w:t>
                  </w:r>
                  <w:r>
                    <w:rPr>
                      <w:rFonts w:hint="eastAsia"/>
                      <w:kern w:val="0"/>
                      <w:szCs w:val="21"/>
                      <w:highlight w:val="none"/>
                      <w:lang w:val="en-US" w:eastAsia="zh-CN" w:bidi="ar"/>
                    </w:rPr>
                    <w:t>厂家统一回收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87"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废离子交换树脂</w:t>
                  </w:r>
                </w:p>
              </w:tc>
              <w:tc>
                <w:tcPr>
                  <w:tcW w:w="1120"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废离子交换树脂</w:t>
                  </w:r>
                </w:p>
              </w:tc>
              <w:tc>
                <w:tcPr>
                  <w:tcW w:w="870"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一般固体废物/143-002-99</w:t>
                  </w:r>
                </w:p>
              </w:tc>
              <w:tc>
                <w:tcPr>
                  <w:tcW w:w="387" w:type="pct"/>
                  <w:vMerge w:val="continue"/>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p>
              </w:tc>
              <w:tc>
                <w:tcPr>
                  <w:tcW w:w="448"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0.2</w:t>
                  </w:r>
                </w:p>
              </w:tc>
              <w:tc>
                <w:tcPr>
                  <w:tcW w:w="655" w:type="pct"/>
                  <w:vAlign w:val="center"/>
                </w:tcPr>
                <w:p>
                  <w:pPr>
                    <w:pStyle w:val="133"/>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厂家回收再利用</w:t>
                  </w:r>
                </w:p>
              </w:tc>
              <w:tc>
                <w:tcPr>
                  <w:tcW w:w="549" w:type="pct"/>
                  <w:vAlign w:val="center"/>
                </w:tcPr>
                <w:p>
                  <w:pPr>
                    <w:pStyle w:val="132"/>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0.2</w:t>
                  </w:r>
                </w:p>
              </w:tc>
              <w:tc>
                <w:tcPr>
                  <w:tcW w:w="579" w:type="pct"/>
                  <w:vAlign w:val="center"/>
                </w:tcPr>
                <w:p>
                  <w:pPr>
                    <w:pStyle w:val="133"/>
                    <w:keepLines w:val="0"/>
                    <w:pageBreakBefore w:val="0"/>
                    <w:wordWrap/>
                    <w:topLinePunct w:val="0"/>
                    <w:bidi w:val="0"/>
                    <w:outlineLvl w:val="9"/>
                    <w:rPr>
                      <w:color w:val="000000" w:themeColor="text1"/>
                      <w:sz w:val="21"/>
                      <w:szCs w:val="21"/>
                      <w:highlight w:val="none"/>
                      <w14:textFill>
                        <w14:solidFill>
                          <w14:schemeClr w14:val="tx1"/>
                        </w14:solidFill>
                      </w14:textFill>
                    </w:rPr>
                  </w:pPr>
                  <w:r>
                    <w:rPr>
                      <w:sz w:val="21"/>
                      <w:szCs w:val="21"/>
                      <w:highlight w:val="none"/>
                    </w:rPr>
                    <w:t>厂家回收再利用</w:t>
                  </w:r>
                </w:p>
              </w:tc>
            </w:tr>
          </w:tbl>
          <w:p>
            <w:pPr>
              <w:keepLines w:val="0"/>
              <w:pageBreakBefore w:val="0"/>
              <w:wordWrap/>
              <w:topLinePunct w:val="0"/>
              <w:bidi w:val="0"/>
              <w:spacing w:line="480" w:lineRule="exact"/>
              <w:ind w:firstLine="482" w:firstLineChars="200"/>
              <w:outlineLvl w:val="9"/>
              <w:rPr>
                <w:b/>
                <w:sz w:val="24"/>
                <w:highlight w:val="none"/>
              </w:rPr>
            </w:pPr>
            <w:r>
              <w:rPr>
                <w:rFonts w:hint="eastAsia"/>
                <w:b/>
                <w:sz w:val="24"/>
                <w:highlight w:val="none"/>
              </w:rPr>
              <w:t>五</w:t>
            </w:r>
            <w:r>
              <w:rPr>
                <w:b/>
                <w:sz w:val="24"/>
                <w:highlight w:val="none"/>
              </w:rPr>
              <w:t>、</w:t>
            </w:r>
            <w:r>
              <w:rPr>
                <w:rFonts w:hint="eastAsia"/>
                <w:b/>
                <w:sz w:val="24"/>
                <w:highlight w:val="none"/>
              </w:rPr>
              <w:t>地下水</w:t>
            </w:r>
          </w:p>
          <w:p>
            <w:pPr>
              <w:keepLines w:val="0"/>
              <w:pageBreakBefore w:val="0"/>
              <w:wordWrap/>
              <w:topLinePunct w:val="0"/>
              <w:bidi w:val="0"/>
              <w:adjustRightInd w:val="0"/>
              <w:snapToGrid w:val="0"/>
              <w:spacing w:line="480" w:lineRule="exact"/>
              <w:ind w:firstLine="480" w:firstLineChars="200"/>
              <w:outlineLvl w:val="9"/>
              <w:rPr>
                <w:sz w:val="24"/>
                <w:highlight w:val="none"/>
              </w:rPr>
            </w:pPr>
            <w:r>
              <w:rPr>
                <w:rFonts w:hint="eastAsia"/>
                <w:sz w:val="24"/>
                <w:highlight w:val="none"/>
              </w:rPr>
              <w:t>20m</w:t>
            </w:r>
            <w:r>
              <w:rPr>
                <w:rFonts w:hint="eastAsia"/>
                <w:sz w:val="24"/>
                <w:highlight w:val="none"/>
                <w:vertAlign w:val="superscript"/>
              </w:rPr>
              <w:t>3</w:t>
            </w:r>
            <w:r>
              <w:rPr>
                <w:rFonts w:hint="eastAsia"/>
                <w:sz w:val="24"/>
                <w:highlight w:val="none"/>
              </w:rPr>
              <w:t>防渗污水储池采用2mm厚的HDPE土工膜及无纺布（两布一膜）作为主防渗层。在主防渗层以上采用混凝土浇筑，地面等效黏土防渗层Mb≥</w:t>
            </w:r>
            <w:r>
              <w:rPr>
                <w:sz w:val="24"/>
                <w:highlight w:val="none"/>
              </w:rPr>
              <w:t>1.5</w:t>
            </w:r>
            <w:r>
              <w:rPr>
                <w:rFonts w:hint="eastAsia"/>
                <w:sz w:val="24"/>
                <w:highlight w:val="none"/>
              </w:rPr>
              <w:t>m，渗透系数小于1×10</w:t>
            </w:r>
            <w:r>
              <w:rPr>
                <w:rFonts w:hint="eastAsia"/>
                <w:sz w:val="24"/>
                <w:highlight w:val="none"/>
                <w:vertAlign w:val="superscript"/>
              </w:rPr>
              <w:t>-</w:t>
            </w:r>
            <w:r>
              <w:rPr>
                <w:sz w:val="24"/>
                <w:highlight w:val="none"/>
                <w:vertAlign w:val="superscript"/>
              </w:rPr>
              <w:t>7</w:t>
            </w:r>
            <w:r>
              <w:rPr>
                <w:rFonts w:hint="eastAsia"/>
                <w:sz w:val="24"/>
                <w:highlight w:val="none"/>
              </w:rPr>
              <w:t>cm/s，</w:t>
            </w:r>
            <w:r>
              <w:rPr>
                <w:sz w:val="24"/>
                <w:highlight w:val="none"/>
              </w:rPr>
              <w:t>可有效</w:t>
            </w:r>
            <w:r>
              <w:rPr>
                <w:rFonts w:hint="eastAsia"/>
                <w:sz w:val="24"/>
                <w:highlight w:val="none"/>
              </w:rPr>
              <w:t>防止地下水污染。</w:t>
            </w:r>
          </w:p>
          <w:p>
            <w:pPr>
              <w:keepLines w:val="0"/>
              <w:pageBreakBefore w:val="0"/>
              <w:wordWrap/>
              <w:topLinePunct w:val="0"/>
              <w:bidi w:val="0"/>
              <w:adjustRightInd w:val="0"/>
              <w:snapToGrid w:val="0"/>
              <w:spacing w:line="480" w:lineRule="exact"/>
              <w:ind w:firstLine="480" w:firstLineChars="200"/>
              <w:outlineLvl w:val="9"/>
              <w:rPr>
                <w:sz w:val="24"/>
                <w:highlight w:val="none"/>
              </w:rPr>
            </w:pPr>
            <w:r>
              <w:rPr>
                <w:sz w:val="24"/>
                <w:highlight w:val="none"/>
              </w:rPr>
              <w:t xml:space="preserve">根据《环境影响评价技术导则 </w:t>
            </w:r>
            <w:r>
              <w:rPr>
                <w:rFonts w:hint="eastAsia"/>
                <w:sz w:val="24"/>
                <w:highlight w:val="none"/>
              </w:rPr>
              <w:t>地下水环境</w:t>
            </w:r>
            <w:r>
              <w:rPr>
                <w:sz w:val="24"/>
                <w:highlight w:val="none"/>
              </w:rPr>
              <w:t>》（HJ610-2016）附录A中的内容，本项目</w:t>
            </w:r>
            <w:r>
              <w:rPr>
                <w:rFonts w:hint="eastAsia"/>
                <w:sz w:val="24"/>
                <w:highlight w:val="none"/>
              </w:rPr>
              <w:t>地下水</w:t>
            </w:r>
            <w:r>
              <w:rPr>
                <w:sz w:val="24"/>
                <w:highlight w:val="none"/>
              </w:rPr>
              <w:t>环境影响评价项目类别为“</w:t>
            </w:r>
            <w:r>
              <w:rPr>
                <w:rFonts w:hint="eastAsia"/>
                <w:sz w:val="24"/>
                <w:highlight w:val="none"/>
              </w:rPr>
              <w:t>107 其他食品制造</w:t>
            </w:r>
            <w:r>
              <w:rPr>
                <w:sz w:val="24"/>
                <w:highlight w:val="none"/>
              </w:rPr>
              <w:t>”，属于Ⅳ类项目</w:t>
            </w:r>
            <w:r>
              <w:rPr>
                <w:rFonts w:hint="eastAsia"/>
                <w:sz w:val="24"/>
                <w:highlight w:val="none"/>
              </w:rPr>
              <w:t>，项目距开源村水源井（供水户数约100户，供水人口约300人，属于分散式水源地）400m，不属于</w:t>
            </w:r>
            <w:r>
              <w:rPr>
                <w:sz w:val="24"/>
                <w:highlight w:val="none"/>
              </w:rPr>
              <w:t>《建设项目环境影响报告表编制技术指南（污染影响类）（试行）》</w:t>
            </w:r>
            <w:r>
              <w:rPr>
                <w:rFonts w:hint="eastAsia"/>
                <w:sz w:val="24"/>
                <w:highlight w:val="none"/>
              </w:rPr>
              <w:t>中的集中式饮用水水源和热水、矿泉水、温泉等特殊地下水资源保护区</w:t>
            </w:r>
            <w:r>
              <w:rPr>
                <w:sz w:val="24"/>
                <w:highlight w:val="none"/>
              </w:rPr>
              <w:t>，因此本项目可不开展</w:t>
            </w:r>
            <w:r>
              <w:rPr>
                <w:rFonts w:hint="eastAsia"/>
                <w:sz w:val="24"/>
                <w:highlight w:val="none"/>
              </w:rPr>
              <w:t>地下水</w:t>
            </w:r>
            <w:r>
              <w:rPr>
                <w:sz w:val="24"/>
                <w:highlight w:val="none"/>
              </w:rPr>
              <w:t>环境影响评价工作。</w:t>
            </w:r>
          </w:p>
          <w:p>
            <w:pPr>
              <w:keepLines w:val="0"/>
              <w:pageBreakBefore w:val="0"/>
              <w:wordWrap/>
              <w:topLinePunct w:val="0"/>
              <w:bidi w:val="0"/>
              <w:spacing w:line="480" w:lineRule="exact"/>
              <w:ind w:firstLine="482" w:firstLineChars="200"/>
              <w:outlineLvl w:val="9"/>
              <w:rPr>
                <w:b/>
                <w:sz w:val="24"/>
                <w:highlight w:val="none"/>
              </w:rPr>
            </w:pPr>
            <w:r>
              <w:rPr>
                <w:rFonts w:hint="eastAsia"/>
                <w:b/>
                <w:sz w:val="24"/>
                <w:highlight w:val="none"/>
              </w:rPr>
              <w:t>六</w:t>
            </w:r>
            <w:r>
              <w:rPr>
                <w:b/>
                <w:sz w:val="24"/>
                <w:highlight w:val="none"/>
              </w:rPr>
              <w:t>、</w:t>
            </w:r>
            <w:r>
              <w:rPr>
                <w:rFonts w:hint="eastAsia"/>
                <w:b/>
                <w:sz w:val="24"/>
                <w:highlight w:val="none"/>
              </w:rPr>
              <w:t>土壤</w:t>
            </w:r>
          </w:p>
          <w:p>
            <w:pPr>
              <w:keepLines w:val="0"/>
              <w:pageBreakBefore w:val="0"/>
              <w:wordWrap/>
              <w:topLinePunct w:val="0"/>
              <w:bidi w:val="0"/>
              <w:adjustRightInd w:val="0"/>
              <w:snapToGrid w:val="0"/>
              <w:spacing w:line="480" w:lineRule="exact"/>
              <w:ind w:firstLine="480" w:firstLineChars="200"/>
              <w:outlineLvl w:val="9"/>
              <w:rPr>
                <w:sz w:val="24"/>
                <w:highlight w:val="none"/>
              </w:rPr>
            </w:pPr>
            <w:r>
              <w:rPr>
                <w:sz w:val="24"/>
                <w:highlight w:val="none"/>
              </w:rPr>
              <w:t>根据《环境影响评价技术导则 土壤环境（试行）》（HJ964-2018）附录A中的内容，本项目土壤环境影响评价项目类别为“</w:t>
            </w:r>
            <w:r>
              <w:rPr>
                <w:rFonts w:hint="eastAsia"/>
                <w:sz w:val="24"/>
                <w:highlight w:val="none"/>
              </w:rPr>
              <w:t>其他行业</w:t>
            </w:r>
            <w:r>
              <w:rPr>
                <w:sz w:val="24"/>
                <w:highlight w:val="none"/>
              </w:rPr>
              <w:t>”，属于Ⅳ类项目，因此本项目可不开展土环境影响评价工作</w:t>
            </w:r>
            <w:r>
              <w:rPr>
                <w:rFonts w:hint="eastAsia"/>
                <w:sz w:val="24"/>
                <w:highlight w:val="none"/>
              </w:rPr>
              <w:t>。</w:t>
            </w:r>
          </w:p>
          <w:p>
            <w:pPr>
              <w:keepLines w:val="0"/>
              <w:pageBreakBefore w:val="0"/>
              <w:wordWrap/>
              <w:topLinePunct w:val="0"/>
              <w:bidi w:val="0"/>
              <w:adjustRightInd w:val="0"/>
              <w:snapToGrid w:val="0"/>
              <w:spacing w:line="480" w:lineRule="exact"/>
              <w:ind w:firstLine="480" w:firstLineChars="200"/>
              <w:outlineLvl w:val="9"/>
              <w:rPr>
                <w:sz w:val="24"/>
                <w:highlight w:val="none"/>
              </w:rPr>
            </w:pPr>
          </w:p>
          <w:p>
            <w:pPr>
              <w:keepLines w:val="0"/>
              <w:pageBreakBefore w:val="0"/>
              <w:wordWrap/>
              <w:topLinePunct w:val="0"/>
              <w:bidi w:val="0"/>
              <w:adjustRightInd w:val="0"/>
              <w:snapToGrid w:val="0"/>
              <w:spacing w:line="480" w:lineRule="exact"/>
              <w:ind w:firstLine="480" w:firstLineChars="200"/>
              <w:outlineLvl w:val="9"/>
              <w:rPr>
                <w:sz w:val="24"/>
                <w:highlight w:val="none"/>
              </w:rPr>
            </w:pPr>
          </w:p>
          <w:p>
            <w:pPr>
              <w:keepLines w:val="0"/>
              <w:pageBreakBefore w:val="0"/>
              <w:wordWrap/>
              <w:topLinePunct w:val="0"/>
              <w:bidi w:val="0"/>
              <w:adjustRightInd w:val="0"/>
              <w:snapToGrid w:val="0"/>
              <w:spacing w:line="480" w:lineRule="exact"/>
              <w:ind w:firstLine="480" w:firstLineChars="200"/>
              <w:outlineLvl w:val="9"/>
              <w:rPr>
                <w:sz w:val="24"/>
                <w:highlight w:val="none"/>
              </w:rPr>
            </w:pPr>
          </w:p>
          <w:p>
            <w:pPr>
              <w:keepLines w:val="0"/>
              <w:pageBreakBefore w:val="0"/>
              <w:widowControl/>
              <w:wordWrap/>
              <w:topLinePunct w:val="0"/>
              <w:bidi w:val="0"/>
              <w:spacing w:line="360" w:lineRule="auto"/>
              <w:jc w:val="left"/>
              <w:outlineLvl w:val="9"/>
              <w:rPr>
                <w:highlight w:val="none"/>
                <w:lang w:bidi="ar"/>
              </w:rPr>
            </w:pPr>
          </w:p>
        </w:tc>
      </w:tr>
    </w:tbl>
    <w:p>
      <w:pPr>
        <w:adjustRightInd w:val="0"/>
        <w:snapToGrid w:val="0"/>
        <w:spacing w:line="360" w:lineRule="auto"/>
        <w:rPr>
          <w:b/>
          <w:kern w:val="0"/>
          <w:sz w:val="28"/>
          <w:szCs w:val="28"/>
          <w:highlight w:val="none"/>
        </w:rPr>
        <w:sectPr>
          <w:pgSz w:w="11907" w:h="16840"/>
          <w:pgMar w:top="1701" w:right="1531" w:bottom="2127" w:left="1531" w:header="851" w:footer="851" w:gutter="0"/>
          <w:pgNumType w:fmt="decimal"/>
          <w:cols w:space="720" w:num="1"/>
          <w:docGrid w:linePitch="312" w:charSpace="0"/>
        </w:sectPr>
      </w:pPr>
    </w:p>
    <w:p>
      <w:pPr>
        <w:pStyle w:val="24"/>
        <w:keepNext w:val="0"/>
        <w:keepLines w:val="0"/>
        <w:pageBreakBefore w:val="0"/>
        <w:widowControl/>
        <w:kinsoku/>
        <w:wordWrap/>
        <w:overflowPunct/>
        <w:topLinePunct w:val="0"/>
        <w:autoSpaceDE/>
        <w:autoSpaceDN/>
        <w:bidi w:val="0"/>
        <w:adjustRightInd/>
        <w:snapToGrid/>
        <w:jc w:val="center"/>
        <w:textAlignment w:val="auto"/>
        <w:outlineLvl w:val="0"/>
        <w:rPr>
          <w:rFonts w:ascii="Times New Roman" w:hAnsi="Times New Roman" w:eastAsia="黑体"/>
          <w:snapToGrid w:val="0"/>
          <w:sz w:val="30"/>
          <w:szCs w:val="30"/>
          <w:highlight w:val="none"/>
        </w:rPr>
      </w:pPr>
      <w:bookmarkStart w:id="217" w:name="_Toc1637"/>
      <w:bookmarkStart w:id="218" w:name="_Toc8716"/>
      <w:r>
        <w:rPr>
          <w:rFonts w:ascii="Times New Roman" w:hAnsi="Times New Roman" w:eastAsia="黑体"/>
          <w:snapToGrid w:val="0"/>
          <w:sz w:val="30"/>
          <w:szCs w:val="30"/>
          <w:highlight w:val="none"/>
        </w:rPr>
        <w:t>五、</w:t>
      </w:r>
      <w:bookmarkStart w:id="219" w:name="_Hlk54167917"/>
      <w:r>
        <w:rPr>
          <w:rFonts w:ascii="Times New Roman" w:hAnsi="Times New Roman" w:eastAsia="黑体"/>
          <w:snapToGrid w:val="0"/>
          <w:sz w:val="30"/>
          <w:szCs w:val="30"/>
          <w:highlight w:val="none"/>
        </w:rPr>
        <w:t>环境保护措施监督检查清单</w:t>
      </w:r>
      <w:bookmarkEnd w:id="217"/>
      <w:bookmarkEnd w:id="218"/>
      <w:bookmarkEnd w:id="219"/>
    </w:p>
    <w:tbl>
      <w:tblPr>
        <w:tblStyle w:val="29"/>
        <w:tblW w:w="52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74"/>
        <w:gridCol w:w="1142"/>
        <w:gridCol w:w="2219"/>
        <w:gridCol w:w="2670"/>
        <w:gridCol w:w="220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669" w:type="pct"/>
            <w:tcBorders>
              <w:tl2br w:val="single" w:color="auto" w:sz="4" w:space="0"/>
            </w:tcBorders>
          </w:tcPr>
          <w:p>
            <w:pPr>
              <w:adjustRightInd w:val="0"/>
              <w:snapToGrid w:val="0"/>
              <w:spacing w:line="300" w:lineRule="exact"/>
              <w:ind w:firstLine="480" w:firstLineChars="200"/>
              <w:rPr>
                <w:sz w:val="24"/>
                <w:highlight w:val="none"/>
              </w:rPr>
            </w:pPr>
            <w:r>
              <w:rPr>
                <w:sz w:val="24"/>
                <w:highlight w:val="none"/>
              </w:rPr>
              <w:t>内容</w:t>
            </w:r>
          </w:p>
          <w:p>
            <w:pPr>
              <w:adjustRightInd w:val="0"/>
              <w:snapToGrid w:val="0"/>
              <w:spacing w:line="300" w:lineRule="exact"/>
              <w:rPr>
                <w:sz w:val="24"/>
                <w:highlight w:val="none"/>
              </w:rPr>
            </w:pPr>
            <w:r>
              <w:rPr>
                <w:sz w:val="24"/>
                <w:highlight w:val="none"/>
              </w:rPr>
              <w:t>要素</w:t>
            </w:r>
          </w:p>
        </w:tc>
        <w:tc>
          <w:tcPr>
            <w:tcW w:w="600" w:type="pct"/>
            <w:vAlign w:val="center"/>
          </w:tcPr>
          <w:p>
            <w:pPr>
              <w:adjustRightInd w:val="0"/>
              <w:snapToGrid w:val="0"/>
              <w:spacing w:line="300" w:lineRule="exact"/>
              <w:jc w:val="center"/>
              <w:rPr>
                <w:sz w:val="24"/>
                <w:highlight w:val="none"/>
              </w:rPr>
            </w:pPr>
            <w:r>
              <w:rPr>
                <w:sz w:val="24"/>
                <w:highlight w:val="none"/>
              </w:rPr>
              <w:t>排放口(编号、名称)/污染源</w:t>
            </w:r>
          </w:p>
        </w:tc>
        <w:tc>
          <w:tcPr>
            <w:tcW w:w="1166" w:type="pct"/>
            <w:vAlign w:val="center"/>
          </w:tcPr>
          <w:p>
            <w:pPr>
              <w:adjustRightInd w:val="0"/>
              <w:snapToGrid w:val="0"/>
              <w:spacing w:line="300" w:lineRule="exact"/>
              <w:jc w:val="center"/>
              <w:rPr>
                <w:sz w:val="24"/>
                <w:highlight w:val="none"/>
              </w:rPr>
            </w:pPr>
            <w:r>
              <w:rPr>
                <w:sz w:val="24"/>
                <w:highlight w:val="none"/>
              </w:rPr>
              <w:t>污染物项目</w:t>
            </w:r>
          </w:p>
        </w:tc>
        <w:tc>
          <w:tcPr>
            <w:tcW w:w="1403" w:type="pct"/>
            <w:vAlign w:val="center"/>
          </w:tcPr>
          <w:p>
            <w:pPr>
              <w:adjustRightInd w:val="0"/>
              <w:snapToGrid w:val="0"/>
              <w:spacing w:line="300" w:lineRule="exact"/>
              <w:jc w:val="center"/>
              <w:rPr>
                <w:sz w:val="24"/>
                <w:highlight w:val="none"/>
              </w:rPr>
            </w:pPr>
            <w:r>
              <w:rPr>
                <w:sz w:val="24"/>
                <w:highlight w:val="none"/>
              </w:rPr>
              <w:t>环境保护措施</w:t>
            </w:r>
          </w:p>
        </w:tc>
        <w:tc>
          <w:tcPr>
            <w:tcW w:w="1159" w:type="pct"/>
            <w:vAlign w:val="center"/>
          </w:tcPr>
          <w:p>
            <w:pPr>
              <w:adjustRightInd w:val="0"/>
              <w:snapToGrid w:val="0"/>
              <w:spacing w:line="300" w:lineRule="exact"/>
              <w:jc w:val="center"/>
              <w:rPr>
                <w:sz w:val="24"/>
                <w:highlight w:val="none"/>
              </w:rPr>
            </w:pPr>
            <w:r>
              <w:rPr>
                <w:sz w:val="24"/>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669" w:type="pct"/>
            <w:vMerge w:val="restart"/>
            <w:vAlign w:val="center"/>
          </w:tcPr>
          <w:p>
            <w:pPr>
              <w:wordWrap w:val="0"/>
              <w:adjustRightInd w:val="0"/>
              <w:snapToGrid w:val="0"/>
              <w:spacing w:line="300" w:lineRule="exact"/>
              <w:jc w:val="center"/>
              <w:rPr>
                <w:sz w:val="24"/>
                <w:highlight w:val="none"/>
              </w:rPr>
            </w:pPr>
            <w:r>
              <w:rPr>
                <w:sz w:val="24"/>
                <w:highlight w:val="none"/>
              </w:rPr>
              <w:t>大气环境</w:t>
            </w:r>
          </w:p>
        </w:tc>
        <w:tc>
          <w:tcPr>
            <w:tcW w:w="600" w:type="pct"/>
            <w:vAlign w:val="center"/>
          </w:tcPr>
          <w:p>
            <w:pPr>
              <w:wordWrap w:val="0"/>
              <w:adjustRightInd w:val="0"/>
              <w:snapToGrid w:val="0"/>
              <w:spacing w:line="300" w:lineRule="exact"/>
              <w:jc w:val="center"/>
              <w:rPr>
                <w:sz w:val="24"/>
                <w:highlight w:val="none"/>
              </w:rPr>
            </w:pPr>
            <w:r>
              <w:rPr>
                <w:sz w:val="24"/>
                <w:highlight w:val="none"/>
              </w:rPr>
              <w:t>厂界</w:t>
            </w:r>
          </w:p>
        </w:tc>
        <w:tc>
          <w:tcPr>
            <w:tcW w:w="1166" w:type="pct"/>
            <w:vAlign w:val="center"/>
          </w:tcPr>
          <w:p>
            <w:pPr>
              <w:pStyle w:val="112"/>
              <w:wordWrap w:val="0"/>
              <w:rPr>
                <w:sz w:val="24"/>
                <w:highlight w:val="none"/>
              </w:rPr>
            </w:pPr>
            <w:r>
              <w:rPr>
                <w:rFonts w:hint="eastAsia"/>
                <w:sz w:val="24"/>
                <w:highlight w:val="none"/>
                <w:lang w:val="en-US" w:eastAsia="zh-CN"/>
              </w:rPr>
              <w:t>氨、硫化氢、臭气</w:t>
            </w:r>
            <w:r>
              <w:rPr>
                <w:sz w:val="24"/>
                <w:highlight w:val="none"/>
              </w:rPr>
              <w:t>浓度</w:t>
            </w:r>
          </w:p>
        </w:tc>
        <w:tc>
          <w:tcPr>
            <w:tcW w:w="1403" w:type="pct"/>
            <w:vAlign w:val="center"/>
          </w:tcPr>
          <w:p>
            <w:pPr>
              <w:wordWrap w:val="0"/>
              <w:adjustRightInd w:val="0"/>
              <w:snapToGrid w:val="0"/>
              <w:spacing w:line="300" w:lineRule="exact"/>
              <w:jc w:val="center"/>
              <w:rPr>
                <w:sz w:val="24"/>
                <w:highlight w:val="none"/>
              </w:rPr>
            </w:pPr>
            <w:r>
              <w:rPr>
                <w:rFonts w:hint="eastAsia"/>
                <w:sz w:val="24"/>
                <w:highlight w:val="none"/>
              </w:rPr>
              <w:t>污水储池密闭</w:t>
            </w:r>
          </w:p>
        </w:tc>
        <w:tc>
          <w:tcPr>
            <w:tcW w:w="1159" w:type="pct"/>
            <w:vAlign w:val="center"/>
          </w:tcPr>
          <w:p>
            <w:pPr>
              <w:wordWrap w:val="0"/>
              <w:adjustRightInd w:val="0"/>
              <w:snapToGrid w:val="0"/>
              <w:spacing w:line="300" w:lineRule="exact"/>
              <w:jc w:val="center"/>
              <w:rPr>
                <w:sz w:val="24"/>
                <w:highlight w:val="none"/>
              </w:rPr>
            </w:pPr>
            <w:r>
              <w:rPr>
                <w:sz w:val="24"/>
                <w:highlight w:val="none"/>
              </w:rPr>
              <w:t>《恶臭污染物排放标准》（GB14554-93）表1 恶臭污染物厂界标准值二级新扩改建标准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69" w:type="pct"/>
            <w:vMerge w:val="continue"/>
            <w:vAlign w:val="center"/>
          </w:tcPr>
          <w:p>
            <w:pPr>
              <w:wordWrap w:val="0"/>
              <w:adjustRightInd w:val="0"/>
              <w:snapToGrid w:val="0"/>
              <w:spacing w:line="300" w:lineRule="exact"/>
              <w:jc w:val="center"/>
              <w:rPr>
                <w:sz w:val="24"/>
                <w:highlight w:val="none"/>
              </w:rPr>
            </w:pPr>
          </w:p>
        </w:tc>
        <w:tc>
          <w:tcPr>
            <w:tcW w:w="600" w:type="pct"/>
            <w:vAlign w:val="center"/>
          </w:tcPr>
          <w:p>
            <w:pPr>
              <w:wordWrap w:val="0"/>
              <w:adjustRightInd w:val="0"/>
              <w:snapToGrid w:val="0"/>
              <w:spacing w:line="300" w:lineRule="exact"/>
              <w:jc w:val="center"/>
              <w:rPr>
                <w:sz w:val="24"/>
                <w:highlight w:val="none"/>
              </w:rPr>
            </w:pPr>
            <w:r>
              <w:rPr>
                <w:sz w:val="24"/>
                <w:highlight w:val="none"/>
              </w:rPr>
              <w:t>锅炉</w:t>
            </w:r>
          </w:p>
        </w:tc>
        <w:tc>
          <w:tcPr>
            <w:tcW w:w="1166" w:type="pct"/>
            <w:vAlign w:val="center"/>
          </w:tcPr>
          <w:p>
            <w:pPr>
              <w:pStyle w:val="112"/>
              <w:wordWrap w:val="0"/>
              <w:rPr>
                <w:sz w:val="24"/>
                <w:highlight w:val="none"/>
              </w:rPr>
            </w:pPr>
            <w:r>
              <w:rPr>
                <w:sz w:val="24"/>
                <w:highlight w:val="none"/>
              </w:rPr>
              <w:t>颗粒物</w:t>
            </w:r>
          </w:p>
          <w:p>
            <w:pPr>
              <w:pStyle w:val="112"/>
              <w:wordWrap w:val="0"/>
              <w:rPr>
                <w:sz w:val="24"/>
                <w:highlight w:val="none"/>
              </w:rPr>
            </w:pPr>
            <w:r>
              <w:rPr>
                <w:sz w:val="24"/>
                <w:highlight w:val="none"/>
              </w:rPr>
              <w:t>SO</w:t>
            </w:r>
            <w:r>
              <w:rPr>
                <w:sz w:val="24"/>
                <w:highlight w:val="none"/>
                <w:vertAlign w:val="subscript"/>
              </w:rPr>
              <w:t>2</w:t>
            </w:r>
          </w:p>
          <w:p>
            <w:pPr>
              <w:pStyle w:val="112"/>
              <w:wordWrap w:val="0"/>
              <w:rPr>
                <w:sz w:val="24"/>
                <w:highlight w:val="none"/>
              </w:rPr>
            </w:pPr>
            <w:r>
              <w:rPr>
                <w:sz w:val="24"/>
                <w:highlight w:val="none"/>
              </w:rPr>
              <w:t>NOx</w:t>
            </w:r>
          </w:p>
          <w:p>
            <w:pPr>
              <w:pStyle w:val="112"/>
              <w:wordWrap w:val="0"/>
              <w:rPr>
                <w:sz w:val="24"/>
                <w:highlight w:val="none"/>
              </w:rPr>
            </w:pPr>
            <w:r>
              <w:rPr>
                <w:rFonts w:hint="eastAsia"/>
                <w:sz w:val="24"/>
                <w:highlight w:val="none"/>
              </w:rPr>
              <w:t>烟气黑度</w:t>
            </w:r>
          </w:p>
        </w:tc>
        <w:tc>
          <w:tcPr>
            <w:tcW w:w="1403" w:type="pct"/>
            <w:vAlign w:val="center"/>
          </w:tcPr>
          <w:p>
            <w:pPr>
              <w:pStyle w:val="112"/>
              <w:wordWrap w:val="0"/>
              <w:rPr>
                <w:sz w:val="24"/>
                <w:highlight w:val="none"/>
              </w:rPr>
            </w:pPr>
            <w:r>
              <w:rPr>
                <w:sz w:val="24"/>
                <w:highlight w:val="none"/>
              </w:rPr>
              <w:t>布袋除尘器，除尘效率为99%，烟气经高度为</w:t>
            </w:r>
            <w:r>
              <w:rPr>
                <w:rFonts w:hint="eastAsia"/>
                <w:sz w:val="24"/>
                <w:highlight w:val="none"/>
              </w:rPr>
              <w:t>35m</w:t>
            </w:r>
            <w:r>
              <w:rPr>
                <w:sz w:val="24"/>
                <w:highlight w:val="none"/>
              </w:rPr>
              <w:t>高的烟囱</w:t>
            </w:r>
            <w:r>
              <w:rPr>
                <w:rFonts w:hint="eastAsia"/>
                <w:sz w:val="24"/>
                <w:highlight w:val="none"/>
              </w:rPr>
              <w:t>（DA001）</w:t>
            </w:r>
            <w:r>
              <w:rPr>
                <w:sz w:val="24"/>
                <w:highlight w:val="none"/>
              </w:rPr>
              <w:t>排放</w:t>
            </w:r>
          </w:p>
        </w:tc>
        <w:tc>
          <w:tcPr>
            <w:tcW w:w="1159" w:type="pct"/>
            <w:vAlign w:val="center"/>
          </w:tcPr>
          <w:p>
            <w:pPr>
              <w:pStyle w:val="112"/>
              <w:wordWrap w:val="0"/>
              <w:rPr>
                <w:sz w:val="24"/>
                <w:highlight w:val="none"/>
              </w:rPr>
            </w:pPr>
            <w:r>
              <w:rPr>
                <w:sz w:val="24"/>
                <w:highlight w:val="none"/>
              </w:rPr>
              <w:t>《锅炉大气污染物排放标准》（GB13271-2014）表</w:t>
            </w:r>
            <w:r>
              <w:rPr>
                <w:rFonts w:hint="eastAsia"/>
                <w:sz w:val="24"/>
                <w:highlight w:val="none"/>
              </w:rPr>
              <w:t>2</w:t>
            </w:r>
            <w:r>
              <w:rPr>
                <w:sz w:val="24"/>
                <w:highlight w:val="none"/>
              </w:rPr>
              <w:t>中排放浓度限值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669" w:type="pct"/>
            <w:vMerge w:val="restart"/>
            <w:vAlign w:val="center"/>
          </w:tcPr>
          <w:p>
            <w:pPr>
              <w:wordWrap w:val="0"/>
              <w:adjustRightInd w:val="0"/>
              <w:snapToGrid w:val="0"/>
              <w:spacing w:line="300" w:lineRule="exact"/>
              <w:jc w:val="center"/>
              <w:rPr>
                <w:sz w:val="24"/>
                <w:highlight w:val="none"/>
              </w:rPr>
            </w:pPr>
            <w:r>
              <w:rPr>
                <w:sz w:val="24"/>
                <w:highlight w:val="none"/>
              </w:rPr>
              <w:t>地表水</w:t>
            </w:r>
          </w:p>
          <w:p>
            <w:pPr>
              <w:wordWrap w:val="0"/>
              <w:adjustRightInd w:val="0"/>
              <w:snapToGrid w:val="0"/>
              <w:spacing w:line="300" w:lineRule="exact"/>
              <w:jc w:val="center"/>
              <w:rPr>
                <w:sz w:val="24"/>
                <w:highlight w:val="none"/>
              </w:rPr>
            </w:pPr>
            <w:r>
              <w:rPr>
                <w:sz w:val="24"/>
                <w:highlight w:val="none"/>
              </w:rPr>
              <w:t>环境</w:t>
            </w:r>
          </w:p>
        </w:tc>
        <w:tc>
          <w:tcPr>
            <w:tcW w:w="600" w:type="pct"/>
            <w:vAlign w:val="center"/>
          </w:tcPr>
          <w:p>
            <w:pPr>
              <w:wordWrap w:val="0"/>
              <w:adjustRightInd w:val="0"/>
              <w:snapToGrid w:val="0"/>
              <w:spacing w:line="300" w:lineRule="exact"/>
              <w:jc w:val="center"/>
              <w:rPr>
                <w:sz w:val="24"/>
                <w:highlight w:val="none"/>
              </w:rPr>
            </w:pPr>
            <w:r>
              <w:rPr>
                <w:sz w:val="24"/>
                <w:highlight w:val="none"/>
              </w:rPr>
              <w:t>生活污水</w:t>
            </w:r>
            <w:r>
              <w:rPr>
                <w:rFonts w:hint="eastAsia"/>
                <w:sz w:val="24"/>
                <w:highlight w:val="none"/>
              </w:rPr>
              <w:t>、生产废水</w:t>
            </w:r>
          </w:p>
        </w:tc>
        <w:tc>
          <w:tcPr>
            <w:tcW w:w="1166" w:type="pct"/>
            <w:vAlign w:val="center"/>
          </w:tcPr>
          <w:p>
            <w:pPr>
              <w:wordWrap w:val="0"/>
              <w:adjustRightInd w:val="0"/>
              <w:snapToGrid w:val="0"/>
              <w:spacing w:line="300" w:lineRule="exact"/>
              <w:jc w:val="center"/>
              <w:rPr>
                <w:sz w:val="24"/>
                <w:highlight w:val="none"/>
              </w:rPr>
            </w:pPr>
            <w:r>
              <w:rPr>
                <w:sz w:val="24"/>
                <w:highlight w:val="none"/>
              </w:rPr>
              <w:t>COD、氨氮</w:t>
            </w:r>
          </w:p>
        </w:tc>
        <w:tc>
          <w:tcPr>
            <w:tcW w:w="1403" w:type="pct"/>
            <w:vAlign w:val="center"/>
          </w:tcPr>
          <w:p>
            <w:pPr>
              <w:wordWrap w:val="0"/>
              <w:adjustRightInd w:val="0"/>
              <w:snapToGrid w:val="0"/>
              <w:spacing w:line="300" w:lineRule="exact"/>
              <w:jc w:val="center"/>
              <w:rPr>
                <w:sz w:val="24"/>
                <w:highlight w:val="none"/>
              </w:rPr>
            </w:pPr>
            <w:r>
              <w:rPr>
                <w:rFonts w:hint="eastAsia"/>
                <w:sz w:val="24"/>
                <w:highlight w:val="none"/>
              </w:rPr>
              <w:t>生活污水及生产废水一同排入防渗污水储池，由罐车自行拉运排入</w:t>
            </w:r>
            <w:r>
              <w:rPr>
                <w:rFonts w:hint="eastAsia"/>
                <w:sz w:val="24"/>
                <w:highlight w:val="none"/>
                <w:lang w:eastAsia="zh-CN"/>
              </w:rPr>
              <w:t>双鸭山市四洁水处理有限责任公司（四洁污水处理厂）</w:t>
            </w:r>
            <w:r>
              <w:rPr>
                <w:rFonts w:hint="eastAsia"/>
                <w:sz w:val="24"/>
                <w:highlight w:val="none"/>
              </w:rPr>
              <w:t>，处理后排入</w:t>
            </w:r>
            <w:r>
              <w:rPr>
                <w:rFonts w:hint="eastAsia"/>
                <w:bCs/>
                <w:sz w:val="24"/>
                <w:highlight w:val="none"/>
              </w:rPr>
              <w:t>扁石河</w:t>
            </w:r>
            <w:r>
              <w:rPr>
                <w:rFonts w:hint="eastAsia"/>
                <w:sz w:val="24"/>
                <w:highlight w:val="none"/>
              </w:rPr>
              <w:t>，最终排入七星河。</w:t>
            </w:r>
          </w:p>
        </w:tc>
        <w:tc>
          <w:tcPr>
            <w:tcW w:w="1159" w:type="pct"/>
            <w:vAlign w:val="center"/>
          </w:tcPr>
          <w:p>
            <w:pPr>
              <w:wordWrap w:val="0"/>
              <w:adjustRightInd w:val="0"/>
              <w:snapToGrid w:val="0"/>
              <w:spacing w:line="300" w:lineRule="exact"/>
              <w:jc w:val="center"/>
              <w:rPr>
                <w:sz w:val="24"/>
                <w:highlight w:val="none"/>
              </w:rPr>
            </w:pPr>
            <w:r>
              <w:rPr>
                <w:rFonts w:hint="eastAsia"/>
                <w:sz w:val="24"/>
                <w:highlight w:val="none"/>
              </w:rPr>
              <w:t>《污水综合排放标准》（GB8978-1996）三级标准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vMerge w:val="continue"/>
            <w:vAlign w:val="center"/>
          </w:tcPr>
          <w:p>
            <w:pPr>
              <w:wordWrap w:val="0"/>
              <w:adjustRightInd w:val="0"/>
              <w:snapToGrid w:val="0"/>
              <w:spacing w:line="300" w:lineRule="exact"/>
              <w:jc w:val="center"/>
              <w:rPr>
                <w:sz w:val="24"/>
                <w:highlight w:val="none"/>
              </w:rPr>
            </w:pPr>
          </w:p>
        </w:tc>
        <w:tc>
          <w:tcPr>
            <w:tcW w:w="600" w:type="pct"/>
            <w:vAlign w:val="center"/>
          </w:tcPr>
          <w:p>
            <w:pPr>
              <w:wordWrap w:val="0"/>
              <w:jc w:val="center"/>
              <w:rPr>
                <w:sz w:val="24"/>
                <w:highlight w:val="none"/>
              </w:rPr>
            </w:pPr>
            <w:r>
              <w:rPr>
                <w:sz w:val="24"/>
                <w:highlight w:val="none"/>
              </w:rPr>
              <w:t>锅炉排污水及软化处理废水</w:t>
            </w:r>
          </w:p>
        </w:tc>
        <w:tc>
          <w:tcPr>
            <w:tcW w:w="1166" w:type="pct"/>
            <w:vAlign w:val="center"/>
          </w:tcPr>
          <w:p>
            <w:pPr>
              <w:wordWrap w:val="0"/>
              <w:jc w:val="center"/>
              <w:rPr>
                <w:sz w:val="24"/>
                <w:highlight w:val="none"/>
              </w:rPr>
            </w:pPr>
            <w:r>
              <w:rPr>
                <w:sz w:val="24"/>
                <w:highlight w:val="none"/>
              </w:rPr>
              <w:t>COD</w:t>
            </w:r>
            <w:r>
              <w:rPr>
                <w:rFonts w:hint="eastAsia"/>
                <w:sz w:val="24"/>
                <w:highlight w:val="none"/>
              </w:rPr>
              <w:t>、SS</w:t>
            </w:r>
          </w:p>
        </w:tc>
        <w:tc>
          <w:tcPr>
            <w:tcW w:w="1403" w:type="pct"/>
            <w:vAlign w:val="center"/>
          </w:tcPr>
          <w:p>
            <w:pPr>
              <w:wordWrap w:val="0"/>
              <w:jc w:val="center"/>
              <w:rPr>
                <w:sz w:val="24"/>
                <w:highlight w:val="none"/>
              </w:rPr>
            </w:pPr>
            <w:r>
              <w:rPr>
                <w:sz w:val="24"/>
                <w:highlight w:val="none"/>
              </w:rPr>
              <w:t>用于锅炉房、灰渣及厂区洒水降尘</w:t>
            </w:r>
          </w:p>
        </w:tc>
        <w:tc>
          <w:tcPr>
            <w:tcW w:w="1159" w:type="pct"/>
            <w:vAlign w:val="center"/>
          </w:tcPr>
          <w:p>
            <w:pPr>
              <w:wordWrap w:val="0"/>
              <w:adjustRightInd w:val="0"/>
              <w:snapToGrid w:val="0"/>
              <w:spacing w:line="300" w:lineRule="exact"/>
              <w:jc w:val="center"/>
              <w:rPr>
                <w:sz w:val="24"/>
                <w:highlight w:val="none"/>
              </w:rPr>
            </w:pPr>
            <w:r>
              <w:rPr>
                <w:rFonts w:hint="eastAsia"/>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57" w:hRule="atLeast"/>
          <w:jc w:val="center"/>
        </w:trPr>
        <w:tc>
          <w:tcPr>
            <w:tcW w:w="669" w:type="pct"/>
            <w:vAlign w:val="center"/>
          </w:tcPr>
          <w:p>
            <w:pPr>
              <w:wordWrap w:val="0"/>
              <w:adjustRightInd w:val="0"/>
              <w:snapToGrid w:val="0"/>
              <w:spacing w:line="300" w:lineRule="exact"/>
              <w:jc w:val="center"/>
              <w:rPr>
                <w:sz w:val="24"/>
                <w:highlight w:val="none"/>
              </w:rPr>
            </w:pPr>
            <w:r>
              <w:rPr>
                <w:sz w:val="24"/>
                <w:highlight w:val="none"/>
              </w:rPr>
              <w:t>声环境</w:t>
            </w:r>
          </w:p>
        </w:tc>
        <w:tc>
          <w:tcPr>
            <w:tcW w:w="600" w:type="pct"/>
            <w:vAlign w:val="center"/>
          </w:tcPr>
          <w:p>
            <w:pPr>
              <w:pStyle w:val="85"/>
              <w:wordWrap w:val="0"/>
              <w:spacing w:line="300" w:lineRule="exact"/>
              <w:rPr>
                <w:sz w:val="24"/>
                <w:szCs w:val="24"/>
                <w:highlight w:val="none"/>
              </w:rPr>
            </w:pPr>
            <w:r>
              <w:rPr>
                <w:sz w:val="24"/>
                <w:szCs w:val="24"/>
                <w:highlight w:val="none"/>
              </w:rPr>
              <w:t>设备噪声</w:t>
            </w:r>
          </w:p>
        </w:tc>
        <w:tc>
          <w:tcPr>
            <w:tcW w:w="1166" w:type="pct"/>
            <w:vAlign w:val="center"/>
          </w:tcPr>
          <w:p>
            <w:pPr>
              <w:wordWrap w:val="0"/>
              <w:adjustRightInd w:val="0"/>
              <w:snapToGrid w:val="0"/>
              <w:spacing w:line="300" w:lineRule="exact"/>
              <w:jc w:val="center"/>
              <w:rPr>
                <w:sz w:val="24"/>
                <w:highlight w:val="none"/>
              </w:rPr>
            </w:pPr>
            <w:r>
              <w:rPr>
                <w:sz w:val="24"/>
                <w:highlight w:val="none"/>
              </w:rPr>
              <w:t>噪声</w:t>
            </w:r>
          </w:p>
        </w:tc>
        <w:tc>
          <w:tcPr>
            <w:tcW w:w="1403" w:type="pct"/>
            <w:vAlign w:val="center"/>
          </w:tcPr>
          <w:p>
            <w:pPr>
              <w:widowControl/>
              <w:wordWrap w:val="0"/>
              <w:spacing w:line="300" w:lineRule="exact"/>
              <w:jc w:val="center"/>
              <w:rPr>
                <w:sz w:val="24"/>
                <w:highlight w:val="none"/>
              </w:rPr>
            </w:pPr>
            <w:r>
              <w:rPr>
                <w:sz w:val="24"/>
                <w:highlight w:val="none"/>
              </w:rPr>
              <w:t>低噪声设备、基础减振、厂房隔声</w:t>
            </w:r>
          </w:p>
        </w:tc>
        <w:tc>
          <w:tcPr>
            <w:tcW w:w="1159" w:type="pct"/>
            <w:vAlign w:val="center"/>
          </w:tcPr>
          <w:p>
            <w:pPr>
              <w:wordWrap w:val="0"/>
              <w:adjustRightInd w:val="0"/>
              <w:snapToGrid w:val="0"/>
              <w:spacing w:line="300" w:lineRule="exact"/>
              <w:jc w:val="center"/>
              <w:rPr>
                <w:sz w:val="24"/>
                <w:highlight w:val="none"/>
              </w:rPr>
            </w:pPr>
            <w:r>
              <w:rPr>
                <w:bCs/>
                <w:sz w:val="24"/>
                <w:highlight w:val="none"/>
              </w:rPr>
              <w:t>《工业企业厂界环境噪声排放标准》（GB12348-2008）中</w:t>
            </w:r>
            <w:r>
              <w:rPr>
                <w:rFonts w:hint="eastAsia"/>
                <w:bCs/>
                <w:sz w:val="24"/>
                <w:highlight w:val="none"/>
                <w:lang w:val="en-US" w:eastAsia="zh-CN"/>
              </w:rPr>
              <w:t>1</w:t>
            </w:r>
            <w:r>
              <w:rPr>
                <w:bCs/>
                <w:sz w:val="24"/>
                <w:highlight w:val="none"/>
              </w:rPr>
              <w:t>类标准限值要求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vAlign w:val="center"/>
          </w:tcPr>
          <w:p>
            <w:pPr>
              <w:wordWrap w:val="0"/>
              <w:adjustRightInd w:val="0"/>
              <w:snapToGrid w:val="0"/>
              <w:spacing w:line="300" w:lineRule="exact"/>
              <w:jc w:val="center"/>
              <w:rPr>
                <w:sz w:val="24"/>
                <w:highlight w:val="none"/>
              </w:rPr>
            </w:pPr>
            <w:r>
              <w:rPr>
                <w:sz w:val="24"/>
                <w:highlight w:val="none"/>
              </w:rPr>
              <w:t>电磁辐射</w:t>
            </w:r>
          </w:p>
        </w:tc>
        <w:tc>
          <w:tcPr>
            <w:tcW w:w="600" w:type="pct"/>
            <w:vAlign w:val="center"/>
          </w:tcPr>
          <w:p>
            <w:pPr>
              <w:wordWrap w:val="0"/>
              <w:adjustRightInd w:val="0"/>
              <w:snapToGrid w:val="0"/>
              <w:spacing w:line="300" w:lineRule="exact"/>
              <w:jc w:val="center"/>
              <w:rPr>
                <w:sz w:val="24"/>
                <w:highlight w:val="none"/>
              </w:rPr>
            </w:pPr>
            <w:r>
              <w:rPr>
                <w:sz w:val="24"/>
                <w:highlight w:val="none"/>
              </w:rPr>
              <w:t>/</w:t>
            </w:r>
          </w:p>
        </w:tc>
        <w:tc>
          <w:tcPr>
            <w:tcW w:w="1166" w:type="pct"/>
            <w:vAlign w:val="center"/>
          </w:tcPr>
          <w:p>
            <w:pPr>
              <w:wordWrap w:val="0"/>
              <w:adjustRightInd w:val="0"/>
              <w:snapToGrid w:val="0"/>
              <w:spacing w:line="300" w:lineRule="exact"/>
              <w:jc w:val="center"/>
              <w:rPr>
                <w:sz w:val="24"/>
                <w:highlight w:val="none"/>
              </w:rPr>
            </w:pPr>
            <w:r>
              <w:rPr>
                <w:sz w:val="24"/>
                <w:highlight w:val="none"/>
              </w:rPr>
              <w:t>/</w:t>
            </w:r>
          </w:p>
        </w:tc>
        <w:tc>
          <w:tcPr>
            <w:tcW w:w="1403" w:type="pct"/>
            <w:vAlign w:val="center"/>
          </w:tcPr>
          <w:p>
            <w:pPr>
              <w:wordWrap w:val="0"/>
              <w:adjustRightInd w:val="0"/>
              <w:snapToGrid w:val="0"/>
              <w:spacing w:line="300" w:lineRule="exact"/>
              <w:jc w:val="center"/>
              <w:rPr>
                <w:sz w:val="24"/>
                <w:highlight w:val="none"/>
              </w:rPr>
            </w:pPr>
            <w:r>
              <w:rPr>
                <w:sz w:val="24"/>
                <w:highlight w:val="none"/>
              </w:rPr>
              <w:t>/</w:t>
            </w:r>
          </w:p>
        </w:tc>
        <w:tc>
          <w:tcPr>
            <w:tcW w:w="1159" w:type="pct"/>
            <w:vAlign w:val="center"/>
          </w:tcPr>
          <w:p>
            <w:pPr>
              <w:wordWrap w:val="0"/>
              <w:adjustRightInd w:val="0"/>
              <w:snapToGrid w:val="0"/>
              <w:spacing w:line="300" w:lineRule="exact"/>
              <w:jc w:val="center"/>
              <w:rPr>
                <w:sz w:val="24"/>
                <w:highlight w:val="none"/>
              </w:rPr>
            </w:pPr>
            <w:r>
              <w:rPr>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9" w:type="pct"/>
            <w:vMerge w:val="restart"/>
            <w:vAlign w:val="center"/>
          </w:tcPr>
          <w:p>
            <w:pPr>
              <w:wordWrap w:val="0"/>
              <w:adjustRightInd w:val="0"/>
              <w:snapToGrid w:val="0"/>
              <w:spacing w:line="300" w:lineRule="exact"/>
              <w:jc w:val="center"/>
              <w:rPr>
                <w:sz w:val="24"/>
                <w:highlight w:val="none"/>
              </w:rPr>
            </w:pPr>
            <w:r>
              <w:rPr>
                <w:sz w:val="24"/>
                <w:highlight w:val="none"/>
              </w:rPr>
              <w:t>固体废物</w:t>
            </w:r>
          </w:p>
        </w:tc>
        <w:tc>
          <w:tcPr>
            <w:tcW w:w="600" w:type="pct"/>
            <w:vAlign w:val="center"/>
          </w:tcPr>
          <w:p>
            <w:pPr>
              <w:wordWrap w:val="0"/>
              <w:adjustRightInd w:val="0"/>
              <w:snapToGrid w:val="0"/>
              <w:spacing w:line="300" w:lineRule="exact"/>
              <w:jc w:val="center"/>
              <w:rPr>
                <w:sz w:val="24"/>
                <w:highlight w:val="none"/>
              </w:rPr>
            </w:pPr>
            <w:r>
              <w:rPr>
                <w:bCs/>
                <w:sz w:val="24"/>
                <w:highlight w:val="none"/>
              </w:rPr>
              <w:t>职工</w:t>
            </w:r>
          </w:p>
        </w:tc>
        <w:tc>
          <w:tcPr>
            <w:tcW w:w="1166" w:type="pct"/>
            <w:vAlign w:val="center"/>
          </w:tcPr>
          <w:p>
            <w:pPr>
              <w:wordWrap w:val="0"/>
              <w:adjustRightInd w:val="0"/>
              <w:snapToGrid w:val="0"/>
              <w:spacing w:line="300" w:lineRule="exact"/>
              <w:jc w:val="center"/>
              <w:rPr>
                <w:sz w:val="24"/>
                <w:highlight w:val="none"/>
              </w:rPr>
            </w:pPr>
            <w:r>
              <w:rPr>
                <w:sz w:val="24"/>
                <w:highlight w:val="none"/>
              </w:rPr>
              <w:t>生活垃圾</w:t>
            </w:r>
          </w:p>
        </w:tc>
        <w:tc>
          <w:tcPr>
            <w:tcW w:w="1403" w:type="pct"/>
            <w:vAlign w:val="center"/>
          </w:tcPr>
          <w:p>
            <w:pPr>
              <w:wordWrap w:val="0"/>
              <w:adjustRightInd w:val="0"/>
              <w:snapToGrid w:val="0"/>
              <w:spacing w:line="300" w:lineRule="exact"/>
              <w:jc w:val="center"/>
              <w:rPr>
                <w:sz w:val="24"/>
                <w:highlight w:val="none"/>
              </w:rPr>
            </w:pPr>
            <w:r>
              <w:rPr>
                <w:rFonts w:hint="eastAsia"/>
                <w:sz w:val="24"/>
                <w:highlight w:val="none"/>
              </w:rPr>
              <w:t>送生活垃圾填埋场处置</w:t>
            </w:r>
          </w:p>
        </w:tc>
        <w:tc>
          <w:tcPr>
            <w:tcW w:w="1159" w:type="pct"/>
            <w:vMerge w:val="restart"/>
            <w:vAlign w:val="center"/>
          </w:tcPr>
          <w:p>
            <w:pPr>
              <w:wordWrap w:val="0"/>
              <w:adjustRightInd w:val="0"/>
              <w:snapToGrid w:val="0"/>
              <w:spacing w:line="300" w:lineRule="exact"/>
              <w:jc w:val="center"/>
              <w:rPr>
                <w:rFonts w:hint="eastAsia"/>
                <w:sz w:val="24"/>
                <w:highlight w:val="none"/>
                <w:lang w:val="en-US" w:eastAsia="zh-CN"/>
              </w:rPr>
            </w:pPr>
            <w:r>
              <w:rPr>
                <w:rFonts w:hint="eastAsia"/>
                <w:sz w:val="24"/>
                <w:highlight w:val="none"/>
                <w:lang w:val="en-US" w:eastAsia="zh-CN"/>
              </w:rPr>
              <w:t>固体废物</w:t>
            </w:r>
          </w:p>
          <w:p>
            <w:pPr>
              <w:wordWrap w:val="0"/>
              <w:adjustRightInd w:val="0"/>
              <w:snapToGrid w:val="0"/>
              <w:spacing w:line="300" w:lineRule="exact"/>
              <w:jc w:val="center"/>
              <w:rPr>
                <w:sz w:val="24"/>
                <w:highlight w:val="none"/>
              </w:rPr>
            </w:pPr>
            <w:r>
              <w:rPr>
                <w:sz w:val="24"/>
                <w:highlight w:val="none"/>
              </w:rPr>
              <w:t>处置率100%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69" w:type="pct"/>
            <w:vMerge w:val="continue"/>
            <w:vAlign w:val="center"/>
          </w:tcPr>
          <w:p>
            <w:pPr>
              <w:wordWrap w:val="0"/>
              <w:adjustRightInd w:val="0"/>
              <w:snapToGrid w:val="0"/>
              <w:spacing w:line="300" w:lineRule="exact"/>
              <w:jc w:val="center"/>
              <w:rPr>
                <w:sz w:val="24"/>
                <w:highlight w:val="none"/>
              </w:rPr>
            </w:pPr>
          </w:p>
        </w:tc>
        <w:tc>
          <w:tcPr>
            <w:tcW w:w="600" w:type="pct"/>
            <w:vMerge w:val="restart"/>
            <w:vAlign w:val="center"/>
          </w:tcPr>
          <w:p>
            <w:pPr>
              <w:wordWrap w:val="0"/>
              <w:adjustRightInd w:val="0"/>
              <w:snapToGrid w:val="0"/>
              <w:spacing w:line="300" w:lineRule="exact"/>
              <w:jc w:val="center"/>
              <w:rPr>
                <w:bCs/>
                <w:sz w:val="24"/>
                <w:highlight w:val="none"/>
              </w:rPr>
            </w:pPr>
            <w:r>
              <w:rPr>
                <w:bCs/>
                <w:sz w:val="24"/>
                <w:highlight w:val="none"/>
              </w:rPr>
              <w:t>生产工序</w:t>
            </w:r>
          </w:p>
        </w:tc>
        <w:tc>
          <w:tcPr>
            <w:tcW w:w="1166" w:type="pct"/>
            <w:vAlign w:val="center"/>
          </w:tcPr>
          <w:p>
            <w:pPr>
              <w:wordWrap w:val="0"/>
              <w:adjustRightInd w:val="0"/>
              <w:snapToGrid w:val="0"/>
              <w:spacing w:line="300" w:lineRule="exact"/>
              <w:jc w:val="center"/>
              <w:rPr>
                <w:sz w:val="24"/>
                <w:highlight w:val="none"/>
              </w:rPr>
            </w:pPr>
            <w:r>
              <w:rPr>
                <w:rFonts w:hint="eastAsia"/>
                <w:sz w:val="24"/>
                <w:highlight w:val="none"/>
              </w:rPr>
              <w:t>废弃包装</w:t>
            </w:r>
          </w:p>
        </w:tc>
        <w:tc>
          <w:tcPr>
            <w:tcW w:w="1403" w:type="pct"/>
            <w:vAlign w:val="center"/>
          </w:tcPr>
          <w:p>
            <w:pPr>
              <w:wordWrap w:val="0"/>
              <w:adjustRightInd w:val="0"/>
              <w:snapToGrid w:val="0"/>
              <w:spacing w:line="300" w:lineRule="exact"/>
              <w:jc w:val="center"/>
              <w:rPr>
                <w:sz w:val="24"/>
                <w:highlight w:val="none"/>
              </w:rPr>
            </w:pPr>
            <w:r>
              <w:rPr>
                <w:rFonts w:hint="eastAsia"/>
                <w:sz w:val="24"/>
                <w:highlight w:val="none"/>
              </w:rPr>
              <w:t>外售综合利用</w:t>
            </w:r>
          </w:p>
        </w:tc>
        <w:tc>
          <w:tcPr>
            <w:tcW w:w="1159" w:type="pct"/>
            <w:vMerge w:val="continue"/>
            <w:vAlign w:val="center"/>
          </w:tcPr>
          <w:p>
            <w:pPr>
              <w:wordWrap w:val="0"/>
              <w:adjustRightInd w:val="0"/>
              <w:snapToGrid w:val="0"/>
              <w:spacing w:line="300" w:lineRule="exact"/>
              <w:jc w:val="center"/>
              <w:rPr>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1" w:hRule="atLeast"/>
          <w:jc w:val="center"/>
        </w:trPr>
        <w:tc>
          <w:tcPr>
            <w:tcW w:w="669" w:type="pct"/>
            <w:vMerge w:val="continue"/>
            <w:vAlign w:val="center"/>
          </w:tcPr>
          <w:p>
            <w:pPr>
              <w:wordWrap w:val="0"/>
              <w:adjustRightInd w:val="0"/>
              <w:snapToGrid w:val="0"/>
              <w:spacing w:line="300" w:lineRule="exact"/>
              <w:jc w:val="center"/>
              <w:rPr>
                <w:sz w:val="24"/>
                <w:highlight w:val="none"/>
              </w:rPr>
            </w:pPr>
          </w:p>
        </w:tc>
        <w:tc>
          <w:tcPr>
            <w:tcW w:w="600" w:type="pct"/>
            <w:vMerge w:val="continue"/>
            <w:vAlign w:val="center"/>
          </w:tcPr>
          <w:p>
            <w:pPr>
              <w:wordWrap w:val="0"/>
              <w:adjustRightInd w:val="0"/>
              <w:snapToGrid w:val="0"/>
              <w:spacing w:line="300" w:lineRule="exact"/>
              <w:jc w:val="center"/>
              <w:rPr>
                <w:bCs/>
                <w:sz w:val="24"/>
                <w:highlight w:val="none"/>
              </w:rPr>
            </w:pPr>
          </w:p>
        </w:tc>
        <w:tc>
          <w:tcPr>
            <w:tcW w:w="1166" w:type="pct"/>
            <w:vAlign w:val="center"/>
          </w:tcPr>
          <w:p>
            <w:pPr>
              <w:pStyle w:val="87"/>
              <w:wordWrap w:val="0"/>
              <w:spacing w:before="0" w:after="0"/>
              <w:ind w:left="19" w:leftChars="0" w:hanging="19"/>
              <w:rPr>
                <w:sz w:val="24"/>
                <w:szCs w:val="24"/>
                <w:highlight w:val="none"/>
              </w:rPr>
            </w:pPr>
            <w:bookmarkStart w:id="220" w:name="_Toc25684"/>
            <w:bookmarkStart w:id="221" w:name="_Toc15628"/>
            <w:bookmarkStart w:id="222" w:name="_Toc9946"/>
            <w:bookmarkStart w:id="223" w:name="_Toc26905"/>
            <w:bookmarkStart w:id="224" w:name="_Toc30425"/>
            <w:bookmarkStart w:id="225" w:name="_Toc6517"/>
            <w:bookmarkStart w:id="226" w:name="_Toc18300"/>
            <w:bookmarkStart w:id="227" w:name="_Toc2811"/>
            <w:r>
              <w:rPr>
                <w:rFonts w:hint="eastAsia" w:ascii="Times New Roman" w:hAnsi="Times New Roman" w:eastAsia="宋体"/>
                <w:b w:val="0"/>
                <w:bCs w:val="0"/>
                <w:sz w:val="24"/>
                <w:szCs w:val="24"/>
                <w:highlight w:val="none"/>
              </w:rPr>
              <w:t>锅炉灰渣</w:t>
            </w:r>
            <w:bookmarkEnd w:id="220"/>
            <w:bookmarkEnd w:id="221"/>
            <w:bookmarkEnd w:id="222"/>
            <w:bookmarkEnd w:id="223"/>
            <w:bookmarkEnd w:id="224"/>
            <w:bookmarkEnd w:id="225"/>
            <w:bookmarkEnd w:id="226"/>
            <w:bookmarkEnd w:id="227"/>
          </w:p>
        </w:tc>
        <w:tc>
          <w:tcPr>
            <w:tcW w:w="1403" w:type="pct"/>
            <w:vAlign w:val="center"/>
          </w:tcPr>
          <w:p>
            <w:pPr>
              <w:wordWrap w:val="0"/>
              <w:adjustRightInd w:val="0"/>
              <w:snapToGrid w:val="0"/>
              <w:spacing w:line="300" w:lineRule="exact"/>
              <w:jc w:val="center"/>
              <w:rPr>
                <w:sz w:val="24"/>
                <w:highlight w:val="none"/>
              </w:rPr>
            </w:pPr>
            <w:r>
              <w:rPr>
                <w:rFonts w:hint="eastAsia"/>
                <w:kern w:val="0"/>
                <w:sz w:val="24"/>
                <w:highlight w:val="none"/>
              </w:rPr>
              <w:t>外售综合利用</w:t>
            </w:r>
          </w:p>
        </w:tc>
        <w:tc>
          <w:tcPr>
            <w:tcW w:w="1159" w:type="pct"/>
            <w:vMerge w:val="continue"/>
            <w:vAlign w:val="center"/>
          </w:tcPr>
          <w:p>
            <w:pPr>
              <w:wordWrap w:val="0"/>
              <w:adjustRightInd w:val="0"/>
              <w:snapToGrid w:val="0"/>
              <w:spacing w:line="300" w:lineRule="exact"/>
              <w:jc w:val="center"/>
              <w:rPr>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669" w:type="pct"/>
            <w:vMerge w:val="continue"/>
            <w:vAlign w:val="center"/>
          </w:tcPr>
          <w:p>
            <w:pPr>
              <w:wordWrap w:val="0"/>
              <w:adjustRightInd w:val="0"/>
              <w:snapToGrid w:val="0"/>
              <w:spacing w:line="300" w:lineRule="exact"/>
              <w:jc w:val="center"/>
              <w:rPr>
                <w:sz w:val="24"/>
                <w:highlight w:val="none"/>
              </w:rPr>
            </w:pPr>
          </w:p>
        </w:tc>
        <w:tc>
          <w:tcPr>
            <w:tcW w:w="600" w:type="pct"/>
            <w:vMerge w:val="continue"/>
            <w:vAlign w:val="center"/>
          </w:tcPr>
          <w:p>
            <w:pPr>
              <w:wordWrap w:val="0"/>
              <w:adjustRightInd w:val="0"/>
              <w:snapToGrid w:val="0"/>
              <w:spacing w:line="300" w:lineRule="exact"/>
              <w:jc w:val="center"/>
              <w:rPr>
                <w:bCs/>
                <w:sz w:val="24"/>
                <w:highlight w:val="none"/>
              </w:rPr>
            </w:pPr>
          </w:p>
        </w:tc>
        <w:tc>
          <w:tcPr>
            <w:tcW w:w="1166" w:type="pct"/>
            <w:vAlign w:val="center"/>
          </w:tcPr>
          <w:p>
            <w:pPr>
              <w:wordWrap w:val="0"/>
              <w:adjustRightInd w:val="0"/>
              <w:snapToGrid w:val="0"/>
              <w:spacing w:line="300" w:lineRule="exact"/>
              <w:jc w:val="center"/>
              <w:rPr>
                <w:sz w:val="24"/>
                <w:highlight w:val="none"/>
              </w:rPr>
            </w:pPr>
            <w:r>
              <w:rPr>
                <w:rFonts w:hint="eastAsia"/>
                <w:sz w:val="24"/>
                <w:highlight w:val="none"/>
              </w:rPr>
              <w:t>布袋除尘器收尘</w:t>
            </w:r>
          </w:p>
        </w:tc>
        <w:tc>
          <w:tcPr>
            <w:tcW w:w="1403" w:type="pct"/>
            <w:vAlign w:val="center"/>
          </w:tcPr>
          <w:p>
            <w:pPr>
              <w:wordWrap w:val="0"/>
              <w:adjustRightInd w:val="0"/>
              <w:snapToGrid w:val="0"/>
              <w:spacing w:line="300" w:lineRule="exact"/>
              <w:jc w:val="center"/>
              <w:rPr>
                <w:sz w:val="24"/>
                <w:highlight w:val="none"/>
              </w:rPr>
            </w:pPr>
            <w:r>
              <w:rPr>
                <w:rFonts w:hint="eastAsia"/>
                <w:kern w:val="0"/>
                <w:sz w:val="24"/>
                <w:highlight w:val="none"/>
              </w:rPr>
              <w:t>外售综合利用</w:t>
            </w:r>
          </w:p>
        </w:tc>
        <w:tc>
          <w:tcPr>
            <w:tcW w:w="1159" w:type="pct"/>
            <w:vMerge w:val="continue"/>
            <w:vAlign w:val="center"/>
          </w:tcPr>
          <w:p>
            <w:pPr>
              <w:wordWrap w:val="0"/>
              <w:adjustRightInd w:val="0"/>
              <w:snapToGrid w:val="0"/>
              <w:spacing w:line="300" w:lineRule="exact"/>
              <w:jc w:val="center"/>
              <w:rPr>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669" w:type="pct"/>
            <w:vMerge w:val="continue"/>
            <w:vAlign w:val="center"/>
          </w:tcPr>
          <w:p>
            <w:pPr>
              <w:wordWrap w:val="0"/>
              <w:adjustRightInd w:val="0"/>
              <w:snapToGrid w:val="0"/>
              <w:spacing w:line="300" w:lineRule="exact"/>
              <w:jc w:val="center"/>
              <w:rPr>
                <w:sz w:val="24"/>
                <w:highlight w:val="none"/>
              </w:rPr>
            </w:pPr>
          </w:p>
        </w:tc>
        <w:tc>
          <w:tcPr>
            <w:tcW w:w="600" w:type="pct"/>
            <w:vMerge w:val="continue"/>
            <w:vAlign w:val="center"/>
          </w:tcPr>
          <w:p>
            <w:pPr>
              <w:wordWrap w:val="0"/>
              <w:adjustRightInd w:val="0"/>
              <w:snapToGrid w:val="0"/>
              <w:spacing w:line="300" w:lineRule="exact"/>
              <w:jc w:val="center"/>
              <w:rPr>
                <w:bCs/>
                <w:sz w:val="24"/>
                <w:highlight w:val="none"/>
              </w:rPr>
            </w:pPr>
          </w:p>
        </w:tc>
        <w:tc>
          <w:tcPr>
            <w:tcW w:w="1166" w:type="pct"/>
            <w:vAlign w:val="center"/>
          </w:tcPr>
          <w:p>
            <w:pPr>
              <w:wordWrap w:val="0"/>
              <w:adjustRightInd w:val="0"/>
              <w:snapToGrid w:val="0"/>
              <w:spacing w:line="300" w:lineRule="exact"/>
              <w:jc w:val="center"/>
              <w:rPr>
                <w:sz w:val="24"/>
                <w:highlight w:val="none"/>
              </w:rPr>
            </w:pPr>
            <w:r>
              <w:rPr>
                <w:rFonts w:hint="eastAsia"/>
                <w:sz w:val="24"/>
                <w:highlight w:val="none"/>
              </w:rPr>
              <w:t>玉米皮、玉米须和缺粒、杂色、成熟度过高或过低的不合格玉米、边角料</w:t>
            </w:r>
          </w:p>
        </w:tc>
        <w:tc>
          <w:tcPr>
            <w:tcW w:w="1403" w:type="pct"/>
            <w:vAlign w:val="center"/>
          </w:tcPr>
          <w:p>
            <w:pPr>
              <w:wordWrap w:val="0"/>
              <w:adjustRightInd w:val="0"/>
              <w:snapToGrid w:val="0"/>
              <w:spacing w:line="300" w:lineRule="exact"/>
              <w:jc w:val="center"/>
              <w:rPr>
                <w:kern w:val="0"/>
                <w:sz w:val="24"/>
                <w:highlight w:val="none"/>
              </w:rPr>
            </w:pPr>
            <w:r>
              <w:rPr>
                <w:rFonts w:hint="eastAsia"/>
                <w:kern w:val="0"/>
                <w:sz w:val="24"/>
                <w:highlight w:val="none"/>
              </w:rPr>
              <w:t>外售综合利用</w:t>
            </w:r>
          </w:p>
        </w:tc>
        <w:tc>
          <w:tcPr>
            <w:tcW w:w="1159" w:type="pct"/>
            <w:vMerge w:val="continue"/>
            <w:vAlign w:val="center"/>
          </w:tcPr>
          <w:p>
            <w:pPr>
              <w:wordWrap w:val="0"/>
              <w:adjustRightInd w:val="0"/>
              <w:snapToGrid w:val="0"/>
              <w:spacing w:line="300" w:lineRule="exact"/>
              <w:jc w:val="center"/>
              <w:rPr>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669" w:type="pct"/>
            <w:vMerge w:val="continue"/>
            <w:vAlign w:val="center"/>
          </w:tcPr>
          <w:p>
            <w:pPr>
              <w:wordWrap w:val="0"/>
              <w:adjustRightInd w:val="0"/>
              <w:snapToGrid w:val="0"/>
              <w:spacing w:line="300" w:lineRule="exact"/>
              <w:jc w:val="center"/>
              <w:rPr>
                <w:sz w:val="24"/>
                <w:highlight w:val="none"/>
              </w:rPr>
            </w:pPr>
          </w:p>
        </w:tc>
        <w:tc>
          <w:tcPr>
            <w:tcW w:w="600" w:type="pct"/>
            <w:vMerge w:val="continue"/>
            <w:vAlign w:val="center"/>
          </w:tcPr>
          <w:p>
            <w:pPr>
              <w:wordWrap w:val="0"/>
              <w:adjustRightInd w:val="0"/>
              <w:snapToGrid w:val="0"/>
              <w:spacing w:line="300" w:lineRule="exact"/>
              <w:jc w:val="center"/>
              <w:rPr>
                <w:bCs/>
                <w:sz w:val="24"/>
                <w:highlight w:val="none"/>
              </w:rPr>
            </w:pPr>
          </w:p>
        </w:tc>
        <w:tc>
          <w:tcPr>
            <w:tcW w:w="1166" w:type="pct"/>
            <w:vAlign w:val="center"/>
          </w:tcPr>
          <w:p>
            <w:pPr>
              <w:wordWrap w:val="0"/>
              <w:adjustRightInd w:val="0"/>
              <w:snapToGrid w:val="0"/>
              <w:spacing w:line="300" w:lineRule="exact"/>
              <w:jc w:val="center"/>
              <w:rPr>
                <w:sz w:val="24"/>
                <w:highlight w:val="none"/>
              </w:rPr>
            </w:pPr>
            <w:r>
              <w:rPr>
                <w:sz w:val="24"/>
                <w:highlight w:val="none"/>
              </w:rPr>
              <w:t>废布袋</w:t>
            </w:r>
          </w:p>
        </w:tc>
        <w:tc>
          <w:tcPr>
            <w:tcW w:w="1403" w:type="pct"/>
            <w:vAlign w:val="center"/>
          </w:tcPr>
          <w:p>
            <w:pPr>
              <w:wordWrap w:val="0"/>
              <w:adjustRightInd w:val="0"/>
              <w:snapToGrid w:val="0"/>
              <w:spacing w:line="300" w:lineRule="exact"/>
              <w:jc w:val="center"/>
              <w:rPr>
                <w:kern w:val="0"/>
                <w:sz w:val="24"/>
                <w:highlight w:val="none"/>
              </w:rPr>
            </w:pPr>
            <w:r>
              <w:rPr>
                <w:rFonts w:hint="eastAsia"/>
                <w:kern w:val="0"/>
                <w:sz w:val="24"/>
                <w:highlight w:val="none"/>
              </w:rPr>
              <w:t>由</w:t>
            </w:r>
            <w:r>
              <w:rPr>
                <w:rFonts w:hint="eastAsia"/>
                <w:kern w:val="0"/>
                <w:sz w:val="24"/>
                <w:highlight w:val="none"/>
                <w:lang w:val="en-US" w:eastAsia="zh-CN"/>
              </w:rPr>
              <w:t>厂家统一回收</w:t>
            </w:r>
          </w:p>
        </w:tc>
        <w:tc>
          <w:tcPr>
            <w:tcW w:w="1159" w:type="pct"/>
            <w:vMerge w:val="continue"/>
            <w:vAlign w:val="center"/>
          </w:tcPr>
          <w:p>
            <w:pPr>
              <w:wordWrap w:val="0"/>
              <w:adjustRightInd w:val="0"/>
              <w:snapToGrid w:val="0"/>
              <w:spacing w:line="300" w:lineRule="exact"/>
              <w:jc w:val="center"/>
              <w:rPr>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669" w:type="pct"/>
            <w:vMerge w:val="continue"/>
            <w:vAlign w:val="center"/>
          </w:tcPr>
          <w:p>
            <w:pPr>
              <w:wordWrap w:val="0"/>
              <w:adjustRightInd w:val="0"/>
              <w:snapToGrid w:val="0"/>
              <w:spacing w:line="300" w:lineRule="exact"/>
              <w:jc w:val="center"/>
              <w:rPr>
                <w:sz w:val="24"/>
                <w:highlight w:val="none"/>
              </w:rPr>
            </w:pPr>
          </w:p>
        </w:tc>
        <w:tc>
          <w:tcPr>
            <w:tcW w:w="600" w:type="pct"/>
            <w:vMerge w:val="continue"/>
            <w:vAlign w:val="center"/>
          </w:tcPr>
          <w:p>
            <w:pPr>
              <w:wordWrap w:val="0"/>
              <w:adjustRightInd w:val="0"/>
              <w:snapToGrid w:val="0"/>
              <w:spacing w:line="300" w:lineRule="exact"/>
              <w:jc w:val="center"/>
              <w:rPr>
                <w:bCs/>
                <w:sz w:val="24"/>
                <w:highlight w:val="none"/>
              </w:rPr>
            </w:pPr>
          </w:p>
        </w:tc>
        <w:tc>
          <w:tcPr>
            <w:tcW w:w="1166" w:type="pct"/>
            <w:vAlign w:val="center"/>
          </w:tcPr>
          <w:p>
            <w:pPr>
              <w:wordWrap w:val="0"/>
              <w:adjustRightInd w:val="0"/>
              <w:snapToGrid w:val="0"/>
              <w:spacing w:line="300" w:lineRule="exact"/>
              <w:jc w:val="center"/>
              <w:rPr>
                <w:sz w:val="24"/>
                <w:highlight w:val="none"/>
              </w:rPr>
            </w:pPr>
            <w:r>
              <w:rPr>
                <w:sz w:val="24"/>
                <w:highlight w:val="none"/>
              </w:rPr>
              <w:t>废离子交换树脂</w:t>
            </w:r>
          </w:p>
        </w:tc>
        <w:tc>
          <w:tcPr>
            <w:tcW w:w="1403" w:type="pct"/>
            <w:vAlign w:val="center"/>
          </w:tcPr>
          <w:p>
            <w:pPr>
              <w:wordWrap w:val="0"/>
              <w:adjustRightInd w:val="0"/>
              <w:snapToGrid w:val="0"/>
              <w:spacing w:line="300" w:lineRule="exact"/>
              <w:jc w:val="center"/>
              <w:rPr>
                <w:kern w:val="0"/>
                <w:sz w:val="24"/>
                <w:highlight w:val="none"/>
              </w:rPr>
            </w:pPr>
            <w:r>
              <w:rPr>
                <w:sz w:val="24"/>
                <w:highlight w:val="none"/>
              </w:rPr>
              <w:t>厂家回收再利用</w:t>
            </w:r>
          </w:p>
        </w:tc>
        <w:tc>
          <w:tcPr>
            <w:tcW w:w="1159" w:type="pct"/>
            <w:vMerge w:val="continue"/>
            <w:vAlign w:val="center"/>
          </w:tcPr>
          <w:p>
            <w:pPr>
              <w:wordWrap w:val="0"/>
              <w:adjustRightInd w:val="0"/>
              <w:snapToGrid w:val="0"/>
              <w:spacing w:line="300" w:lineRule="exact"/>
              <w:jc w:val="center"/>
              <w:rPr>
                <w:sz w:val="24"/>
                <w:highlight w:val="none"/>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669" w:type="pct"/>
            <w:vAlign w:val="center"/>
          </w:tcPr>
          <w:p>
            <w:pPr>
              <w:wordWrap w:val="0"/>
              <w:adjustRightInd w:val="0"/>
              <w:snapToGrid w:val="0"/>
              <w:spacing w:line="300" w:lineRule="exact"/>
              <w:jc w:val="center"/>
              <w:rPr>
                <w:sz w:val="24"/>
                <w:highlight w:val="none"/>
              </w:rPr>
            </w:pPr>
            <w:r>
              <w:rPr>
                <w:sz w:val="24"/>
                <w:highlight w:val="none"/>
              </w:rPr>
              <w:t>土壤及地下水污染防治措施</w:t>
            </w:r>
          </w:p>
        </w:tc>
        <w:tc>
          <w:tcPr>
            <w:tcW w:w="4330" w:type="pct"/>
            <w:gridSpan w:val="4"/>
            <w:vAlign w:val="center"/>
          </w:tcPr>
          <w:p>
            <w:pPr>
              <w:wordWrap w:val="0"/>
              <w:adjustRightInd w:val="0"/>
              <w:snapToGrid w:val="0"/>
              <w:spacing w:line="300" w:lineRule="exact"/>
              <w:jc w:val="center"/>
              <w:rPr>
                <w:sz w:val="24"/>
                <w:highlight w:val="none"/>
              </w:rPr>
            </w:pPr>
            <w:r>
              <w:rPr>
                <w:rFonts w:hint="eastAsia"/>
                <w:sz w:val="24"/>
                <w:highlight w:val="none"/>
              </w:rPr>
              <w:t>20m</w:t>
            </w:r>
            <w:r>
              <w:rPr>
                <w:rFonts w:hint="eastAsia"/>
                <w:sz w:val="24"/>
                <w:highlight w:val="none"/>
                <w:vertAlign w:val="superscript"/>
              </w:rPr>
              <w:t>3</w:t>
            </w:r>
            <w:r>
              <w:rPr>
                <w:rFonts w:hint="eastAsia"/>
                <w:sz w:val="24"/>
                <w:highlight w:val="none"/>
              </w:rPr>
              <w:t>防渗污水储池采用2mm厚的HDPE土工膜及无纺布（两布一膜）作为主防渗层。在主防渗层以上采用混凝土浇筑，地面等效黏土防渗层Mb≥</w:t>
            </w:r>
            <w:r>
              <w:rPr>
                <w:sz w:val="24"/>
                <w:highlight w:val="none"/>
              </w:rPr>
              <w:t>1.5</w:t>
            </w:r>
            <w:r>
              <w:rPr>
                <w:rFonts w:hint="eastAsia"/>
                <w:sz w:val="24"/>
                <w:highlight w:val="none"/>
              </w:rPr>
              <w:t>m，渗透系数小于1×10</w:t>
            </w:r>
            <w:r>
              <w:rPr>
                <w:rFonts w:hint="eastAsia"/>
                <w:sz w:val="24"/>
                <w:highlight w:val="none"/>
                <w:vertAlign w:val="superscript"/>
              </w:rPr>
              <w:t>-</w:t>
            </w:r>
            <w:r>
              <w:rPr>
                <w:sz w:val="24"/>
                <w:highlight w:val="none"/>
                <w:vertAlign w:val="superscript"/>
              </w:rPr>
              <w:t>7</w:t>
            </w:r>
            <w:r>
              <w:rPr>
                <w:rFonts w:hint="eastAsia"/>
                <w:sz w:val="24"/>
                <w:highlight w:val="none"/>
              </w:rPr>
              <w:t>cm/s，</w:t>
            </w:r>
            <w:r>
              <w:rPr>
                <w:sz w:val="24"/>
                <w:highlight w:val="none"/>
              </w:rPr>
              <w:t>可有效</w:t>
            </w:r>
            <w:r>
              <w:rPr>
                <w:rFonts w:hint="eastAsia"/>
                <w:sz w:val="24"/>
                <w:highlight w:val="none"/>
              </w:rPr>
              <w:t>防止地下水污染。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669" w:type="pct"/>
            <w:vAlign w:val="center"/>
          </w:tcPr>
          <w:p>
            <w:pPr>
              <w:wordWrap w:val="0"/>
              <w:adjustRightInd w:val="0"/>
              <w:snapToGrid w:val="0"/>
              <w:spacing w:line="300" w:lineRule="exact"/>
              <w:jc w:val="center"/>
              <w:rPr>
                <w:sz w:val="24"/>
                <w:highlight w:val="none"/>
              </w:rPr>
            </w:pPr>
            <w:r>
              <w:rPr>
                <w:sz w:val="24"/>
                <w:highlight w:val="none"/>
              </w:rPr>
              <w:t>生态保护措施</w:t>
            </w:r>
          </w:p>
        </w:tc>
        <w:tc>
          <w:tcPr>
            <w:tcW w:w="4330" w:type="pct"/>
            <w:gridSpan w:val="4"/>
            <w:vAlign w:val="center"/>
          </w:tcPr>
          <w:p>
            <w:pPr>
              <w:wordWrap w:val="0"/>
              <w:adjustRightInd w:val="0"/>
              <w:snapToGrid w:val="0"/>
              <w:spacing w:line="300" w:lineRule="exact"/>
              <w:jc w:val="center"/>
              <w:rPr>
                <w:sz w:val="24"/>
                <w:highlight w:val="none"/>
              </w:rPr>
            </w:pPr>
            <w:r>
              <w:rPr>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669" w:type="pct"/>
            <w:vAlign w:val="center"/>
          </w:tcPr>
          <w:p>
            <w:pPr>
              <w:wordWrap w:val="0"/>
              <w:adjustRightInd w:val="0"/>
              <w:snapToGrid w:val="0"/>
              <w:spacing w:line="300" w:lineRule="exact"/>
              <w:jc w:val="center"/>
              <w:rPr>
                <w:spacing w:val="-8"/>
                <w:sz w:val="24"/>
                <w:highlight w:val="none"/>
              </w:rPr>
            </w:pPr>
            <w:r>
              <w:rPr>
                <w:spacing w:val="-8"/>
                <w:sz w:val="24"/>
                <w:highlight w:val="none"/>
              </w:rPr>
              <w:t>环境风险</w:t>
            </w:r>
          </w:p>
          <w:p>
            <w:pPr>
              <w:wordWrap w:val="0"/>
              <w:adjustRightInd w:val="0"/>
              <w:snapToGrid w:val="0"/>
              <w:spacing w:line="300" w:lineRule="exact"/>
              <w:jc w:val="center"/>
              <w:rPr>
                <w:spacing w:val="-8"/>
                <w:sz w:val="24"/>
                <w:highlight w:val="none"/>
              </w:rPr>
            </w:pPr>
            <w:r>
              <w:rPr>
                <w:spacing w:val="-8"/>
                <w:sz w:val="24"/>
                <w:highlight w:val="none"/>
              </w:rPr>
              <w:t>防范措施</w:t>
            </w:r>
          </w:p>
        </w:tc>
        <w:tc>
          <w:tcPr>
            <w:tcW w:w="4330" w:type="pct"/>
            <w:gridSpan w:val="4"/>
            <w:vAlign w:val="center"/>
          </w:tcPr>
          <w:p>
            <w:pPr>
              <w:wordWrap w:val="0"/>
              <w:spacing w:line="300" w:lineRule="exact"/>
              <w:jc w:val="center"/>
              <w:rPr>
                <w:sz w:val="24"/>
                <w:highlight w:val="none"/>
              </w:rPr>
            </w:pPr>
            <w:r>
              <w:rPr>
                <w:sz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669" w:type="pct"/>
            <w:vAlign w:val="center"/>
          </w:tcPr>
          <w:p>
            <w:pPr>
              <w:wordWrap w:val="0"/>
              <w:adjustRightInd w:val="0"/>
              <w:snapToGrid w:val="0"/>
              <w:spacing w:line="300" w:lineRule="exact"/>
              <w:jc w:val="center"/>
              <w:rPr>
                <w:spacing w:val="-8"/>
                <w:sz w:val="24"/>
                <w:highlight w:val="none"/>
              </w:rPr>
            </w:pPr>
            <w:r>
              <w:rPr>
                <w:spacing w:val="-8"/>
                <w:sz w:val="24"/>
                <w:highlight w:val="none"/>
              </w:rPr>
              <w:t>其他环境</w:t>
            </w:r>
          </w:p>
          <w:p>
            <w:pPr>
              <w:wordWrap w:val="0"/>
              <w:adjustRightInd w:val="0"/>
              <w:snapToGrid w:val="0"/>
              <w:spacing w:line="300" w:lineRule="exact"/>
              <w:jc w:val="center"/>
              <w:rPr>
                <w:spacing w:val="-8"/>
                <w:sz w:val="24"/>
                <w:highlight w:val="none"/>
              </w:rPr>
            </w:pPr>
            <w:r>
              <w:rPr>
                <w:spacing w:val="-8"/>
                <w:sz w:val="24"/>
                <w:highlight w:val="none"/>
              </w:rPr>
              <w:t>管理要求</w:t>
            </w:r>
          </w:p>
        </w:tc>
        <w:tc>
          <w:tcPr>
            <w:tcW w:w="4330" w:type="pct"/>
            <w:gridSpan w:val="4"/>
            <w:vAlign w:val="center"/>
          </w:tcPr>
          <w:p>
            <w:pPr>
              <w:wordWrap w:val="0"/>
              <w:adjustRightInd w:val="0"/>
              <w:snapToGrid w:val="0"/>
              <w:spacing w:line="300" w:lineRule="exact"/>
              <w:jc w:val="center"/>
              <w:rPr>
                <w:sz w:val="24"/>
                <w:highlight w:val="none"/>
              </w:rPr>
            </w:pPr>
            <w:r>
              <w:rPr>
                <w:sz w:val="24"/>
                <w:highlight w:val="none"/>
              </w:rPr>
              <w:t>/</w:t>
            </w:r>
          </w:p>
        </w:tc>
      </w:tr>
    </w:tbl>
    <w:p>
      <w:pPr>
        <w:pStyle w:val="24"/>
        <w:jc w:val="center"/>
        <w:outlineLvl w:val="0"/>
        <w:rPr>
          <w:rFonts w:ascii="Times New Roman" w:hAnsi="Times New Roman" w:eastAsia="黑体"/>
          <w:snapToGrid w:val="0"/>
          <w:sz w:val="30"/>
          <w:szCs w:val="30"/>
          <w:highlight w:val="none"/>
        </w:rPr>
      </w:pPr>
      <w:r>
        <w:rPr>
          <w:rFonts w:ascii="Times New Roman" w:hAnsi="Times New Roman"/>
          <w:snapToGrid w:val="0"/>
          <w:highlight w:val="none"/>
        </w:rPr>
        <w:br w:type="page"/>
      </w:r>
      <w:bookmarkStart w:id="228" w:name="_Toc28480"/>
      <w:bookmarkStart w:id="229" w:name="_Toc11580"/>
      <w:r>
        <w:rPr>
          <w:rFonts w:ascii="Times New Roman" w:hAnsi="Times New Roman" w:eastAsia="黑体"/>
          <w:snapToGrid w:val="0"/>
          <w:sz w:val="30"/>
          <w:szCs w:val="30"/>
          <w:highlight w:val="none"/>
        </w:rPr>
        <w:t>六、结论</w:t>
      </w:r>
      <w:bookmarkEnd w:id="228"/>
      <w:bookmarkEnd w:id="229"/>
    </w:p>
    <w:tbl>
      <w:tblPr>
        <w:tblStyle w:val="29"/>
        <w:tblW w:w="96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80" w:firstLineChars="200"/>
              <w:rPr>
                <w:bCs/>
                <w:sz w:val="24"/>
                <w:highlight w:val="none"/>
              </w:rPr>
            </w:pPr>
            <w:r>
              <w:rPr>
                <w:bCs/>
                <w:sz w:val="24"/>
                <w:highlight w:val="none"/>
              </w:rPr>
              <w:t>综上所述，本项目符合国家及地方相关产业政策，选址合理，符合当地区域规划；企业采用的污染防治措施可使污染物达标排放。本项目运营时须严格落实环境影响报告表和工程设计提出的环保对策及措施，严格执行“三同时”制度，确保项目所产生的污染物达标排放。因此，从环境角度考虑，本项目建设是可行的。</w:t>
            </w:r>
          </w:p>
          <w:p>
            <w:pPr>
              <w:widowControl/>
              <w:spacing w:line="480" w:lineRule="atLeast"/>
              <w:ind w:firstLine="420"/>
              <w:rPr>
                <w:kern w:val="0"/>
                <w:sz w:val="24"/>
                <w:highlight w:val="none"/>
              </w:rPr>
            </w:pPr>
          </w:p>
          <w:p>
            <w:pPr>
              <w:spacing w:line="360" w:lineRule="auto"/>
              <w:rPr>
                <w:sz w:val="24"/>
                <w:highlight w:val="none"/>
              </w:rPr>
            </w:pPr>
          </w:p>
        </w:tc>
      </w:tr>
    </w:tbl>
    <w:p>
      <w:pPr>
        <w:rPr>
          <w:highlight w:val="none"/>
        </w:rPr>
        <w:sectPr>
          <w:pgSz w:w="11906" w:h="16838"/>
          <w:pgMar w:top="1701" w:right="1531" w:bottom="1701" w:left="1531" w:header="851" w:footer="851" w:gutter="0"/>
          <w:pgNumType w:fmt="decimal"/>
          <w:cols w:space="720" w:num="1"/>
          <w:docGrid w:linePitch="312" w:charSpace="0"/>
        </w:sectPr>
      </w:pPr>
    </w:p>
    <w:p>
      <w:pPr>
        <w:pStyle w:val="24"/>
        <w:adjustRightInd w:val="0"/>
        <w:spacing w:before="0" w:beforeAutospacing="0" w:after="0" w:afterAutospacing="0" w:line="360" w:lineRule="auto"/>
        <w:outlineLvl w:val="0"/>
        <w:rPr>
          <w:rFonts w:ascii="Times New Roman" w:hAnsi="Times New Roman" w:eastAsia="黑体"/>
          <w:snapToGrid w:val="0"/>
          <w:sz w:val="32"/>
          <w:szCs w:val="32"/>
          <w:highlight w:val="none"/>
        </w:rPr>
      </w:pPr>
      <w:bookmarkStart w:id="230" w:name="_Toc15029"/>
      <w:bookmarkStart w:id="231" w:name="_Toc80034807"/>
      <w:bookmarkStart w:id="232" w:name="_Toc28453"/>
      <w:r>
        <w:rPr>
          <w:rFonts w:ascii="Times New Roman" w:hAnsi="Times New Roman" w:eastAsia="黑体"/>
          <w:snapToGrid w:val="0"/>
          <w:sz w:val="32"/>
          <w:szCs w:val="32"/>
          <w:highlight w:val="none"/>
        </w:rPr>
        <w:t>附表</w:t>
      </w:r>
      <w:bookmarkEnd w:id="230"/>
      <w:bookmarkEnd w:id="231"/>
      <w:bookmarkEnd w:id="232"/>
    </w:p>
    <w:p>
      <w:pPr>
        <w:pStyle w:val="24"/>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Times New Roman" w:hAnsi="Times New Roman" w:eastAsia="方正小标宋_GBK"/>
          <w:snapToGrid w:val="0"/>
          <w:sz w:val="38"/>
          <w:szCs w:val="38"/>
          <w:highlight w:val="none"/>
        </w:rPr>
      </w:pPr>
      <w:bookmarkStart w:id="233" w:name="_Toc17547"/>
      <w:bookmarkStart w:id="234" w:name="_Toc80034808"/>
      <w:bookmarkStart w:id="235" w:name="_Toc12260"/>
      <w:r>
        <w:rPr>
          <w:rFonts w:ascii="Times New Roman" w:hAnsi="Times New Roman" w:eastAsia="方正小标宋_GBK"/>
          <w:snapToGrid w:val="0"/>
          <w:sz w:val="38"/>
          <w:szCs w:val="38"/>
          <w:highlight w:val="none"/>
        </w:rPr>
        <w:t>建设项目污染物排放量汇总表</w:t>
      </w:r>
      <w:bookmarkEnd w:id="233"/>
      <w:bookmarkEnd w:id="234"/>
      <w:bookmarkEnd w:id="235"/>
    </w:p>
    <w:tbl>
      <w:tblPr>
        <w:tblStyle w:val="29"/>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996"/>
        <w:gridCol w:w="1701"/>
        <w:gridCol w:w="1276"/>
        <w:gridCol w:w="1701"/>
        <w:gridCol w:w="1559"/>
        <w:gridCol w:w="1497"/>
        <w:gridCol w:w="1792"/>
        <w:gridCol w:w="12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09" w:type="dxa"/>
            <w:tcBorders>
              <w:tl2br w:val="single" w:color="auto" w:sz="4" w:space="0"/>
            </w:tcBorders>
            <w:tcMar>
              <w:left w:w="28" w:type="dxa"/>
              <w:right w:w="28" w:type="dxa"/>
            </w:tcMar>
            <w:vAlign w:val="center"/>
          </w:tcPr>
          <w:p>
            <w:pPr>
              <w:pStyle w:val="39"/>
              <w:spacing w:beforeLines="0" w:afterLines="0" w:line="240" w:lineRule="auto"/>
              <w:jc w:val="right"/>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项目</w:t>
            </w:r>
          </w:p>
          <w:p>
            <w:pPr>
              <w:pStyle w:val="39"/>
              <w:spacing w:beforeLines="0" w:afterLines="0" w:line="240" w:lineRule="auto"/>
              <w:jc w:val="left"/>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分类</w:t>
            </w:r>
          </w:p>
        </w:tc>
        <w:tc>
          <w:tcPr>
            <w:tcW w:w="1996" w:type="dxa"/>
            <w:tcMar>
              <w:left w:w="28" w:type="dxa"/>
              <w:right w:w="28" w:type="dxa"/>
            </w:tcMar>
            <w:vAlign w:val="center"/>
          </w:tcPr>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污染物名称</w:t>
            </w:r>
          </w:p>
        </w:tc>
        <w:tc>
          <w:tcPr>
            <w:tcW w:w="1701" w:type="dxa"/>
            <w:tcMar>
              <w:left w:w="28" w:type="dxa"/>
              <w:right w:w="28" w:type="dxa"/>
            </w:tcMar>
            <w:vAlign w:val="center"/>
          </w:tcPr>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现有工程</w:t>
            </w:r>
          </w:p>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排放量（固体废物产生量）</w:t>
            </w:r>
            <w:r>
              <w:rPr>
                <w:rFonts w:ascii="Times New Roman" w:eastAsia="黑体"/>
                <w:snapToGrid w:val="0"/>
                <w:spacing w:val="-6"/>
                <w:kern w:val="21"/>
                <w:sz w:val="24"/>
                <w:szCs w:val="24"/>
                <w:highlight w:val="none"/>
              </w:rPr>
              <w:fldChar w:fldCharType="begin"/>
            </w:r>
            <w:r>
              <w:rPr>
                <w:rFonts w:ascii="Times New Roman" w:eastAsia="黑体"/>
                <w:snapToGrid w:val="0"/>
                <w:spacing w:val="-6"/>
                <w:kern w:val="21"/>
                <w:sz w:val="24"/>
                <w:szCs w:val="24"/>
                <w:highlight w:val="none"/>
              </w:rPr>
              <w:instrText xml:space="preserve"> = 1 \* GB3 \* MERGEFORMAT </w:instrText>
            </w:r>
            <w:r>
              <w:rPr>
                <w:rFonts w:ascii="Times New Roman" w:eastAsia="黑体"/>
                <w:snapToGrid w:val="0"/>
                <w:spacing w:val="-6"/>
                <w:kern w:val="21"/>
                <w:sz w:val="24"/>
                <w:szCs w:val="24"/>
                <w:highlight w:val="none"/>
              </w:rPr>
              <w:fldChar w:fldCharType="separate"/>
            </w:r>
            <w:r>
              <w:rPr>
                <w:rFonts w:ascii="Times New Roman" w:eastAsia="黑体"/>
                <w:kern w:val="2"/>
                <w:sz w:val="24"/>
                <w:szCs w:val="24"/>
                <w:highlight w:val="none"/>
              </w:rPr>
              <w:t>①</w:t>
            </w:r>
            <w:r>
              <w:rPr>
                <w:rFonts w:ascii="Times New Roman" w:eastAsia="黑体"/>
                <w:snapToGrid w:val="0"/>
                <w:spacing w:val="-6"/>
                <w:kern w:val="21"/>
                <w:sz w:val="24"/>
                <w:szCs w:val="24"/>
                <w:highlight w:val="none"/>
              </w:rPr>
              <w:fldChar w:fldCharType="end"/>
            </w:r>
          </w:p>
        </w:tc>
        <w:tc>
          <w:tcPr>
            <w:tcW w:w="1276" w:type="dxa"/>
            <w:tcMar>
              <w:left w:w="28" w:type="dxa"/>
              <w:right w:w="28" w:type="dxa"/>
            </w:tcMar>
            <w:vAlign w:val="center"/>
          </w:tcPr>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现有工程</w:t>
            </w:r>
          </w:p>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许可排放量</w:t>
            </w:r>
          </w:p>
          <w:p>
            <w:pPr>
              <w:pStyle w:val="39"/>
              <w:spacing w:beforeLines="0" w:afterLines="0"/>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fldChar w:fldCharType="begin"/>
            </w:r>
            <w:r>
              <w:rPr>
                <w:rFonts w:ascii="Times New Roman" w:eastAsia="黑体"/>
                <w:snapToGrid w:val="0"/>
                <w:spacing w:val="-6"/>
                <w:kern w:val="21"/>
                <w:sz w:val="24"/>
                <w:szCs w:val="24"/>
                <w:highlight w:val="none"/>
              </w:rPr>
              <w:instrText xml:space="preserve"> = 2 \* GB3 \* MERGEFORMAT </w:instrText>
            </w:r>
            <w:r>
              <w:rPr>
                <w:rFonts w:ascii="Times New Roman" w:eastAsia="黑体"/>
                <w:snapToGrid w:val="0"/>
                <w:spacing w:val="-6"/>
                <w:kern w:val="21"/>
                <w:sz w:val="24"/>
                <w:szCs w:val="24"/>
                <w:highlight w:val="none"/>
              </w:rPr>
              <w:fldChar w:fldCharType="separate"/>
            </w:r>
            <w:r>
              <w:rPr>
                <w:rFonts w:ascii="Times New Roman" w:eastAsia="黑体"/>
                <w:snapToGrid w:val="0"/>
                <w:spacing w:val="-6"/>
                <w:kern w:val="21"/>
                <w:sz w:val="24"/>
                <w:szCs w:val="24"/>
                <w:highlight w:val="none"/>
              </w:rPr>
              <w:t>②</w:t>
            </w:r>
            <w:r>
              <w:rPr>
                <w:rFonts w:ascii="Times New Roman" w:eastAsia="黑体"/>
                <w:snapToGrid w:val="0"/>
                <w:spacing w:val="-6"/>
                <w:kern w:val="21"/>
                <w:sz w:val="24"/>
                <w:szCs w:val="24"/>
                <w:highlight w:val="none"/>
              </w:rPr>
              <w:fldChar w:fldCharType="end"/>
            </w:r>
          </w:p>
        </w:tc>
        <w:tc>
          <w:tcPr>
            <w:tcW w:w="1701" w:type="dxa"/>
            <w:tcMar>
              <w:left w:w="28" w:type="dxa"/>
              <w:right w:w="28" w:type="dxa"/>
            </w:tcMar>
            <w:vAlign w:val="center"/>
          </w:tcPr>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在建工程</w:t>
            </w:r>
          </w:p>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排放量（固体废物产生量）</w:t>
            </w:r>
            <w:r>
              <w:rPr>
                <w:rFonts w:ascii="Times New Roman" w:eastAsia="黑体"/>
                <w:snapToGrid w:val="0"/>
                <w:spacing w:val="-6"/>
                <w:kern w:val="21"/>
                <w:sz w:val="24"/>
                <w:szCs w:val="24"/>
                <w:highlight w:val="none"/>
              </w:rPr>
              <w:fldChar w:fldCharType="begin"/>
            </w:r>
            <w:r>
              <w:rPr>
                <w:rFonts w:ascii="Times New Roman" w:eastAsia="黑体"/>
                <w:snapToGrid w:val="0"/>
                <w:spacing w:val="-6"/>
                <w:kern w:val="21"/>
                <w:sz w:val="24"/>
                <w:szCs w:val="24"/>
                <w:highlight w:val="none"/>
              </w:rPr>
              <w:instrText xml:space="preserve"> = 3 \* GB3 \* MERGEFORMAT </w:instrText>
            </w:r>
            <w:r>
              <w:rPr>
                <w:rFonts w:ascii="Times New Roman" w:eastAsia="黑体"/>
                <w:snapToGrid w:val="0"/>
                <w:spacing w:val="-6"/>
                <w:kern w:val="21"/>
                <w:sz w:val="24"/>
                <w:szCs w:val="24"/>
                <w:highlight w:val="none"/>
              </w:rPr>
              <w:fldChar w:fldCharType="separate"/>
            </w:r>
            <w:r>
              <w:rPr>
                <w:rFonts w:ascii="Times New Roman" w:eastAsia="黑体"/>
                <w:kern w:val="2"/>
                <w:sz w:val="24"/>
                <w:szCs w:val="24"/>
                <w:highlight w:val="none"/>
              </w:rPr>
              <w:t>③</w:t>
            </w:r>
            <w:r>
              <w:rPr>
                <w:rFonts w:ascii="Times New Roman" w:eastAsia="黑体"/>
                <w:snapToGrid w:val="0"/>
                <w:spacing w:val="-6"/>
                <w:kern w:val="21"/>
                <w:sz w:val="24"/>
                <w:szCs w:val="24"/>
                <w:highlight w:val="none"/>
              </w:rPr>
              <w:fldChar w:fldCharType="end"/>
            </w:r>
          </w:p>
        </w:tc>
        <w:tc>
          <w:tcPr>
            <w:tcW w:w="1559" w:type="dxa"/>
            <w:tcMar>
              <w:left w:w="28" w:type="dxa"/>
              <w:right w:w="28" w:type="dxa"/>
            </w:tcMar>
            <w:vAlign w:val="center"/>
          </w:tcPr>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本项目</w:t>
            </w:r>
          </w:p>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排放量（固体废物产生量）</w:t>
            </w:r>
            <w:r>
              <w:rPr>
                <w:rFonts w:ascii="Times New Roman" w:eastAsia="黑体"/>
                <w:snapToGrid w:val="0"/>
                <w:spacing w:val="-6"/>
                <w:kern w:val="21"/>
                <w:sz w:val="24"/>
                <w:szCs w:val="24"/>
                <w:highlight w:val="none"/>
              </w:rPr>
              <w:fldChar w:fldCharType="begin"/>
            </w:r>
            <w:r>
              <w:rPr>
                <w:rFonts w:ascii="Times New Roman" w:eastAsia="黑体"/>
                <w:snapToGrid w:val="0"/>
                <w:spacing w:val="-6"/>
                <w:kern w:val="21"/>
                <w:sz w:val="24"/>
                <w:szCs w:val="24"/>
                <w:highlight w:val="none"/>
              </w:rPr>
              <w:instrText xml:space="preserve"> = 4 \* GB3 \* MERGEFORMAT </w:instrText>
            </w:r>
            <w:r>
              <w:rPr>
                <w:rFonts w:ascii="Times New Roman" w:eastAsia="黑体"/>
                <w:snapToGrid w:val="0"/>
                <w:spacing w:val="-6"/>
                <w:kern w:val="21"/>
                <w:sz w:val="24"/>
                <w:szCs w:val="24"/>
                <w:highlight w:val="none"/>
              </w:rPr>
              <w:fldChar w:fldCharType="separate"/>
            </w:r>
            <w:r>
              <w:rPr>
                <w:rFonts w:ascii="Times New Roman" w:eastAsia="黑体"/>
                <w:kern w:val="2"/>
                <w:sz w:val="24"/>
                <w:szCs w:val="24"/>
                <w:highlight w:val="none"/>
              </w:rPr>
              <w:t>④</w:t>
            </w:r>
            <w:r>
              <w:rPr>
                <w:rFonts w:ascii="Times New Roman" w:eastAsia="黑体"/>
                <w:snapToGrid w:val="0"/>
                <w:spacing w:val="-6"/>
                <w:kern w:val="21"/>
                <w:sz w:val="24"/>
                <w:szCs w:val="24"/>
                <w:highlight w:val="none"/>
              </w:rPr>
              <w:fldChar w:fldCharType="end"/>
            </w:r>
          </w:p>
        </w:tc>
        <w:tc>
          <w:tcPr>
            <w:tcW w:w="1497" w:type="dxa"/>
            <w:tcMar>
              <w:left w:w="28" w:type="dxa"/>
              <w:right w:w="28" w:type="dxa"/>
            </w:tcMar>
            <w:vAlign w:val="center"/>
          </w:tcPr>
          <w:p>
            <w:pPr>
              <w:pStyle w:val="39"/>
              <w:spacing w:beforeLines="0" w:afterLines="0" w:line="240" w:lineRule="auto"/>
              <w:rPr>
                <w:rFonts w:ascii="Times New Roman" w:eastAsia="黑体"/>
                <w:snapToGrid w:val="0"/>
                <w:spacing w:val="-16"/>
                <w:kern w:val="21"/>
                <w:sz w:val="24"/>
                <w:szCs w:val="24"/>
                <w:highlight w:val="none"/>
              </w:rPr>
            </w:pPr>
            <w:r>
              <w:rPr>
                <w:rFonts w:ascii="Times New Roman" w:eastAsia="黑体"/>
                <w:snapToGrid w:val="0"/>
                <w:spacing w:val="-16"/>
                <w:kern w:val="21"/>
                <w:sz w:val="24"/>
                <w:szCs w:val="24"/>
                <w:highlight w:val="none"/>
              </w:rPr>
              <w:t>以新带老削减量（新建项目不填）</w:t>
            </w:r>
            <w:r>
              <w:rPr>
                <w:rFonts w:ascii="Times New Roman" w:eastAsia="黑体"/>
                <w:snapToGrid w:val="0"/>
                <w:spacing w:val="-16"/>
                <w:kern w:val="21"/>
                <w:sz w:val="24"/>
                <w:szCs w:val="24"/>
                <w:highlight w:val="none"/>
              </w:rPr>
              <w:fldChar w:fldCharType="begin"/>
            </w:r>
            <w:r>
              <w:rPr>
                <w:rFonts w:ascii="Times New Roman" w:eastAsia="黑体"/>
                <w:snapToGrid w:val="0"/>
                <w:spacing w:val="-16"/>
                <w:kern w:val="21"/>
                <w:sz w:val="24"/>
                <w:szCs w:val="24"/>
                <w:highlight w:val="none"/>
              </w:rPr>
              <w:instrText xml:space="preserve"> = 5 \* GB3 \* MERGEFORMAT </w:instrText>
            </w:r>
            <w:r>
              <w:rPr>
                <w:rFonts w:ascii="Times New Roman" w:eastAsia="黑体"/>
                <w:snapToGrid w:val="0"/>
                <w:spacing w:val="-16"/>
                <w:kern w:val="21"/>
                <w:sz w:val="24"/>
                <w:szCs w:val="24"/>
                <w:highlight w:val="none"/>
              </w:rPr>
              <w:fldChar w:fldCharType="separate"/>
            </w:r>
            <w:r>
              <w:rPr>
                <w:rFonts w:ascii="Times New Roman" w:eastAsia="黑体"/>
                <w:kern w:val="2"/>
                <w:sz w:val="24"/>
                <w:szCs w:val="24"/>
                <w:highlight w:val="none"/>
              </w:rPr>
              <w:t>⑤</w:t>
            </w:r>
            <w:r>
              <w:rPr>
                <w:rFonts w:ascii="Times New Roman" w:eastAsia="黑体"/>
                <w:snapToGrid w:val="0"/>
                <w:spacing w:val="-16"/>
                <w:kern w:val="21"/>
                <w:sz w:val="24"/>
                <w:szCs w:val="24"/>
                <w:highlight w:val="none"/>
              </w:rPr>
              <w:fldChar w:fldCharType="end"/>
            </w:r>
          </w:p>
        </w:tc>
        <w:tc>
          <w:tcPr>
            <w:tcW w:w="1792" w:type="dxa"/>
            <w:tcMar>
              <w:left w:w="28" w:type="dxa"/>
              <w:right w:w="28" w:type="dxa"/>
            </w:tcMar>
            <w:vAlign w:val="center"/>
          </w:tcPr>
          <w:p>
            <w:pPr>
              <w:pStyle w:val="39"/>
              <w:spacing w:beforeLines="0" w:afterLines="0" w:line="240" w:lineRule="auto"/>
              <w:rPr>
                <w:rFonts w:ascii="Times New Roman" w:eastAsia="黑体"/>
                <w:snapToGrid w:val="0"/>
                <w:spacing w:val="-16"/>
                <w:kern w:val="21"/>
                <w:sz w:val="24"/>
                <w:szCs w:val="24"/>
                <w:highlight w:val="none"/>
              </w:rPr>
            </w:pPr>
            <w:r>
              <w:rPr>
                <w:rFonts w:ascii="Times New Roman" w:eastAsia="黑体"/>
                <w:snapToGrid w:val="0"/>
                <w:spacing w:val="-16"/>
                <w:kern w:val="21"/>
                <w:sz w:val="24"/>
                <w:szCs w:val="24"/>
                <w:highlight w:val="none"/>
              </w:rPr>
              <w:t>本项目建成后</w:t>
            </w:r>
          </w:p>
          <w:p>
            <w:pPr>
              <w:pStyle w:val="39"/>
              <w:spacing w:beforeLines="0" w:afterLines="0" w:line="240" w:lineRule="auto"/>
              <w:rPr>
                <w:rFonts w:ascii="Times New Roman" w:eastAsia="黑体"/>
                <w:snapToGrid w:val="0"/>
                <w:spacing w:val="-16"/>
                <w:kern w:val="21"/>
                <w:sz w:val="24"/>
                <w:szCs w:val="24"/>
                <w:highlight w:val="none"/>
              </w:rPr>
            </w:pPr>
            <w:r>
              <w:rPr>
                <w:rFonts w:ascii="Times New Roman" w:eastAsia="黑体"/>
                <w:snapToGrid w:val="0"/>
                <w:spacing w:val="-16"/>
                <w:kern w:val="21"/>
                <w:sz w:val="24"/>
                <w:szCs w:val="24"/>
                <w:highlight w:val="none"/>
              </w:rPr>
              <w:t>全厂排放量（固体废物产生量）</w:t>
            </w:r>
            <w:r>
              <w:rPr>
                <w:rFonts w:ascii="Times New Roman" w:eastAsia="黑体"/>
                <w:snapToGrid w:val="0"/>
                <w:spacing w:val="-16"/>
                <w:kern w:val="21"/>
                <w:sz w:val="24"/>
                <w:szCs w:val="24"/>
                <w:highlight w:val="none"/>
              </w:rPr>
              <w:fldChar w:fldCharType="begin"/>
            </w:r>
            <w:r>
              <w:rPr>
                <w:rFonts w:ascii="Times New Roman" w:eastAsia="黑体"/>
                <w:snapToGrid w:val="0"/>
                <w:spacing w:val="-16"/>
                <w:kern w:val="21"/>
                <w:sz w:val="24"/>
                <w:szCs w:val="24"/>
                <w:highlight w:val="none"/>
              </w:rPr>
              <w:instrText xml:space="preserve"> = 6 \* GB3 \* MERGEFORMAT </w:instrText>
            </w:r>
            <w:r>
              <w:rPr>
                <w:rFonts w:ascii="Times New Roman" w:eastAsia="黑体"/>
                <w:snapToGrid w:val="0"/>
                <w:spacing w:val="-16"/>
                <w:kern w:val="21"/>
                <w:sz w:val="24"/>
                <w:szCs w:val="24"/>
                <w:highlight w:val="none"/>
              </w:rPr>
              <w:fldChar w:fldCharType="separate"/>
            </w:r>
            <w:r>
              <w:rPr>
                <w:rFonts w:ascii="Times New Roman" w:eastAsia="黑体"/>
                <w:kern w:val="2"/>
                <w:sz w:val="24"/>
                <w:szCs w:val="24"/>
                <w:highlight w:val="none"/>
              </w:rPr>
              <w:t>⑥</w:t>
            </w:r>
            <w:r>
              <w:rPr>
                <w:rFonts w:ascii="Times New Roman" w:eastAsia="黑体"/>
                <w:snapToGrid w:val="0"/>
                <w:spacing w:val="-16"/>
                <w:kern w:val="21"/>
                <w:sz w:val="24"/>
                <w:szCs w:val="24"/>
                <w:highlight w:val="none"/>
              </w:rPr>
              <w:fldChar w:fldCharType="end"/>
            </w:r>
          </w:p>
        </w:tc>
        <w:tc>
          <w:tcPr>
            <w:tcW w:w="1257" w:type="dxa"/>
            <w:tcMar>
              <w:left w:w="28" w:type="dxa"/>
              <w:right w:w="28" w:type="dxa"/>
            </w:tcMar>
            <w:vAlign w:val="center"/>
          </w:tcPr>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t>变化量</w:t>
            </w:r>
          </w:p>
          <w:p>
            <w:pPr>
              <w:pStyle w:val="39"/>
              <w:spacing w:beforeLines="0" w:afterLines="0" w:line="240" w:lineRule="auto"/>
              <w:rPr>
                <w:rFonts w:ascii="Times New Roman" w:eastAsia="黑体"/>
                <w:snapToGrid w:val="0"/>
                <w:spacing w:val="-6"/>
                <w:kern w:val="21"/>
                <w:sz w:val="24"/>
                <w:szCs w:val="24"/>
                <w:highlight w:val="none"/>
              </w:rPr>
            </w:pPr>
            <w:r>
              <w:rPr>
                <w:rFonts w:ascii="Times New Roman" w:eastAsia="黑体"/>
                <w:snapToGrid w:val="0"/>
                <w:spacing w:val="-6"/>
                <w:kern w:val="21"/>
                <w:sz w:val="24"/>
                <w:szCs w:val="24"/>
                <w:highlight w:val="none"/>
              </w:rPr>
              <w:fldChar w:fldCharType="begin"/>
            </w:r>
            <w:r>
              <w:rPr>
                <w:rFonts w:ascii="Times New Roman" w:eastAsia="黑体"/>
                <w:snapToGrid w:val="0"/>
                <w:spacing w:val="-6"/>
                <w:kern w:val="21"/>
                <w:sz w:val="24"/>
                <w:szCs w:val="24"/>
                <w:highlight w:val="none"/>
              </w:rPr>
              <w:instrText xml:space="preserve"> = 7 \* GB3 \* MERGEFORMAT </w:instrText>
            </w:r>
            <w:r>
              <w:rPr>
                <w:rFonts w:ascii="Times New Roman" w:eastAsia="黑体"/>
                <w:snapToGrid w:val="0"/>
                <w:spacing w:val="-6"/>
                <w:kern w:val="21"/>
                <w:sz w:val="24"/>
                <w:szCs w:val="24"/>
                <w:highlight w:val="none"/>
              </w:rPr>
              <w:fldChar w:fldCharType="separate"/>
            </w:r>
            <w:r>
              <w:rPr>
                <w:rFonts w:ascii="Times New Roman" w:eastAsia="黑体"/>
                <w:kern w:val="2"/>
                <w:sz w:val="24"/>
                <w:szCs w:val="24"/>
                <w:highlight w:val="none"/>
              </w:rPr>
              <w:t>⑦</w:t>
            </w:r>
            <w:r>
              <w:rPr>
                <w:rFonts w:ascii="Times New Roman" w:eastAsia="黑体"/>
                <w:snapToGrid w:val="0"/>
                <w:spacing w:val="-6"/>
                <w:kern w:val="21"/>
                <w:sz w:val="24"/>
                <w:szCs w:val="24"/>
                <w:highlight w:val="none"/>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009" w:type="dxa"/>
            <w:vMerge w:val="restart"/>
            <w:vAlign w:val="center"/>
          </w:tcPr>
          <w:p>
            <w:pPr>
              <w:pStyle w:val="39"/>
              <w:spacing w:beforeLines="0" w:afterLines="0" w:line="240" w:lineRule="auto"/>
              <w:rPr>
                <w:rFonts w:ascii="Times New Roman"/>
                <w:snapToGrid w:val="0"/>
                <w:kern w:val="21"/>
                <w:sz w:val="24"/>
                <w:szCs w:val="24"/>
                <w:highlight w:val="none"/>
              </w:rPr>
            </w:pPr>
            <w:r>
              <w:rPr>
                <w:rFonts w:ascii="Times New Roman"/>
                <w:snapToGrid w:val="0"/>
                <w:kern w:val="21"/>
                <w:sz w:val="24"/>
                <w:szCs w:val="24"/>
                <w:highlight w:val="none"/>
              </w:rPr>
              <w:t>废气</w:t>
            </w:r>
          </w:p>
        </w:tc>
        <w:tc>
          <w:tcPr>
            <w:tcW w:w="1996" w:type="dxa"/>
            <w:vAlign w:val="center"/>
          </w:tcPr>
          <w:p>
            <w:pPr>
              <w:jc w:val="center"/>
              <w:rPr>
                <w:snapToGrid w:val="0"/>
                <w:kern w:val="21"/>
                <w:sz w:val="24"/>
                <w:highlight w:val="none"/>
              </w:rPr>
            </w:pPr>
            <w:r>
              <w:rPr>
                <w:snapToGrid w:val="0"/>
                <w:kern w:val="21"/>
                <w:sz w:val="24"/>
                <w:highlight w:val="none"/>
              </w:rPr>
              <w:t>颗粒物</w:t>
            </w:r>
          </w:p>
        </w:tc>
        <w:tc>
          <w:tcPr>
            <w:tcW w:w="1701" w:type="dxa"/>
            <w:vAlign w:val="center"/>
          </w:tcPr>
          <w:p>
            <w:pPr>
              <w:jc w:val="center"/>
              <w:rPr>
                <w:snapToGrid w:val="0"/>
                <w:kern w:val="21"/>
                <w:sz w:val="24"/>
                <w:highlight w:val="none"/>
              </w:rPr>
            </w:pPr>
            <w:r>
              <w:rPr>
                <w:snapToGrid w:val="0"/>
                <w:kern w:val="21"/>
                <w:sz w:val="24"/>
                <w:highlight w:val="none"/>
              </w:rPr>
              <w:t>/</w:t>
            </w:r>
          </w:p>
        </w:tc>
        <w:tc>
          <w:tcPr>
            <w:tcW w:w="1276" w:type="dxa"/>
            <w:vAlign w:val="center"/>
          </w:tcPr>
          <w:p>
            <w:pPr>
              <w:jc w:val="center"/>
              <w:rPr>
                <w:snapToGrid w:val="0"/>
                <w:kern w:val="21"/>
                <w:sz w:val="24"/>
                <w:highlight w:val="none"/>
              </w:rPr>
            </w:pPr>
            <w:r>
              <w:rPr>
                <w:snapToGrid w:val="0"/>
                <w:kern w:val="21"/>
                <w:sz w:val="24"/>
                <w:highlight w:val="none"/>
              </w:rPr>
              <w:t>/</w:t>
            </w:r>
          </w:p>
        </w:tc>
        <w:tc>
          <w:tcPr>
            <w:tcW w:w="1701" w:type="dxa"/>
            <w:vAlign w:val="center"/>
          </w:tcPr>
          <w:p>
            <w:pPr>
              <w:jc w:val="center"/>
              <w:rPr>
                <w:snapToGrid w:val="0"/>
                <w:kern w:val="21"/>
                <w:sz w:val="24"/>
                <w:highlight w:val="none"/>
              </w:rPr>
            </w:pPr>
            <w:r>
              <w:rPr>
                <w:snapToGrid w:val="0"/>
                <w:kern w:val="21"/>
                <w:sz w:val="24"/>
                <w:highlight w:val="none"/>
              </w:rPr>
              <w:t>/</w:t>
            </w:r>
          </w:p>
        </w:tc>
        <w:tc>
          <w:tcPr>
            <w:tcW w:w="1559" w:type="dxa"/>
            <w:vAlign w:val="center"/>
          </w:tcPr>
          <w:p>
            <w:pPr>
              <w:jc w:val="center"/>
              <w:rPr>
                <w:snapToGrid w:val="0"/>
                <w:kern w:val="21"/>
                <w:sz w:val="24"/>
                <w:highlight w:val="none"/>
              </w:rPr>
            </w:pPr>
            <w:r>
              <w:rPr>
                <w:rFonts w:hint="eastAsia"/>
                <w:snapToGrid w:val="0"/>
                <w:kern w:val="21"/>
                <w:sz w:val="24"/>
                <w:highlight w:val="none"/>
              </w:rPr>
              <w:t>0.</w:t>
            </w:r>
            <w:r>
              <w:rPr>
                <w:rFonts w:hint="eastAsia"/>
                <w:snapToGrid w:val="0"/>
                <w:kern w:val="21"/>
                <w:sz w:val="24"/>
                <w:highlight w:val="none"/>
                <w:lang w:val="en-US" w:eastAsia="zh-CN"/>
              </w:rPr>
              <w:t>14</w:t>
            </w:r>
            <w:r>
              <w:rPr>
                <w:rFonts w:hint="eastAsia"/>
                <w:snapToGrid w:val="0"/>
                <w:kern w:val="21"/>
                <w:sz w:val="24"/>
                <w:highlight w:val="none"/>
              </w:rPr>
              <w:t>t/a</w:t>
            </w:r>
          </w:p>
        </w:tc>
        <w:tc>
          <w:tcPr>
            <w:tcW w:w="1497" w:type="dxa"/>
            <w:vAlign w:val="center"/>
          </w:tcPr>
          <w:p>
            <w:pPr>
              <w:jc w:val="center"/>
              <w:rPr>
                <w:snapToGrid w:val="0"/>
                <w:kern w:val="21"/>
                <w:sz w:val="24"/>
                <w:highlight w:val="none"/>
              </w:rPr>
            </w:pPr>
            <w:r>
              <w:rPr>
                <w:rFonts w:hint="eastAsia"/>
                <w:snapToGrid w:val="0"/>
                <w:kern w:val="21"/>
                <w:sz w:val="24"/>
                <w:highlight w:val="none"/>
              </w:rPr>
              <w:t>/</w:t>
            </w:r>
          </w:p>
        </w:tc>
        <w:tc>
          <w:tcPr>
            <w:tcW w:w="1792" w:type="dxa"/>
            <w:vAlign w:val="center"/>
          </w:tcPr>
          <w:p>
            <w:pPr>
              <w:jc w:val="center"/>
              <w:rPr>
                <w:snapToGrid w:val="0"/>
                <w:kern w:val="21"/>
                <w:sz w:val="24"/>
                <w:highlight w:val="none"/>
              </w:rPr>
            </w:pPr>
            <w:r>
              <w:rPr>
                <w:rFonts w:hint="eastAsia"/>
                <w:snapToGrid w:val="0"/>
                <w:kern w:val="21"/>
                <w:sz w:val="24"/>
                <w:highlight w:val="none"/>
              </w:rPr>
              <w:t>0.</w:t>
            </w:r>
            <w:r>
              <w:rPr>
                <w:rFonts w:hint="eastAsia"/>
                <w:snapToGrid w:val="0"/>
                <w:kern w:val="21"/>
                <w:sz w:val="24"/>
                <w:highlight w:val="none"/>
                <w:lang w:val="en-US" w:eastAsia="zh-CN"/>
              </w:rPr>
              <w:t>14</w:t>
            </w:r>
            <w:r>
              <w:rPr>
                <w:rFonts w:hint="eastAsia"/>
                <w:snapToGrid w:val="0"/>
                <w:kern w:val="21"/>
                <w:sz w:val="24"/>
                <w:highlight w:val="none"/>
              </w:rPr>
              <w:t>t/a</w:t>
            </w:r>
          </w:p>
        </w:tc>
        <w:tc>
          <w:tcPr>
            <w:tcW w:w="1257" w:type="dxa"/>
            <w:vAlign w:val="center"/>
          </w:tcPr>
          <w:p>
            <w:pPr>
              <w:jc w:val="center"/>
              <w:rPr>
                <w:b/>
                <w:bCs/>
                <w:snapToGrid w:val="0"/>
                <w:kern w:val="21"/>
                <w:sz w:val="24"/>
                <w:highlight w:val="none"/>
              </w:rPr>
            </w:pPr>
            <w:r>
              <w:rPr>
                <w:rFonts w:hint="eastAsia"/>
                <w:snapToGrid w:val="0"/>
                <w:kern w:val="21"/>
                <w:sz w:val="24"/>
                <w:highlight w:val="none"/>
              </w:rPr>
              <w:t>+0.</w:t>
            </w:r>
            <w:r>
              <w:rPr>
                <w:rFonts w:hint="eastAsia"/>
                <w:snapToGrid w:val="0"/>
                <w:kern w:val="21"/>
                <w:sz w:val="24"/>
                <w:highlight w:val="none"/>
                <w:lang w:val="en-US" w:eastAsia="zh-CN"/>
              </w:rPr>
              <w:t>14</w:t>
            </w:r>
            <w:r>
              <w:rPr>
                <w:rFonts w:hint="eastAsia"/>
                <w:snapToGrid w:val="0"/>
                <w:kern w:val="21"/>
                <w:sz w:val="24"/>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1009" w:type="dxa"/>
            <w:vMerge w:val="continue"/>
            <w:vAlign w:val="center"/>
          </w:tcPr>
          <w:p>
            <w:pPr>
              <w:pStyle w:val="39"/>
              <w:spacing w:beforeLines="0" w:afterLines="0" w:line="240" w:lineRule="auto"/>
              <w:rPr>
                <w:rFonts w:ascii="Times New Roman"/>
                <w:snapToGrid w:val="0"/>
                <w:kern w:val="21"/>
                <w:sz w:val="24"/>
                <w:szCs w:val="24"/>
                <w:highlight w:val="none"/>
              </w:rPr>
            </w:pPr>
          </w:p>
        </w:tc>
        <w:tc>
          <w:tcPr>
            <w:tcW w:w="1996" w:type="dxa"/>
            <w:vAlign w:val="center"/>
          </w:tcPr>
          <w:p>
            <w:pPr>
              <w:pStyle w:val="60"/>
              <w:rPr>
                <w:snapToGrid w:val="0"/>
                <w:kern w:val="21"/>
                <w:sz w:val="24"/>
                <w:szCs w:val="24"/>
                <w:highlight w:val="none"/>
              </w:rPr>
            </w:pPr>
            <w:r>
              <w:rPr>
                <w:kern w:val="0"/>
                <w:sz w:val="24"/>
                <w:szCs w:val="24"/>
                <w:highlight w:val="none"/>
                <w:lang w:val="en-US"/>
              </w:rPr>
              <w:t>SO</w:t>
            </w:r>
            <w:r>
              <w:rPr>
                <w:kern w:val="0"/>
                <w:sz w:val="24"/>
                <w:szCs w:val="24"/>
                <w:highlight w:val="none"/>
                <w:vertAlign w:val="subscript"/>
                <w:lang w:val="en-US"/>
              </w:rPr>
              <w:t>2</w:t>
            </w:r>
          </w:p>
        </w:tc>
        <w:tc>
          <w:tcPr>
            <w:tcW w:w="1701" w:type="dxa"/>
            <w:vAlign w:val="center"/>
          </w:tcPr>
          <w:p>
            <w:pPr>
              <w:jc w:val="center"/>
              <w:rPr>
                <w:snapToGrid w:val="0"/>
                <w:kern w:val="21"/>
                <w:sz w:val="24"/>
                <w:highlight w:val="none"/>
              </w:rPr>
            </w:pPr>
            <w:r>
              <w:rPr>
                <w:snapToGrid w:val="0"/>
                <w:kern w:val="21"/>
                <w:sz w:val="24"/>
                <w:highlight w:val="none"/>
              </w:rPr>
              <w:t>/</w:t>
            </w:r>
          </w:p>
        </w:tc>
        <w:tc>
          <w:tcPr>
            <w:tcW w:w="1276" w:type="dxa"/>
            <w:vAlign w:val="center"/>
          </w:tcPr>
          <w:p>
            <w:pPr>
              <w:jc w:val="center"/>
              <w:rPr>
                <w:snapToGrid w:val="0"/>
                <w:kern w:val="21"/>
                <w:sz w:val="24"/>
                <w:highlight w:val="none"/>
              </w:rPr>
            </w:pPr>
            <w:r>
              <w:rPr>
                <w:snapToGrid w:val="0"/>
                <w:kern w:val="21"/>
                <w:sz w:val="24"/>
                <w:highlight w:val="none"/>
              </w:rPr>
              <w:t>/</w:t>
            </w:r>
          </w:p>
        </w:tc>
        <w:tc>
          <w:tcPr>
            <w:tcW w:w="1701" w:type="dxa"/>
            <w:vAlign w:val="center"/>
          </w:tcPr>
          <w:p>
            <w:pPr>
              <w:jc w:val="center"/>
              <w:rPr>
                <w:snapToGrid w:val="0"/>
                <w:kern w:val="21"/>
                <w:sz w:val="24"/>
                <w:highlight w:val="none"/>
              </w:rPr>
            </w:pPr>
            <w:r>
              <w:rPr>
                <w:snapToGrid w:val="0"/>
                <w:kern w:val="21"/>
                <w:sz w:val="24"/>
                <w:highlight w:val="none"/>
              </w:rPr>
              <w:t>/</w:t>
            </w:r>
          </w:p>
        </w:tc>
        <w:tc>
          <w:tcPr>
            <w:tcW w:w="1559" w:type="dxa"/>
            <w:vAlign w:val="center"/>
          </w:tcPr>
          <w:p>
            <w:pPr>
              <w:jc w:val="center"/>
              <w:rPr>
                <w:snapToGrid w:val="0"/>
                <w:kern w:val="21"/>
                <w:sz w:val="24"/>
                <w:highlight w:val="none"/>
              </w:rPr>
            </w:pPr>
            <w:r>
              <w:rPr>
                <w:rFonts w:hint="eastAsia"/>
                <w:snapToGrid w:val="0"/>
                <w:kern w:val="21"/>
                <w:sz w:val="24"/>
                <w:highlight w:val="none"/>
              </w:rPr>
              <w:t>0.1t/a</w:t>
            </w:r>
          </w:p>
        </w:tc>
        <w:tc>
          <w:tcPr>
            <w:tcW w:w="1497" w:type="dxa"/>
            <w:vAlign w:val="center"/>
          </w:tcPr>
          <w:p>
            <w:pPr>
              <w:jc w:val="center"/>
              <w:rPr>
                <w:snapToGrid w:val="0"/>
                <w:kern w:val="21"/>
                <w:sz w:val="24"/>
                <w:highlight w:val="none"/>
              </w:rPr>
            </w:pPr>
            <w:r>
              <w:rPr>
                <w:rFonts w:hint="eastAsia"/>
                <w:snapToGrid w:val="0"/>
                <w:kern w:val="21"/>
                <w:sz w:val="24"/>
                <w:highlight w:val="none"/>
              </w:rPr>
              <w:t>/</w:t>
            </w:r>
          </w:p>
        </w:tc>
        <w:tc>
          <w:tcPr>
            <w:tcW w:w="1792" w:type="dxa"/>
            <w:vAlign w:val="center"/>
          </w:tcPr>
          <w:p>
            <w:pPr>
              <w:jc w:val="center"/>
              <w:rPr>
                <w:snapToGrid w:val="0"/>
                <w:kern w:val="21"/>
                <w:sz w:val="24"/>
                <w:highlight w:val="none"/>
              </w:rPr>
            </w:pPr>
            <w:r>
              <w:rPr>
                <w:rFonts w:hint="eastAsia"/>
                <w:snapToGrid w:val="0"/>
                <w:kern w:val="21"/>
                <w:sz w:val="24"/>
                <w:highlight w:val="none"/>
              </w:rPr>
              <w:t>0.1t/a</w:t>
            </w:r>
          </w:p>
        </w:tc>
        <w:tc>
          <w:tcPr>
            <w:tcW w:w="1257" w:type="dxa"/>
            <w:vAlign w:val="center"/>
          </w:tcPr>
          <w:p>
            <w:pPr>
              <w:jc w:val="center"/>
              <w:rPr>
                <w:b/>
                <w:bCs/>
                <w:snapToGrid w:val="0"/>
                <w:kern w:val="21"/>
                <w:sz w:val="24"/>
                <w:highlight w:val="none"/>
              </w:rPr>
            </w:pPr>
            <w:r>
              <w:rPr>
                <w:rFonts w:hint="eastAsia"/>
                <w:snapToGrid w:val="0"/>
                <w:kern w:val="21"/>
                <w:sz w:val="24"/>
                <w:highlight w:val="none"/>
              </w:rPr>
              <w:t>+0.1t/a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1009" w:type="dxa"/>
            <w:vMerge w:val="continue"/>
            <w:vAlign w:val="center"/>
          </w:tcPr>
          <w:p>
            <w:pPr>
              <w:pStyle w:val="39"/>
              <w:spacing w:beforeLines="0" w:afterLines="0" w:line="240" w:lineRule="auto"/>
              <w:rPr>
                <w:rFonts w:ascii="Times New Roman"/>
                <w:snapToGrid w:val="0"/>
                <w:kern w:val="21"/>
                <w:sz w:val="24"/>
                <w:szCs w:val="24"/>
                <w:highlight w:val="none"/>
              </w:rPr>
            </w:pPr>
          </w:p>
        </w:tc>
        <w:tc>
          <w:tcPr>
            <w:tcW w:w="1996" w:type="dxa"/>
            <w:vAlign w:val="center"/>
          </w:tcPr>
          <w:p>
            <w:pPr>
              <w:pStyle w:val="60"/>
              <w:rPr>
                <w:snapToGrid w:val="0"/>
                <w:kern w:val="21"/>
                <w:sz w:val="24"/>
                <w:szCs w:val="24"/>
                <w:highlight w:val="none"/>
              </w:rPr>
            </w:pPr>
            <w:r>
              <w:rPr>
                <w:kern w:val="0"/>
                <w:sz w:val="24"/>
                <w:szCs w:val="24"/>
                <w:highlight w:val="none"/>
              </w:rPr>
              <w:t>NO</w:t>
            </w:r>
            <w:r>
              <w:rPr>
                <w:kern w:val="0"/>
                <w:sz w:val="24"/>
                <w:szCs w:val="24"/>
                <w:highlight w:val="none"/>
                <w:vertAlign w:val="subscript"/>
              </w:rPr>
              <w:t>X</w:t>
            </w:r>
          </w:p>
        </w:tc>
        <w:tc>
          <w:tcPr>
            <w:tcW w:w="1701" w:type="dxa"/>
            <w:vAlign w:val="center"/>
          </w:tcPr>
          <w:p>
            <w:pPr>
              <w:jc w:val="center"/>
              <w:rPr>
                <w:snapToGrid w:val="0"/>
                <w:kern w:val="21"/>
                <w:sz w:val="24"/>
                <w:highlight w:val="none"/>
              </w:rPr>
            </w:pPr>
            <w:r>
              <w:rPr>
                <w:snapToGrid w:val="0"/>
                <w:kern w:val="21"/>
                <w:sz w:val="24"/>
                <w:highlight w:val="none"/>
              </w:rPr>
              <w:t>/</w:t>
            </w:r>
          </w:p>
        </w:tc>
        <w:tc>
          <w:tcPr>
            <w:tcW w:w="1276" w:type="dxa"/>
            <w:vAlign w:val="center"/>
          </w:tcPr>
          <w:p>
            <w:pPr>
              <w:jc w:val="center"/>
              <w:rPr>
                <w:snapToGrid w:val="0"/>
                <w:kern w:val="21"/>
                <w:sz w:val="24"/>
                <w:highlight w:val="none"/>
              </w:rPr>
            </w:pPr>
            <w:r>
              <w:rPr>
                <w:snapToGrid w:val="0"/>
                <w:kern w:val="21"/>
                <w:sz w:val="24"/>
                <w:highlight w:val="none"/>
              </w:rPr>
              <w:t>/</w:t>
            </w:r>
          </w:p>
        </w:tc>
        <w:tc>
          <w:tcPr>
            <w:tcW w:w="1701" w:type="dxa"/>
            <w:vAlign w:val="center"/>
          </w:tcPr>
          <w:p>
            <w:pPr>
              <w:jc w:val="center"/>
              <w:rPr>
                <w:snapToGrid w:val="0"/>
                <w:kern w:val="21"/>
                <w:sz w:val="24"/>
                <w:highlight w:val="none"/>
              </w:rPr>
            </w:pPr>
            <w:r>
              <w:rPr>
                <w:snapToGrid w:val="0"/>
                <w:kern w:val="21"/>
                <w:sz w:val="24"/>
                <w:highlight w:val="none"/>
              </w:rPr>
              <w:t>/</w:t>
            </w:r>
          </w:p>
        </w:tc>
        <w:tc>
          <w:tcPr>
            <w:tcW w:w="1559" w:type="dxa"/>
            <w:vAlign w:val="center"/>
          </w:tcPr>
          <w:p>
            <w:pPr>
              <w:jc w:val="center"/>
              <w:rPr>
                <w:snapToGrid w:val="0"/>
                <w:kern w:val="21"/>
                <w:sz w:val="24"/>
                <w:highlight w:val="none"/>
              </w:rPr>
            </w:pPr>
            <w:r>
              <w:rPr>
                <w:rFonts w:hint="eastAsia"/>
                <w:snapToGrid w:val="0"/>
                <w:kern w:val="21"/>
                <w:sz w:val="24"/>
                <w:highlight w:val="none"/>
              </w:rPr>
              <w:t>0.685t/a</w:t>
            </w:r>
          </w:p>
        </w:tc>
        <w:tc>
          <w:tcPr>
            <w:tcW w:w="1497" w:type="dxa"/>
            <w:vAlign w:val="center"/>
          </w:tcPr>
          <w:p>
            <w:pPr>
              <w:jc w:val="center"/>
              <w:rPr>
                <w:snapToGrid w:val="0"/>
                <w:kern w:val="21"/>
                <w:sz w:val="24"/>
                <w:highlight w:val="none"/>
              </w:rPr>
            </w:pPr>
            <w:r>
              <w:rPr>
                <w:rFonts w:hint="eastAsia"/>
                <w:snapToGrid w:val="0"/>
                <w:kern w:val="21"/>
                <w:sz w:val="24"/>
                <w:highlight w:val="none"/>
              </w:rPr>
              <w:t>/</w:t>
            </w:r>
          </w:p>
        </w:tc>
        <w:tc>
          <w:tcPr>
            <w:tcW w:w="1792" w:type="dxa"/>
            <w:vAlign w:val="center"/>
          </w:tcPr>
          <w:p>
            <w:pPr>
              <w:jc w:val="center"/>
              <w:rPr>
                <w:snapToGrid w:val="0"/>
                <w:kern w:val="21"/>
                <w:sz w:val="24"/>
                <w:highlight w:val="none"/>
              </w:rPr>
            </w:pPr>
            <w:r>
              <w:rPr>
                <w:rFonts w:hint="eastAsia"/>
                <w:snapToGrid w:val="0"/>
                <w:kern w:val="21"/>
                <w:sz w:val="24"/>
                <w:highlight w:val="none"/>
              </w:rPr>
              <w:t>0.685t/a</w:t>
            </w:r>
          </w:p>
        </w:tc>
        <w:tc>
          <w:tcPr>
            <w:tcW w:w="1257" w:type="dxa"/>
            <w:vAlign w:val="center"/>
          </w:tcPr>
          <w:p>
            <w:pPr>
              <w:jc w:val="center"/>
              <w:rPr>
                <w:b/>
                <w:bCs/>
                <w:snapToGrid w:val="0"/>
                <w:kern w:val="21"/>
                <w:sz w:val="24"/>
                <w:highlight w:val="none"/>
              </w:rPr>
            </w:pPr>
            <w:r>
              <w:rPr>
                <w:rFonts w:hint="eastAsia"/>
                <w:snapToGrid w:val="0"/>
                <w:kern w:val="21"/>
                <w:sz w:val="24"/>
                <w:highlight w:val="none"/>
              </w:rPr>
              <w:t>+0.685t/a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09" w:type="dxa"/>
            <w:vMerge w:val="restart"/>
            <w:vAlign w:val="center"/>
          </w:tcPr>
          <w:p>
            <w:pPr>
              <w:pStyle w:val="39"/>
              <w:spacing w:beforeLines="0" w:afterLines="0" w:line="240" w:lineRule="auto"/>
              <w:rPr>
                <w:rFonts w:ascii="Times New Roman"/>
                <w:snapToGrid w:val="0"/>
                <w:kern w:val="21"/>
                <w:sz w:val="24"/>
                <w:szCs w:val="24"/>
                <w:highlight w:val="none"/>
              </w:rPr>
            </w:pPr>
            <w:r>
              <w:rPr>
                <w:rFonts w:ascii="Times New Roman"/>
                <w:snapToGrid w:val="0"/>
                <w:kern w:val="21"/>
                <w:sz w:val="24"/>
                <w:szCs w:val="24"/>
                <w:highlight w:val="none"/>
              </w:rPr>
              <w:t>废水</w:t>
            </w:r>
          </w:p>
        </w:tc>
        <w:tc>
          <w:tcPr>
            <w:tcW w:w="1996" w:type="dxa"/>
            <w:vAlign w:val="center"/>
          </w:tcPr>
          <w:p>
            <w:pPr>
              <w:jc w:val="center"/>
              <w:rPr>
                <w:snapToGrid w:val="0"/>
                <w:kern w:val="21"/>
                <w:sz w:val="24"/>
                <w:highlight w:val="none"/>
              </w:rPr>
            </w:pPr>
            <w:r>
              <w:rPr>
                <w:rFonts w:hint="eastAsia"/>
                <w:snapToGrid w:val="0"/>
                <w:kern w:val="21"/>
                <w:sz w:val="24"/>
                <w:highlight w:val="none"/>
              </w:rPr>
              <w:t>C</w:t>
            </w:r>
            <w:r>
              <w:rPr>
                <w:snapToGrid w:val="0"/>
                <w:kern w:val="21"/>
                <w:sz w:val="24"/>
                <w:highlight w:val="none"/>
              </w:rPr>
              <w:t>OD</w:t>
            </w:r>
          </w:p>
        </w:tc>
        <w:tc>
          <w:tcPr>
            <w:tcW w:w="1701" w:type="dxa"/>
            <w:vAlign w:val="center"/>
          </w:tcPr>
          <w:p>
            <w:pPr>
              <w:jc w:val="center"/>
              <w:rPr>
                <w:snapToGrid w:val="0"/>
                <w:kern w:val="21"/>
                <w:sz w:val="24"/>
                <w:highlight w:val="none"/>
              </w:rPr>
            </w:pPr>
            <w:r>
              <w:rPr>
                <w:rFonts w:hint="eastAsia"/>
                <w:snapToGrid w:val="0"/>
                <w:kern w:val="21"/>
                <w:sz w:val="24"/>
                <w:highlight w:val="none"/>
              </w:rPr>
              <w:t>/</w:t>
            </w:r>
          </w:p>
        </w:tc>
        <w:tc>
          <w:tcPr>
            <w:tcW w:w="1276" w:type="dxa"/>
            <w:vAlign w:val="center"/>
          </w:tcPr>
          <w:p>
            <w:pPr>
              <w:jc w:val="center"/>
              <w:rPr>
                <w:snapToGrid w:val="0"/>
                <w:kern w:val="21"/>
                <w:sz w:val="24"/>
                <w:highlight w:val="none"/>
              </w:rPr>
            </w:pPr>
            <w:r>
              <w:rPr>
                <w:rFonts w:hint="eastAsia"/>
                <w:snapToGrid w:val="0"/>
                <w:kern w:val="21"/>
                <w:sz w:val="24"/>
                <w:highlight w:val="none"/>
              </w:rPr>
              <w:t>/</w:t>
            </w:r>
          </w:p>
        </w:tc>
        <w:tc>
          <w:tcPr>
            <w:tcW w:w="1701" w:type="dxa"/>
            <w:vAlign w:val="center"/>
          </w:tcPr>
          <w:p>
            <w:pPr>
              <w:jc w:val="center"/>
              <w:rPr>
                <w:snapToGrid w:val="0"/>
                <w:kern w:val="21"/>
                <w:sz w:val="24"/>
                <w:highlight w:val="none"/>
              </w:rPr>
            </w:pPr>
            <w:r>
              <w:rPr>
                <w:rFonts w:hint="eastAsia"/>
                <w:snapToGrid w:val="0"/>
                <w:kern w:val="21"/>
                <w:sz w:val="24"/>
                <w:highlight w:val="none"/>
              </w:rPr>
              <w:t>/</w:t>
            </w:r>
          </w:p>
        </w:tc>
        <w:tc>
          <w:tcPr>
            <w:tcW w:w="1559" w:type="dxa"/>
            <w:vAlign w:val="center"/>
          </w:tcPr>
          <w:p>
            <w:pPr>
              <w:jc w:val="center"/>
              <w:rPr>
                <w:snapToGrid w:val="0"/>
                <w:kern w:val="21"/>
                <w:sz w:val="24"/>
                <w:highlight w:val="none"/>
              </w:rPr>
            </w:pPr>
            <w:r>
              <w:rPr>
                <w:rFonts w:hint="eastAsia"/>
                <w:snapToGrid w:val="0"/>
                <w:kern w:val="21"/>
                <w:sz w:val="24"/>
                <w:highlight w:val="none"/>
              </w:rPr>
              <w:t>0.08t/a</w:t>
            </w:r>
          </w:p>
        </w:tc>
        <w:tc>
          <w:tcPr>
            <w:tcW w:w="1497" w:type="dxa"/>
            <w:vAlign w:val="center"/>
          </w:tcPr>
          <w:p>
            <w:pPr>
              <w:jc w:val="center"/>
              <w:rPr>
                <w:snapToGrid w:val="0"/>
                <w:kern w:val="21"/>
                <w:sz w:val="24"/>
                <w:highlight w:val="none"/>
              </w:rPr>
            </w:pPr>
            <w:r>
              <w:rPr>
                <w:rFonts w:hint="eastAsia"/>
                <w:snapToGrid w:val="0"/>
                <w:kern w:val="21"/>
                <w:sz w:val="24"/>
                <w:highlight w:val="none"/>
              </w:rPr>
              <w:t>/</w:t>
            </w:r>
          </w:p>
        </w:tc>
        <w:tc>
          <w:tcPr>
            <w:tcW w:w="1792" w:type="dxa"/>
            <w:vAlign w:val="center"/>
          </w:tcPr>
          <w:p>
            <w:pPr>
              <w:jc w:val="center"/>
              <w:rPr>
                <w:snapToGrid w:val="0"/>
                <w:kern w:val="21"/>
                <w:sz w:val="24"/>
                <w:highlight w:val="none"/>
              </w:rPr>
            </w:pPr>
            <w:r>
              <w:rPr>
                <w:rFonts w:hint="eastAsia"/>
                <w:snapToGrid w:val="0"/>
                <w:kern w:val="21"/>
                <w:sz w:val="24"/>
                <w:highlight w:val="none"/>
              </w:rPr>
              <w:t>0.08t/a</w:t>
            </w:r>
          </w:p>
        </w:tc>
        <w:tc>
          <w:tcPr>
            <w:tcW w:w="1257" w:type="dxa"/>
            <w:vAlign w:val="center"/>
          </w:tcPr>
          <w:p>
            <w:pPr>
              <w:jc w:val="center"/>
              <w:rPr>
                <w:b/>
                <w:bCs/>
                <w:snapToGrid w:val="0"/>
                <w:kern w:val="21"/>
                <w:sz w:val="24"/>
                <w:highlight w:val="none"/>
              </w:rPr>
            </w:pPr>
            <w:r>
              <w:rPr>
                <w:rFonts w:hint="eastAsia"/>
                <w:snapToGrid w:val="0"/>
                <w:kern w:val="21"/>
                <w:sz w:val="24"/>
                <w:highlight w:val="none"/>
              </w:rPr>
              <w:t>+0.08t/a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09" w:type="dxa"/>
            <w:vMerge w:val="continue"/>
            <w:vAlign w:val="center"/>
          </w:tcPr>
          <w:p>
            <w:pPr>
              <w:pStyle w:val="39"/>
              <w:spacing w:beforeLines="0" w:afterLines="0" w:line="240" w:lineRule="auto"/>
              <w:rPr>
                <w:rFonts w:ascii="Times New Roman"/>
                <w:snapToGrid w:val="0"/>
                <w:kern w:val="21"/>
                <w:sz w:val="24"/>
                <w:szCs w:val="24"/>
                <w:highlight w:val="none"/>
              </w:rPr>
            </w:pPr>
          </w:p>
        </w:tc>
        <w:tc>
          <w:tcPr>
            <w:tcW w:w="1996" w:type="dxa"/>
            <w:vAlign w:val="center"/>
          </w:tcPr>
          <w:p>
            <w:pPr>
              <w:jc w:val="center"/>
              <w:rPr>
                <w:snapToGrid w:val="0"/>
                <w:kern w:val="21"/>
                <w:sz w:val="24"/>
                <w:highlight w:val="none"/>
              </w:rPr>
            </w:pPr>
            <w:r>
              <w:rPr>
                <w:sz w:val="24"/>
                <w:highlight w:val="none"/>
              </w:rPr>
              <w:t>NH</w:t>
            </w:r>
            <w:r>
              <w:rPr>
                <w:sz w:val="24"/>
                <w:highlight w:val="none"/>
                <w:vertAlign w:val="subscript"/>
              </w:rPr>
              <w:t>3</w:t>
            </w:r>
            <w:r>
              <w:rPr>
                <w:sz w:val="24"/>
                <w:highlight w:val="none"/>
              </w:rPr>
              <w:t>-N</w:t>
            </w:r>
          </w:p>
        </w:tc>
        <w:tc>
          <w:tcPr>
            <w:tcW w:w="1701" w:type="dxa"/>
            <w:vAlign w:val="center"/>
          </w:tcPr>
          <w:p>
            <w:pPr>
              <w:jc w:val="center"/>
              <w:rPr>
                <w:snapToGrid w:val="0"/>
                <w:kern w:val="21"/>
                <w:sz w:val="24"/>
                <w:highlight w:val="none"/>
              </w:rPr>
            </w:pPr>
            <w:r>
              <w:rPr>
                <w:snapToGrid w:val="0"/>
                <w:kern w:val="21"/>
                <w:sz w:val="24"/>
                <w:highlight w:val="none"/>
              </w:rPr>
              <w:t>/</w:t>
            </w:r>
          </w:p>
        </w:tc>
        <w:tc>
          <w:tcPr>
            <w:tcW w:w="1276" w:type="dxa"/>
            <w:vAlign w:val="center"/>
          </w:tcPr>
          <w:p>
            <w:pPr>
              <w:jc w:val="center"/>
              <w:rPr>
                <w:snapToGrid w:val="0"/>
                <w:kern w:val="21"/>
                <w:sz w:val="24"/>
                <w:highlight w:val="none"/>
              </w:rPr>
            </w:pPr>
            <w:r>
              <w:rPr>
                <w:snapToGrid w:val="0"/>
                <w:kern w:val="21"/>
                <w:sz w:val="24"/>
                <w:highlight w:val="none"/>
              </w:rPr>
              <w:t>/</w:t>
            </w:r>
          </w:p>
        </w:tc>
        <w:tc>
          <w:tcPr>
            <w:tcW w:w="1701" w:type="dxa"/>
            <w:vAlign w:val="center"/>
          </w:tcPr>
          <w:p>
            <w:pPr>
              <w:jc w:val="center"/>
              <w:rPr>
                <w:snapToGrid w:val="0"/>
                <w:kern w:val="21"/>
                <w:sz w:val="24"/>
                <w:highlight w:val="none"/>
              </w:rPr>
            </w:pPr>
            <w:r>
              <w:rPr>
                <w:snapToGrid w:val="0"/>
                <w:kern w:val="21"/>
                <w:sz w:val="24"/>
                <w:highlight w:val="none"/>
              </w:rPr>
              <w:t>/</w:t>
            </w:r>
          </w:p>
        </w:tc>
        <w:tc>
          <w:tcPr>
            <w:tcW w:w="1559" w:type="dxa"/>
            <w:vAlign w:val="center"/>
          </w:tcPr>
          <w:p>
            <w:pPr>
              <w:jc w:val="center"/>
              <w:rPr>
                <w:snapToGrid w:val="0"/>
                <w:kern w:val="21"/>
                <w:sz w:val="24"/>
                <w:highlight w:val="none"/>
              </w:rPr>
            </w:pPr>
            <w:r>
              <w:rPr>
                <w:rFonts w:hint="eastAsia"/>
                <w:snapToGrid w:val="0"/>
                <w:kern w:val="21"/>
                <w:sz w:val="24"/>
                <w:highlight w:val="none"/>
              </w:rPr>
              <w:t>0.007t/a</w:t>
            </w:r>
          </w:p>
        </w:tc>
        <w:tc>
          <w:tcPr>
            <w:tcW w:w="1497" w:type="dxa"/>
            <w:vAlign w:val="center"/>
          </w:tcPr>
          <w:p>
            <w:pPr>
              <w:jc w:val="center"/>
              <w:rPr>
                <w:snapToGrid w:val="0"/>
                <w:kern w:val="21"/>
                <w:sz w:val="24"/>
                <w:highlight w:val="none"/>
              </w:rPr>
            </w:pPr>
            <w:r>
              <w:rPr>
                <w:rFonts w:hint="eastAsia"/>
                <w:snapToGrid w:val="0"/>
                <w:kern w:val="21"/>
                <w:sz w:val="24"/>
                <w:highlight w:val="none"/>
              </w:rPr>
              <w:t>/</w:t>
            </w:r>
          </w:p>
        </w:tc>
        <w:tc>
          <w:tcPr>
            <w:tcW w:w="1792" w:type="dxa"/>
            <w:vAlign w:val="center"/>
          </w:tcPr>
          <w:p>
            <w:pPr>
              <w:jc w:val="center"/>
              <w:rPr>
                <w:snapToGrid w:val="0"/>
                <w:kern w:val="21"/>
                <w:sz w:val="24"/>
                <w:highlight w:val="none"/>
              </w:rPr>
            </w:pPr>
            <w:r>
              <w:rPr>
                <w:rFonts w:hint="eastAsia"/>
                <w:snapToGrid w:val="0"/>
                <w:kern w:val="21"/>
                <w:sz w:val="24"/>
                <w:highlight w:val="none"/>
              </w:rPr>
              <w:t>0.007t/a</w:t>
            </w:r>
          </w:p>
        </w:tc>
        <w:tc>
          <w:tcPr>
            <w:tcW w:w="1257" w:type="dxa"/>
            <w:vAlign w:val="center"/>
          </w:tcPr>
          <w:p>
            <w:pPr>
              <w:jc w:val="center"/>
              <w:rPr>
                <w:b/>
                <w:bCs/>
                <w:snapToGrid w:val="0"/>
                <w:kern w:val="21"/>
                <w:sz w:val="24"/>
                <w:highlight w:val="none"/>
              </w:rPr>
            </w:pPr>
            <w:r>
              <w:rPr>
                <w:rFonts w:hint="eastAsia"/>
                <w:snapToGrid w:val="0"/>
                <w:kern w:val="21"/>
                <w:sz w:val="24"/>
                <w:highlight w:val="none"/>
              </w:rPr>
              <w:t>+0.007t/a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 w:hRule="atLeast"/>
        </w:trPr>
        <w:tc>
          <w:tcPr>
            <w:tcW w:w="1009" w:type="dxa"/>
            <w:vMerge w:val="restart"/>
            <w:vAlign w:val="center"/>
          </w:tcPr>
          <w:p>
            <w:pPr>
              <w:pStyle w:val="39"/>
              <w:spacing w:beforeLines="0" w:afterLines="0" w:line="240" w:lineRule="auto"/>
              <w:rPr>
                <w:rFonts w:ascii="Times New Roman"/>
                <w:snapToGrid w:val="0"/>
                <w:kern w:val="21"/>
                <w:sz w:val="24"/>
                <w:szCs w:val="24"/>
                <w:highlight w:val="none"/>
              </w:rPr>
            </w:pPr>
            <w:r>
              <w:rPr>
                <w:rFonts w:hint="eastAsia" w:ascii="Times New Roman"/>
                <w:snapToGrid w:val="0"/>
                <w:kern w:val="21"/>
                <w:sz w:val="24"/>
                <w:szCs w:val="24"/>
                <w:highlight w:val="none"/>
              </w:rPr>
              <w:t>一</w:t>
            </w:r>
            <w:r>
              <w:rPr>
                <w:rFonts w:ascii="Times New Roman"/>
                <w:snapToGrid w:val="0"/>
                <w:kern w:val="21"/>
                <w:sz w:val="24"/>
                <w:szCs w:val="24"/>
                <w:highlight w:val="none"/>
              </w:rPr>
              <w:t>般工业固体废物</w:t>
            </w:r>
          </w:p>
        </w:tc>
        <w:tc>
          <w:tcPr>
            <w:tcW w:w="1996" w:type="dxa"/>
            <w:vAlign w:val="center"/>
          </w:tcPr>
          <w:p>
            <w:pPr>
              <w:jc w:val="center"/>
              <w:rPr>
                <w:snapToGrid w:val="0"/>
                <w:kern w:val="21"/>
                <w:sz w:val="24"/>
                <w:highlight w:val="none"/>
              </w:rPr>
            </w:pPr>
            <w:r>
              <w:rPr>
                <w:rFonts w:hint="eastAsia"/>
                <w:snapToGrid w:val="0"/>
                <w:kern w:val="21"/>
                <w:sz w:val="24"/>
                <w:highlight w:val="none"/>
              </w:rPr>
              <w:t>废弃包装</w:t>
            </w:r>
          </w:p>
        </w:tc>
        <w:tc>
          <w:tcPr>
            <w:tcW w:w="1701" w:type="dxa"/>
            <w:vAlign w:val="center"/>
          </w:tcPr>
          <w:p>
            <w:pPr>
              <w:jc w:val="center"/>
              <w:rPr>
                <w:snapToGrid w:val="0"/>
                <w:kern w:val="21"/>
                <w:sz w:val="24"/>
                <w:highlight w:val="none"/>
              </w:rPr>
            </w:pPr>
            <w:r>
              <w:rPr>
                <w:snapToGrid w:val="0"/>
                <w:kern w:val="21"/>
                <w:sz w:val="24"/>
                <w:highlight w:val="none"/>
              </w:rPr>
              <w:t>/</w:t>
            </w:r>
          </w:p>
        </w:tc>
        <w:tc>
          <w:tcPr>
            <w:tcW w:w="1276" w:type="dxa"/>
            <w:vAlign w:val="center"/>
          </w:tcPr>
          <w:p>
            <w:pPr>
              <w:jc w:val="center"/>
              <w:rPr>
                <w:snapToGrid w:val="0"/>
                <w:kern w:val="21"/>
                <w:sz w:val="24"/>
                <w:highlight w:val="none"/>
              </w:rPr>
            </w:pPr>
            <w:r>
              <w:rPr>
                <w:snapToGrid w:val="0"/>
                <w:kern w:val="21"/>
                <w:sz w:val="24"/>
                <w:highlight w:val="none"/>
              </w:rPr>
              <w:t>/</w:t>
            </w:r>
          </w:p>
        </w:tc>
        <w:tc>
          <w:tcPr>
            <w:tcW w:w="1701" w:type="dxa"/>
            <w:vAlign w:val="center"/>
          </w:tcPr>
          <w:p>
            <w:pPr>
              <w:jc w:val="center"/>
              <w:rPr>
                <w:snapToGrid w:val="0"/>
                <w:kern w:val="21"/>
                <w:sz w:val="24"/>
                <w:highlight w:val="none"/>
              </w:rPr>
            </w:pPr>
            <w:r>
              <w:rPr>
                <w:snapToGrid w:val="0"/>
                <w:kern w:val="21"/>
                <w:sz w:val="24"/>
                <w:highlight w:val="none"/>
              </w:rPr>
              <w:t>/</w:t>
            </w:r>
          </w:p>
        </w:tc>
        <w:tc>
          <w:tcPr>
            <w:tcW w:w="1559" w:type="dxa"/>
            <w:vAlign w:val="center"/>
          </w:tcPr>
          <w:p>
            <w:pPr>
              <w:jc w:val="center"/>
              <w:rPr>
                <w:sz w:val="24"/>
                <w:highlight w:val="none"/>
              </w:rPr>
            </w:pPr>
            <w:r>
              <w:rPr>
                <w:sz w:val="24"/>
                <w:highlight w:val="none"/>
              </w:rPr>
              <w:t>0.4</w:t>
            </w:r>
            <w:r>
              <w:rPr>
                <w:rFonts w:hint="eastAsia"/>
                <w:snapToGrid w:val="0"/>
                <w:kern w:val="21"/>
                <w:sz w:val="24"/>
                <w:highlight w:val="none"/>
              </w:rPr>
              <w:t>t/a</w:t>
            </w:r>
          </w:p>
        </w:tc>
        <w:tc>
          <w:tcPr>
            <w:tcW w:w="1497" w:type="dxa"/>
            <w:vAlign w:val="center"/>
          </w:tcPr>
          <w:p>
            <w:pPr>
              <w:jc w:val="center"/>
              <w:rPr>
                <w:snapToGrid w:val="0"/>
                <w:kern w:val="21"/>
                <w:sz w:val="24"/>
                <w:highlight w:val="none"/>
              </w:rPr>
            </w:pPr>
            <w:r>
              <w:rPr>
                <w:rFonts w:hint="eastAsia"/>
                <w:snapToGrid w:val="0"/>
                <w:kern w:val="21"/>
                <w:sz w:val="24"/>
                <w:highlight w:val="none"/>
              </w:rPr>
              <w:t>/</w:t>
            </w:r>
          </w:p>
        </w:tc>
        <w:tc>
          <w:tcPr>
            <w:tcW w:w="1792" w:type="dxa"/>
            <w:vAlign w:val="center"/>
          </w:tcPr>
          <w:p>
            <w:pPr>
              <w:jc w:val="center"/>
              <w:rPr>
                <w:sz w:val="24"/>
                <w:highlight w:val="none"/>
              </w:rPr>
            </w:pPr>
            <w:r>
              <w:rPr>
                <w:sz w:val="24"/>
                <w:highlight w:val="none"/>
              </w:rPr>
              <w:t>0.4</w:t>
            </w:r>
            <w:r>
              <w:rPr>
                <w:rFonts w:hint="eastAsia"/>
                <w:snapToGrid w:val="0"/>
                <w:kern w:val="21"/>
                <w:sz w:val="24"/>
                <w:highlight w:val="none"/>
              </w:rPr>
              <w:t>t/a</w:t>
            </w:r>
          </w:p>
        </w:tc>
        <w:tc>
          <w:tcPr>
            <w:tcW w:w="1257" w:type="dxa"/>
            <w:vAlign w:val="center"/>
          </w:tcPr>
          <w:p>
            <w:pPr>
              <w:jc w:val="center"/>
              <w:rPr>
                <w:sz w:val="24"/>
                <w:highlight w:val="none"/>
              </w:rPr>
            </w:pPr>
            <w:r>
              <w:rPr>
                <w:rFonts w:hint="eastAsia"/>
                <w:snapToGrid w:val="0"/>
                <w:kern w:val="21"/>
                <w:sz w:val="24"/>
                <w:highlight w:val="none"/>
              </w:rPr>
              <w:t>+</w:t>
            </w:r>
            <w:r>
              <w:rPr>
                <w:sz w:val="24"/>
                <w:highlight w:val="none"/>
              </w:rPr>
              <w:t>0.4</w:t>
            </w:r>
            <w:r>
              <w:rPr>
                <w:rFonts w:hint="eastAsia"/>
                <w:snapToGrid w:val="0"/>
                <w:kern w:val="21"/>
                <w:sz w:val="24"/>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2" w:hRule="atLeast"/>
        </w:trPr>
        <w:tc>
          <w:tcPr>
            <w:tcW w:w="1009" w:type="dxa"/>
            <w:vMerge w:val="continue"/>
            <w:vAlign w:val="center"/>
          </w:tcPr>
          <w:p>
            <w:pPr>
              <w:pStyle w:val="39"/>
              <w:spacing w:beforeLines="0" w:afterLines="0" w:line="240" w:lineRule="auto"/>
              <w:rPr>
                <w:rFonts w:ascii="Times New Roman"/>
                <w:snapToGrid w:val="0"/>
                <w:kern w:val="21"/>
                <w:sz w:val="24"/>
                <w:szCs w:val="24"/>
                <w:highlight w:val="none"/>
              </w:rPr>
            </w:pPr>
          </w:p>
        </w:tc>
        <w:tc>
          <w:tcPr>
            <w:tcW w:w="1996" w:type="dxa"/>
            <w:tcBorders>
              <w:bottom w:val="single" w:color="000000" w:sz="4" w:space="0"/>
            </w:tcBorders>
            <w:vAlign w:val="center"/>
          </w:tcPr>
          <w:p>
            <w:pPr>
              <w:jc w:val="center"/>
              <w:rPr>
                <w:snapToGrid w:val="0"/>
                <w:kern w:val="21"/>
                <w:sz w:val="24"/>
                <w:highlight w:val="none"/>
              </w:rPr>
            </w:pPr>
            <w:r>
              <w:rPr>
                <w:kern w:val="0"/>
                <w:sz w:val="24"/>
                <w:highlight w:val="none"/>
              </w:rPr>
              <w:t>锅炉灰渣</w:t>
            </w:r>
          </w:p>
        </w:tc>
        <w:tc>
          <w:tcPr>
            <w:tcW w:w="1701" w:type="dxa"/>
            <w:tcBorders>
              <w:bottom w:val="single" w:color="000000"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276" w:type="dxa"/>
            <w:tcBorders>
              <w:bottom w:val="single" w:color="000000"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01" w:type="dxa"/>
            <w:tcBorders>
              <w:bottom w:val="single" w:color="000000"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559" w:type="dxa"/>
            <w:tcBorders>
              <w:bottom w:val="single" w:color="000000" w:sz="4" w:space="0"/>
            </w:tcBorders>
            <w:vAlign w:val="center"/>
          </w:tcPr>
          <w:p>
            <w:pPr>
              <w:jc w:val="center"/>
              <w:rPr>
                <w:snapToGrid w:val="0"/>
                <w:kern w:val="21"/>
                <w:sz w:val="24"/>
                <w:highlight w:val="none"/>
              </w:rPr>
            </w:pPr>
            <w:r>
              <w:rPr>
                <w:rFonts w:hint="eastAsia"/>
                <w:snapToGrid w:val="0"/>
                <w:kern w:val="21"/>
                <w:sz w:val="24"/>
                <w:highlight w:val="none"/>
              </w:rPr>
              <w:t>67.2t/a</w:t>
            </w:r>
          </w:p>
        </w:tc>
        <w:tc>
          <w:tcPr>
            <w:tcW w:w="1497" w:type="dxa"/>
            <w:tcBorders>
              <w:bottom w:val="single" w:color="000000"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92" w:type="dxa"/>
            <w:tcBorders>
              <w:bottom w:val="single" w:color="000000" w:sz="4" w:space="0"/>
            </w:tcBorders>
            <w:vAlign w:val="center"/>
          </w:tcPr>
          <w:p>
            <w:pPr>
              <w:jc w:val="center"/>
              <w:rPr>
                <w:snapToGrid w:val="0"/>
                <w:kern w:val="21"/>
                <w:sz w:val="24"/>
                <w:highlight w:val="none"/>
              </w:rPr>
            </w:pPr>
            <w:r>
              <w:rPr>
                <w:rFonts w:hint="eastAsia"/>
                <w:snapToGrid w:val="0"/>
                <w:kern w:val="21"/>
                <w:sz w:val="24"/>
                <w:highlight w:val="none"/>
              </w:rPr>
              <w:t>67.2t/a</w:t>
            </w:r>
          </w:p>
        </w:tc>
        <w:tc>
          <w:tcPr>
            <w:tcW w:w="1257" w:type="dxa"/>
            <w:tcBorders>
              <w:bottom w:val="single" w:color="000000" w:sz="4" w:space="0"/>
            </w:tcBorders>
            <w:vAlign w:val="center"/>
          </w:tcPr>
          <w:p>
            <w:pPr>
              <w:jc w:val="center"/>
              <w:rPr>
                <w:snapToGrid w:val="0"/>
                <w:kern w:val="21"/>
                <w:sz w:val="24"/>
                <w:highlight w:val="none"/>
              </w:rPr>
            </w:pPr>
            <w:r>
              <w:rPr>
                <w:rFonts w:hint="eastAsia"/>
                <w:snapToGrid w:val="0"/>
                <w:kern w:val="21"/>
                <w:sz w:val="24"/>
                <w:highlight w:val="none"/>
              </w:rPr>
              <w:t>+67.2t/a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8" w:hRule="atLeast"/>
        </w:trPr>
        <w:tc>
          <w:tcPr>
            <w:tcW w:w="1009" w:type="dxa"/>
            <w:vMerge w:val="continue"/>
            <w:vAlign w:val="center"/>
          </w:tcPr>
          <w:p>
            <w:pPr>
              <w:pStyle w:val="39"/>
              <w:spacing w:beforeLines="0" w:afterLines="0" w:line="240" w:lineRule="auto"/>
              <w:rPr>
                <w:rFonts w:ascii="Times New Roman"/>
                <w:snapToGrid w:val="0"/>
                <w:kern w:val="21"/>
                <w:sz w:val="24"/>
                <w:szCs w:val="24"/>
                <w:highlight w:val="none"/>
              </w:rPr>
            </w:pPr>
          </w:p>
        </w:tc>
        <w:tc>
          <w:tcPr>
            <w:tcW w:w="1996" w:type="dxa"/>
            <w:tcBorders>
              <w:top w:val="single" w:color="000000" w:sz="4" w:space="0"/>
              <w:bottom w:val="single" w:color="auto" w:sz="4" w:space="0"/>
            </w:tcBorders>
            <w:vAlign w:val="center"/>
          </w:tcPr>
          <w:p>
            <w:pPr>
              <w:jc w:val="center"/>
              <w:rPr>
                <w:snapToGrid w:val="0"/>
                <w:kern w:val="21"/>
                <w:sz w:val="24"/>
                <w:highlight w:val="none"/>
              </w:rPr>
            </w:pPr>
            <w:r>
              <w:rPr>
                <w:rFonts w:hint="eastAsia"/>
                <w:kern w:val="0"/>
                <w:sz w:val="24"/>
                <w:highlight w:val="none"/>
              </w:rPr>
              <w:t>布袋除尘器收尘</w:t>
            </w:r>
          </w:p>
        </w:tc>
        <w:tc>
          <w:tcPr>
            <w:tcW w:w="1701" w:type="dxa"/>
            <w:tcBorders>
              <w:top w:val="single" w:color="000000"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276" w:type="dxa"/>
            <w:tcBorders>
              <w:top w:val="single" w:color="000000"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01" w:type="dxa"/>
            <w:tcBorders>
              <w:top w:val="single" w:color="000000"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559" w:type="dxa"/>
            <w:tcBorders>
              <w:top w:val="single" w:color="000000"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lang w:eastAsia="zh-CN"/>
              </w:rPr>
              <w:t>13.86</w:t>
            </w:r>
            <w:r>
              <w:rPr>
                <w:rFonts w:hint="eastAsia"/>
                <w:snapToGrid w:val="0"/>
                <w:kern w:val="21"/>
                <w:sz w:val="24"/>
                <w:highlight w:val="none"/>
              </w:rPr>
              <w:t>t/a</w:t>
            </w:r>
          </w:p>
        </w:tc>
        <w:tc>
          <w:tcPr>
            <w:tcW w:w="1497" w:type="dxa"/>
            <w:tcBorders>
              <w:top w:val="single" w:color="000000"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92" w:type="dxa"/>
            <w:tcBorders>
              <w:top w:val="single" w:color="000000"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lang w:eastAsia="zh-CN"/>
              </w:rPr>
              <w:t>13.86</w:t>
            </w:r>
            <w:r>
              <w:rPr>
                <w:rFonts w:hint="eastAsia"/>
                <w:snapToGrid w:val="0"/>
                <w:kern w:val="21"/>
                <w:sz w:val="24"/>
                <w:highlight w:val="none"/>
              </w:rPr>
              <w:t>t/a</w:t>
            </w:r>
          </w:p>
        </w:tc>
        <w:tc>
          <w:tcPr>
            <w:tcW w:w="1257" w:type="dxa"/>
            <w:tcBorders>
              <w:top w:val="single" w:color="000000"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r>
              <w:rPr>
                <w:rFonts w:hint="eastAsia"/>
                <w:snapToGrid w:val="0"/>
                <w:kern w:val="21"/>
                <w:sz w:val="24"/>
                <w:highlight w:val="none"/>
                <w:lang w:eastAsia="zh-CN"/>
              </w:rPr>
              <w:t>13.86</w:t>
            </w:r>
            <w:r>
              <w:rPr>
                <w:rFonts w:hint="eastAsia"/>
                <w:snapToGrid w:val="0"/>
                <w:kern w:val="21"/>
                <w:sz w:val="24"/>
                <w:highlight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009" w:type="dxa"/>
            <w:vMerge w:val="continue"/>
            <w:vAlign w:val="center"/>
          </w:tcPr>
          <w:p>
            <w:pPr>
              <w:pStyle w:val="39"/>
              <w:spacing w:beforeLines="0" w:afterLines="0" w:line="240" w:lineRule="auto"/>
              <w:rPr>
                <w:rFonts w:ascii="Times New Roman"/>
                <w:snapToGrid w:val="0"/>
                <w:kern w:val="21"/>
                <w:sz w:val="24"/>
                <w:szCs w:val="24"/>
                <w:highlight w:val="none"/>
              </w:rPr>
            </w:pPr>
          </w:p>
        </w:tc>
        <w:tc>
          <w:tcPr>
            <w:tcW w:w="1996" w:type="dxa"/>
            <w:tcBorders>
              <w:top w:val="single" w:color="auto" w:sz="4" w:space="0"/>
              <w:bottom w:val="single" w:color="auto" w:sz="4" w:space="0"/>
            </w:tcBorders>
            <w:vAlign w:val="center"/>
          </w:tcPr>
          <w:p>
            <w:pPr>
              <w:jc w:val="center"/>
              <w:rPr>
                <w:kern w:val="0"/>
                <w:sz w:val="24"/>
                <w:highlight w:val="none"/>
              </w:rPr>
            </w:pPr>
            <w:r>
              <w:rPr>
                <w:sz w:val="24"/>
                <w:highlight w:val="none"/>
              </w:rPr>
              <w:t>玉米皮等</w:t>
            </w:r>
          </w:p>
        </w:tc>
        <w:tc>
          <w:tcPr>
            <w:tcW w:w="1701"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276"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01"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559"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100t/a</w:t>
            </w:r>
          </w:p>
        </w:tc>
        <w:tc>
          <w:tcPr>
            <w:tcW w:w="1497"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92"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100t/a</w:t>
            </w:r>
          </w:p>
        </w:tc>
        <w:tc>
          <w:tcPr>
            <w:tcW w:w="1257"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+100t/a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 w:hRule="atLeast"/>
        </w:trPr>
        <w:tc>
          <w:tcPr>
            <w:tcW w:w="1009" w:type="dxa"/>
            <w:vMerge w:val="continue"/>
            <w:vAlign w:val="center"/>
          </w:tcPr>
          <w:p>
            <w:pPr>
              <w:pStyle w:val="39"/>
              <w:spacing w:beforeLines="0" w:afterLines="0" w:line="240" w:lineRule="auto"/>
              <w:rPr>
                <w:rFonts w:ascii="Times New Roman"/>
                <w:snapToGrid w:val="0"/>
                <w:kern w:val="21"/>
                <w:sz w:val="24"/>
                <w:szCs w:val="24"/>
                <w:highlight w:val="none"/>
              </w:rPr>
            </w:pPr>
          </w:p>
        </w:tc>
        <w:tc>
          <w:tcPr>
            <w:tcW w:w="1996" w:type="dxa"/>
            <w:tcBorders>
              <w:top w:val="single" w:color="auto" w:sz="4" w:space="0"/>
              <w:bottom w:val="single" w:color="auto" w:sz="4" w:space="0"/>
            </w:tcBorders>
            <w:vAlign w:val="center"/>
          </w:tcPr>
          <w:p>
            <w:pPr>
              <w:jc w:val="center"/>
              <w:rPr>
                <w:kern w:val="0"/>
                <w:sz w:val="24"/>
                <w:highlight w:val="none"/>
              </w:rPr>
            </w:pPr>
            <w:r>
              <w:rPr>
                <w:rFonts w:hint="eastAsia"/>
                <w:kern w:val="0"/>
                <w:sz w:val="24"/>
                <w:highlight w:val="none"/>
              </w:rPr>
              <w:t>生活垃圾</w:t>
            </w:r>
          </w:p>
        </w:tc>
        <w:tc>
          <w:tcPr>
            <w:tcW w:w="1701"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276"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01"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559"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0.9t/a</w:t>
            </w:r>
          </w:p>
        </w:tc>
        <w:tc>
          <w:tcPr>
            <w:tcW w:w="1497"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92"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0.9t/a</w:t>
            </w:r>
          </w:p>
        </w:tc>
        <w:tc>
          <w:tcPr>
            <w:tcW w:w="1257"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+0.9t/a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009" w:type="dxa"/>
            <w:vMerge w:val="continue"/>
            <w:vAlign w:val="center"/>
          </w:tcPr>
          <w:p>
            <w:pPr>
              <w:pStyle w:val="39"/>
              <w:spacing w:beforeLines="0" w:afterLines="0" w:line="240" w:lineRule="auto"/>
              <w:rPr>
                <w:rFonts w:ascii="Times New Roman"/>
                <w:snapToGrid w:val="0"/>
                <w:kern w:val="21"/>
                <w:sz w:val="24"/>
                <w:szCs w:val="24"/>
                <w:highlight w:val="none"/>
              </w:rPr>
            </w:pPr>
          </w:p>
        </w:tc>
        <w:tc>
          <w:tcPr>
            <w:tcW w:w="1996" w:type="dxa"/>
            <w:tcBorders>
              <w:top w:val="single" w:color="auto" w:sz="4" w:space="0"/>
              <w:bottom w:val="single" w:color="auto" w:sz="4" w:space="0"/>
            </w:tcBorders>
            <w:vAlign w:val="center"/>
          </w:tcPr>
          <w:p>
            <w:pPr>
              <w:pStyle w:val="135"/>
              <w:rPr>
                <w:sz w:val="24"/>
                <w:szCs w:val="24"/>
                <w:highlight w:val="none"/>
              </w:rPr>
            </w:pPr>
            <w:r>
              <w:rPr>
                <w:sz w:val="24"/>
                <w:szCs w:val="24"/>
                <w:highlight w:val="none"/>
              </w:rPr>
              <w:t>废布袋</w:t>
            </w:r>
          </w:p>
        </w:tc>
        <w:tc>
          <w:tcPr>
            <w:tcW w:w="1701"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276"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01"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559" w:type="dxa"/>
            <w:tcBorders>
              <w:top w:val="single" w:color="auto" w:sz="4" w:space="0"/>
              <w:bottom w:val="single" w:color="auto" w:sz="4" w:space="0"/>
            </w:tcBorders>
            <w:vAlign w:val="center"/>
          </w:tcPr>
          <w:p>
            <w:pPr>
              <w:pStyle w:val="135"/>
              <w:rPr>
                <w:snapToGrid w:val="0"/>
                <w:kern w:val="21"/>
                <w:sz w:val="24"/>
                <w:szCs w:val="24"/>
                <w:highlight w:val="none"/>
              </w:rPr>
            </w:pPr>
            <w:r>
              <w:rPr>
                <w:sz w:val="24"/>
                <w:szCs w:val="24"/>
                <w:highlight w:val="none"/>
              </w:rPr>
              <w:t>0.2</w:t>
            </w:r>
            <w:r>
              <w:rPr>
                <w:snapToGrid w:val="0"/>
                <w:sz w:val="24"/>
                <w:szCs w:val="24"/>
                <w:highlight w:val="none"/>
              </w:rPr>
              <w:t>t/2a</w:t>
            </w:r>
          </w:p>
        </w:tc>
        <w:tc>
          <w:tcPr>
            <w:tcW w:w="1497" w:type="dxa"/>
            <w:tcBorders>
              <w:top w:val="single" w:color="auto" w:sz="4" w:space="0"/>
              <w:bottom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92" w:type="dxa"/>
            <w:tcBorders>
              <w:top w:val="single" w:color="auto" w:sz="4" w:space="0"/>
              <w:bottom w:val="single" w:color="auto" w:sz="4" w:space="0"/>
            </w:tcBorders>
            <w:vAlign w:val="center"/>
          </w:tcPr>
          <w:p>
            <w:pPr>
              <w:pStyle w:val="135"/>
              <w:rPr>
                <w:snapToGrid w:val="0"/>
                <w:kern w:val="21"/>
                <w:sz w:val="24"/>
                <w:szCs w:val="24"/>
                <w:highlight w:val="none"/>
              </w:rPr>
            </w:pPr>
            <w:r>
              <w:rPr>
                <w:sz w:val="24"/>
                <w:szCs w:val="24"/>
                <w:highlight w:val="none"/>
              </w:rPr>
              <w:t>0.2</w:t>
            </w:r>
            <w:r>
              <w:rPr>
                <w:snapToGrid w:val="0"/>
                <w:sz w:val="24"/>
                <w:szCs w:val="24"/>
                <w:highlight w:val="none"/>
              </w:rPr>
              <w:t>t/2a</w:t>
            </w:r>
          </w:p>
        </w:tc>
        <w:tc>
          <w:tcPr>
            <w:tcW w:w="1257" w:type="dxa"/>
            <w:tcBorders>
              <w:top w:val="single" w:color="auto" w:sz="4" w:space="0"/>
              <w:bottom w:val="single" w:color="auto" w:sz="4" w:space="0"/>
            </w:tcBorders>
            <w:vAlign w:val="center"/>
          </w:tcPr>
          <w:p>
            <w:pPr>
              <w:pStyle w:val="135"/>
              <w:rPr>
                <w:snapToGrid w:val="0"/>
                <w:kern w:val="21"/>
                <w:sz w:val="24"/>
                <w:szCs w:val="24"/>
                <w:highlight w:val="none"/>
              </w:rPr>
            </w:pPr>
            <w:r>
              <w:rPr>
                <w:rFonts w:eastAsia="等线"/>
                <w:sz w:val="24"/>
                <w:szCs w:val="24"/>
                <w:highlight w:val="none"/>
              </w:rPr>
              <w:t>+</w:t>
            </w:r>
            <w:r>
              <w:rPr>
                <w:sz w:val="24"/>
                <w:szCs w:val="24"/>
                <w:highlight w:val="none"/>
              </w:rPr>
              <w:t>0.2</w:t>
            </w:r>
            <w:r>
              <w:rPr>
                <w:snapToGrid w:val="0"/>
                <w:sz w:val="24"/>
                <w:szCs w:val="24"/>
                <w:highlight w:val="none"/>
              </w:rPr>
              <w:t>t/2a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5" w:hRule="atLeast"/>
        </w:trPr>
        <w:tc>
          <w:tcPr>
            <w:tcW w:w="1009" w:type="dxa"/>
            <w:vMerge w:val="continue"/>
            <w:vAlign w:val="center"/>
          </w:tcPr>
          <w:p>
            <w:pPr>
              <w:pStyle w:val="39"/>
              <w:spacing w:beforeLines="0" w:afterLines="0" w:line="240" w:lineRule="auto"/>
              <w:rPr>
                <w:rFonts w:ascii="Times New Roman"/>
                <w:snapToGrid w:val="0"/>
                <w:kern w:val="21"/>
                <w:sz w:val="24"/>
                <w:szCs w:val="24"/>
                <w:highlight w:val="none"/>
              </w:rPr>
            </w:pPr>
          </w:p>
        </w:tc>
        <w:tc>
          <w:tcPr>
            <w:tcW w:w="1996" w:type="dxa"/>
            <w:tcBorders>
              <w:top w:val="single" w:color="auto" w:sz="4" w:space="0"/>
            </w:tcBorders>
            <w:vAlign w:val="center"/>
          </w:tcPr>
          <w:p>
            <w:pPr>
              <w:pStyle w:val="135"/>
              <w:rPr>
                <w:sz w:val="24"/>
                <w:szCs w:val="24"/>
                <w:highlight w:val="none"/>
              </w:rPr>
            </w:pPr>
            <w:r>
              <w:rPr>
                <w:sz w:val="24"/>
                <w:szCs w:val="24"/>
                <w:highlight w:val="none"/>
              </w:rPr>
              <w:t>废离子交换树脂</w:t>
            </w:r>
          </w:p>
        </w:tc>
        <w:tc>
          <w:tcPr>
            <w:tcW w:w="1701" w:type="dxa"/>
            <w:tcBorders>
              <w:top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276" w:type="dxa"/>
            <w:tcBorders>
              <w:top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01" w:type="dxa"/>
            <w:tcBorders>
              <w:top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559" w:type="dxa"/>
            <w:tcBorders>
              <w:top w:val="single" w:color="auto" w:sz="4" w:space="0"/>
            </w:tcBorders>
            <w:vAlign w:val="center"/>
          </w:tcPr>
          <w:p>
            <w:pPr>
              <w:pStyle w:val="135"/>
              <w:rPr>
                <w:snapToGrid w:val="0"/>
                <w:kern w:val="21"/>
                <w:sz w:val="24"/>
                <w:szCs w:val="24"/>
                <w:highlight w:val="none"/>
              </w:rPr>
            </w:pPr>
            <w:r>
              <w:rPr>
                <w:sz w:val="24"/>
                <w:szCs w:val="24"/>
                <w:highlight w:val="none"/>
              </w:rPr>
              <w:t>0.2</w:t>
            </w:r>
            <w:r>
              <w:rPr>
                <w:snapToGrid w:val="0"/>
                <w:sz w:val="24"/>
                <w:szCs w:val="24"/>
                <w:highlight w:val="none"/>
              </w:rPr>
              <w:t>t/a</w:t>
            </w:r>
          </w:p>
        </w:tc>
        <w:tc>
          <w:tcPr>
            <w:tcW w:w="1497" w:type="dxa"/>
            <w:tcBorders>
              <w:top w:val="single" w:color="auto" w:sz="4" w:space="0"/>
            </w:tcBorders>
            <w:vAlign w:val="center"/>
          </w:tcPr>
          <w:p>
            <w:pPr>
              <w:jc w:val="center"/>
              <w:rPr>
                <w:snapToGrid w:val="0"/>
                <w:kern w:val="21"/>
                <w:sz w:val="24"/>
                <w:highlight w:val="none"/>
              </w:rPr>
            </w:pPr>
            <w:r>
              <w:rPr>
                <w:rFonts w:hint="eastAsia"/>
                <w:snapToGrid w:val="0"/>
                <w:kern w:val="21"/>
                <w:sz w:val="24"/>
                <w:highlight w:val="none"/>
              </w:rPr>
              <w:t>/</w:t>
            </w:r>
          </w:p>
        </w:tc>
        <w:tc>
          <w:tcPr>
            <w:tcW w:w="1792" w:type="dxa"/>
            <w:tcBorders>
              <w:top w:val="single" w:color="auto" w:sz="4" w:space="0"/>
            </w:tcBorders>
            <w:vAlign w:val="center"/>
          </w:tcPr>
          <w:p>
            <w:pPr>
              <w:pStyle w:val="135"/>
              <w:rPr>
                <w:snapToGrid w:val="0"/>
                <w:kern w:val="21"/>
                <w:sz w:val="24"/>
                <w:szCs w:val="24"/>
                <w:highlight w:val="none"/>
              </w:rPr>
            </w:pPr>
            <w:r>
              <w:rPr>
                <w:sz w:val="24"/>
                <w:szCs w:val="24"/>
                <w:highlight w:val="none"/>
              </w:rPr>
              <w:t>0.2</w:t>
            </w:r>
            <w:r>
              <w:rPr>
                <w:snapToGrid w:val="0"/>
                <w:sz w:val="24"/>
                <w:szCs w:val="24"/>
                <w:highlight w:val="none"/>
              </w:rPr>
              <w:t>t/a</w:t>
            </w:r>
          </w:p>
        </w:tc>
        <w:tc>
          <w:tcPr>
            <w:tcW w:w="1257" w:type="dxa"/>
            <w:tcBorders>
              <w:top w:val="single" w:color="auto" w:sz="4" w:space="0"/>
            </w:tcBorders>
            <w:vAlign w:val="center"/>
          </w:tcPr>
          <w:p>
            <w:pPr>
              <w:pStyle w:val="135"/>
              <w:rPr>
                <w:snapToGrid w:val="0"/>
                <w:kern w:val="21"/>
                <w:sz w:val="24"/>
                <w:szCs w:val="24"/>
                <w:highlight w:val="none"/>
              </w:rPr>
            </w:pPr>
            <w:r>
              <w:rPr>
                <w:rFonts w:eastAsia="等线"/>
                <w:sz w:val="24"/>
                <w:szCs w:val="24"/>
                <w:highlight w:val="none"/>
              </w:rPr>
              <w:t>+</w:t>
            </w:r>
            <w:r>
              <w:rPr>
                <w:sz w:val="24"/>
                <w:szCs w:val="24"/>
                <w:highlight w:val="none"/>
              </w:rPr>
              <w:t>0.2</w:t>
            </w:r>
            <w:r>
              <w:rPr>
                <w:snapToGrid w:val="0"/>
                <w:sz w:val="24"/>
                <w:szCs w:val="24"/>
                <w:highlight w:val="none"/>
              </w:rPr>
              <w:t>t/a</w:t>
            </w:r>
          </w:p>
        </w:tc>
      </w:tr>
    </w:tbl>
    <w:p>
      <w:pPr>
        <w:pStyle w:val="39"/>
        <w:spacing w:before="192" w:beforeLines="80" w:after="24"/>
        <w:jc w:val="left"/>
        <w:rPr>
          <w:rFonts w:ascii="Times New Roman"/>
          <w:highlight w:val="none"/>
        </w:rPr>
        <w:sectPr>
          <w:footerReference r:id="rId7" w:type="default"/>
          <w:pgSz w:w="16838" w:h="11906" w:orient="landscape"/>
          <w:pgMar w:top="1701" w:right="1531" w:bottom="1701" w:left="1531" w:header="851" w:footer="851" w:gutter="0"/>
          <w:pgNumType w:fmt="decimal"/>
          <w:cols w:space="720" w:num="1"/>
          <w:docGrid w:linePitch="312" w:charSpace="0"/>
        </w:sectPr>
      </w:pPr>
      <w:r>
        <w:rPr>
          <w:rFonts w:ascii="Times New Roman"/>
          <w:snapToGrid w:val="0"/>
          <w:kern w:val="21"/>
          <w:szCs w:val="21"/>
          <w:highlight w:val="none"/>
        </w:rPr>
        <w:t>注：</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ascii="Times New Roman"/>
          <w:szCs w:val="21"/>
          <w:highlight w:val="none"/>
        </w:rPr>
        <w:t>⑥</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ascii="Times New Roman"/>
          <w:szCs w:val="21"/>
          <w:highlight w:val="none"/>
        </w:rPr>
        <w:t>①</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3 \* GB3 \* MERGEFORMAT </w:instrText>
      </w:r>
      <w:r>
        <w:rPr>
          <w:rFonts w:ascii="Times New Roman"/>
          <w:snapToGrid w:val="0"/>
          <w:spacing w:val="-6"/>
          <w:kern w:val="21"/>
          <w:szCs w:val="21"/>
          <w:highlight w:val="none"/>
        </w:rPr>
        <w:fldChar w:fldCharType="separate"/>
      </w:r>
      <w:r>
        <w:rPr>
          <w:rFonts w:ascii="Times New Roman"/>
          <w:szCs w:val="21"/>
          <w:highlight w:val="none"/>
        </w:rPr>
        <w:t>③</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4 \* GB3 \* MERGEFORMAT </w:instrText>
      </w:r>
      <w:r>
        <w:rPr>
          <w:rFonts w:ascii="Times New Roman"/>
          <w:snapToGrid w:val="0"/>
          <w:spacing w:val="-6"/>
          <w:kern w:val="21"/>
          <w:szCs w:val="21"/>
          <w:highlight w:val="none"/>
        </w:rPr>
        <w:fldChar w:fldCharType="separate"/>
      </w:r>
      <w:r>
        <w:rPr>
          <w:rFonts w:ascii="Times New Roman"/>
          <w:szCs w:val="21"/>
          <w:highlight w:val="none"/>
        </w:rPr>
        <w:t>④</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5 \* GB3 \* MERGEFORMAT </w:instrText>
      </w:r>
      <w:r>
        <w:rPr>
          <w:rFonts w:ascii="Times New Roman"/>
          <w:snapToGrid w:val="0"/>
          <w:spacing w:val="-16"/>
          <w:kern w:val="21"/>
          <w:szCs w:val="21"/>
          <w:highlight w:val="none"/>
        </w:rPr>
        <w:fldChar w:fldCharType="separate"/>
      </w:r>
      <w:r>
        <w:rPr>
          <w:rFonts w:ascii="Times New Roman"/>
          <w:szCs w:val="21"/>
          <w:highlight w:val="none"/>
        </w:rPr>
        <w:t>⑤</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7 \* GB3 \* MERGEFORMAT </w:instrText>
      </w:r>
      <w:r>
        <w:rPr>
          <w:rFonts w:ascii="Times New Roman"/>
          <w:snapToGrid w:val="0"/>
          <w:spacing w:val="-6"/>
          <w:kern w:val="21"/>
          <w:szCs w:val="21"/>
          <w:highlight w:val="none"/>
        </w:rPr>
        <w:fldChar w:fldCharType="separate"/>
      </w:r>
      <w:r>
        <w:rPr>
          <w:rFonts w:ascii="Times New Roman"/>
          <w:szCs w:val="21"/>
          <w:highlight w:val="none"/>
        </w:rPr>
        <w:t>⑦</w:t>
      </w:r>
      <w:r>
        <w:rPr>
          <w:rFonts w:ascii="Times New Roman"/>
          <w:snapToGrid w:val="0"/>
          <w:spacing w:val="-6"/>
          <w:kern w:val="21"/>
          <w:szCs w:val="21"/>
          <w:highlight w:val="none"/>
        </w:rPr>
        <w:fldChar w:fldCharType="end"/>
      </w:r>
      <w:r>
        <w:rPr>
          <w:rFonts w:ascii="Times New Roman"/>
          <w:snapToGrid w:val="0"/>
          <w:spacing w:val="-6"/>
          <w:kern w:val="21"/>
          <w:szCs w:val="21"/>
          <w:highlight w:val="none"/>
        </w:rPr>
        <w:t>=</w:t>
      </w:r>
      <w:r>
        <w:rPr>
          <w:rFonts w:ascii="Times New Roman"/>
          <w:snapToGrid w:val="0"/>
          <w:spacing w:val="-16"/>
          <w:kern w:val="21"/>
          <w:szCs w:val="21"/>
          <w:highlight w:val="none"/>
        </w:rPr>
        <w:fldChar w:fldCharType="begin"/>
      </w:r>
      <w:r>
        <w:rPr>
          <w:rFonts w:ascii="Times New Roman"/>
          <w:snapToGrid w:val="0"/>
          <w:spacing w:val="-16"/>
          <w:kern w:val="21"/>
          <w:szCs w:val="21"/>
          <w:highlight w:val="none"/>
        </w:rPr>
        <w:instrText xml:space="preserve"> = 6 \* GB3 \* MERGEFORMAT </w:instrText>
      </w:r>
      <w:r>
        <w:rPr>
          <w:rFonts w:ascii="Times New Roman"/>
          <w:snapToGrid w:val="0"/>
          <w:spacing w:val="-16"/>
          <w:kern w:val="21"/>
          <w:szCs w:val="21"/>
          <w:highlight w:val="none"/>
        </w:rPr>
        <w:fldChar w:fldCharType="separate"/>
      </w:r>
      <w:r>
        <w:rPr>
          <w:rFonts w:ascii="Times New Roman"/>
          <w:szCs w:val="21"/>
          <w:highlight w:val="none"/>
        </w:rPr>
        <w:t>⑥</w:t>
      </w:r>
      <w:r>
        <w:rPr>
          <w:rFonts w:ascii="Times New Roman"/>
          <w:snapToGrid w:val="0"/>
          <w:spacing w:val="-16"/>
          <w:kern w:val="21"/>
          <w:szCs w:val="21"/>
          <w:highlight w:val="none"/>
        </w:rPr>
        <w:fldChar w:fldCharType="end"/>
      </w:r>
      <w:r>
        <w:rPr>
          <w:rFonts w:ascii="Times New Roman"/>
          <w:snapToGrid w:val="0"/>
          <w:spacing w:val="-16"/>
          <w:kern w:val="21"/>
          <w:szCs w:val="21"/>
          <w:highlight w:val="none"/>
        </w:rPr>
        <w:t>-</w:t>
      </w:r>
      <w:r>
        <w:rPr>
          <w:rFonts w:ascii="Times New Roman"/>
          <w:snapToGrid w:val="0"/>
          <w:spacing w:val="-6"/>
          <w:kern w:val="21"/>
          <w:szCs w:val="21"/>
          <w:highlight w:val="none"/>
        </w:rPr>
        <w:fldChar w:fldCharType="begin"/>
      </w:r>
      <w:r>
        <w:rPr>
          <w:rFonts w:ascii="Times New Roman"/>
          <w:snapToGrid w:val="0"/>
          <w:spacing w:val="-6"/>
          <w:kern w:val="21"/>
          <w:szCs w:val="21"/>
          <w:highlight w:val="none"/>
        </w:rPr>
        <w:instrText xml:space="preserve"> = 1 \* GB3 \* MERGEFORMAT </w:instrText>
      </w:r>
      <w:r>
        <w:rPr>
          <w:rFonts w:ascii="Times New Roman"/>
          <w:snapToGrid w:val="0"/>
          <w:spacing w:val="-6"/>
          <w:kern w:val="21"/>
          <w:szCs w:val="21"/>
          <w:highlight w:val="none"/>
        </w:rPr>
        <w:fldChar w:fldCharType="separate"/>
      </w:r>
      <w:r>
        <w:rPr>
          <w:rFonts w:ascii="Times New Roman"/>
          <w:szCs w:val="21"/>
          <w:highlight w:val="none"/>
        </w:rPr>
        <w:t>①</w:t>
      </w:r>
      <w:r>
        <w:rPr>
          <w:rFonts w:ascii="Times New Roman"/>
          <w:snapToGrid w:val="0"/>
          <w:spacing w:val="-6"/>
          <w:kern w:val="21"/>
          <w:szCs w:val="21"/>
          <w:highlight w:val="none"/>
        </w:rPr>
        <w:fldChar w:fldCharType="end"/>
      </w:r>
    </w:p>
    <w:p>
      <w:pPr>
        <w:pStyle w:val="27"/>
        <w:ind w:firstLine="0" w:firstLineChars="0"/>
        <w:jc w:val="center"/>
        <w:rPr>
          <w:highlight w:val="none"/>
        </w:rPr>
      </w:pPr>
      <w:r>
        <w:rPr>
          <w:b/>
          <w:kern w:val="2"/>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3067685</wp:posOffset>
                </wp:positionH>
                <wp:positionV relativeFrom="paragraph">
                  <wp:posOffset>2350135</wp:posOffset>
                </wp:positionV>
                <wp:extent cx="361950" cy="361950"/>
                <wp:effectExtent l="19050" t="28575" r="19050" b="19050"/>
                <wp:wrapNone/>
                <wp:docPr id="23" name="AutoShape 101"/>
                <wp:cNvGraphicFramePr/>
                <a:graphic xmlns:a="http://schemas.openxmlformats.org/drawingml/2006/main">
                  <a:graphicData uri="http://schemas.microsoft.com/office/word/2010/wordprocessingShape">
                    <wps:wsp>
                      <wps:cNvSpPr>
                        <a:spLocks noChangeArrowheads="1"/>
                      </wps:cNvSpPr>
                      <wps:spPr bwMode="auto">
                        <a:xfrm>
                          <a:off x="0" y="0"/>
                          <a:ext cx="361950" cy="361950"/>
                        </a:xfrm>
                        <a:prstGeom prst="star5">
                          <a:avLst/>
                        </a:prstGeom>
                        <a:solidFill>
                          <a:srgbClr val="FF0000"/>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shape id="AutoShape 101" o:spid="_x0000_s1026" style="position:absolute;left:0pt;margin-left:241.55pt;margin-top:185.05pt;height:28.5pt;width:28.5pt;z-index:251660288;mso-width-relative:page;mso-height-relative:page;" fillcolor="#FF0000" filled="t" stroked="t" coordsize="361950,361950" o:gfxdata="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K1lbu/ZAAAACwEAAA8AAAAAAAAAAQAgAAAAIgAAAGRycy9kb3ducmV2LnhtbFBLAQIUABQAAAAI&#10;AIdO4kBv5vouJQIAAHUEAAAOAAAAAAAAAAEAIAAAACgBAABkcnMvZTJvRG9jLnhtbFBLBQYAAAAA&#10;BgAGAFkBAAC/BQAAAAA=&#10;" path="m0,138252l138253,138253,180975,0,223696,138253,361949,138252,250100,223696,292823,361949,180975,276503,69126,361949,111849,223696xe">
                <v:path o:connectlocs="180975,0;0,138252;69126,361949;292823,361949;361949,138252" o:connectangles="247,164,82,82,0"/>
                <v:fill on="t" focussize="0,0"/>
                <v:stroke color="#000000" miterlimit="8" joinstyle="miter"/>
                <v:imagedata o:title=""/>
                <o:lock v:ext="edit" aspectratio="f"/>
              </v:shape>
            </w:pict>
          </mc:Fallback>
        </mc:AlternateContent>
      </w:r>
      <w:r>
        <w:rPr>
          <w:b/>
          <w:w w:val="99"/>
          <w:sz w:val="28"/>
          <w:szCs w:val="28"/>
          <w:highlight w:val="none"/>
        </w:rPr>
        <w:drawing>
          <wp:anchor distT="0" distB="0" distL="114300" distR="114300" simplePos="0" relativeHeight="251665408" behindDoc="0" locked="0" layoutInCell="1" allowOverlap="1">
            <wp:simplePos x="0" y="0"/>
            <wp:positionH relativeFrom="column">
              <wp:posOffset>7346950</wp:posOffset>
            </wp:positionH>
            <wp:positionV relativeFrom="paragraph">
              <wp:posOffset>-11430</wp:posOffset>
            </wp:positionV>
            <wp:extent cx="1149985" cy="1039495"/>
            <wp:effectExtent l="0" t="0" r="12065" b="8255"/>
            <wp:wrapNone/>
            <wp:docPr id="50" name="图片 81" descr="微信截图_2018050810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81" descr="微信截图_20180508102552"/>
                    <pic:cNvPicPr>
                      <a:picLocks noChangeAspect="1"/>
                    </pic:cNvPicPr>
                  </pic:nvPicPr>
                  <pic:blipFill>
                    <a:blip r:embed="rId37"/>
                    <a:stretch>
                      <a:fillRect/>
                    </a:stretch>
                  </pic:blipFill>
                  <pic:spPr>
                    <a:xfrm>
                      <a:off x="0" y="0"/>
                      <a:ext cx="1149985" cy="1039495"/>
                    </a:xfrm>
                    <a:prstGeom prst="rect">
                      <a:avLst/>
                    </a:prstGeom>
                    <a:noFill/>
                    <a:ln>
                      <a:noFill/>
                    </a:ln>
                  </pic:spPr>
                </pic:pic>
              </a:graphicData>
            </a:graphic>
          </wp:anchor>
        </w:drawing>
      </w:r>
      <w:r>
        <w:rPr>
          <w:b/>
          <w:kern w:val="2"/>
          <w:sz w:val="24"/>
          <w:szCs w:val="24"/>
          <w:highlight w:val="none"/>
        </w:rPr>
        <mc:AlternateContent>
          <mc:Choice Requires="wpg">
            <w:drawing>
              <wp:anchor distT="0" distB="0" distL="114300" distR="114300" simplePos="0" relativeHeight="251661312" behindDoc="0" locked="0" layoutInCell="1" allowOverlap="1">
                <wp:simplePos x="0" y="0"/>
                <wp:positionH relativeFrom="column">
                  <wp:posOffset>6644640</wp:posOffset>
                </wp:positionH>
                <wp:positionV relativeFrom="paragraph">
                  <wp:posOffset>4010025</wp:posOffset>
                </wp:positionV>
                <wp:extent cx="1838325" cy="904875"/>
                <wp:effectExtent l="9525" t="9525" r="9525" b="9525"/>
                <wp:wrapNone/>
                <wp:docPr id="24" name="Group 104"/>
                <wp:cNvGraphicFramePr/>
                <a:graphic xmlns:a="http://schemas.openxmlformats.org/drawingml/2006/main">
                  <a:graphicData uri="http://schemas.microsoft.com/office/word/2010/wordprocessingGroup">
                    <wpg:wgp>
                      <wpg:cNvGrpSpPr/>
                      <wpg:grpSpPr>
                        <a:xfrm>
                          <a:off x="0" y="0"/>
                          <a:ext cx="1838325" cy="904875"/>
                          <a:chOff x="11475" y="8370"/>
                          <a:chExt cx="2895" cy="1425"/>
                        </a:xfrm>
                      </wpg:grpSpPr>
                      <wps:wsp>
                        <wps:cNvPr id="25" name="Rectangle 98"/>
                        <wps:cNvSpPr>
                          <a:spLocks noChangeArrowheads="1"/>
                        </wps:cNvSpPr>
                        <wps:spPr bwMode="auto">
                          <a:xfrm>
                            <a:off x="11475" y="8370"/>
                            <a:ext cx="2895" cy="14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6" name="Text Box 99"/>
                        <wps:cNvSpPr txBox="1">
                          <a:spLocks noChangeArrowheads="1"/>
                        </wps:cNvSpPr>
                        <wps:spPr bwMode="auto">
                          <a:xfrm>
                            <a:off x="12420" y="8520"/>
                            <a:ext cx="1170" cy="435"/>
                          </a:xfrm>
                          <a:prstGeom prst="rect">
                            <a:avLst/>
                          </a:prstGeom>
                          <a:noFill/>
                          <a:ln>
                            <a:noFill/>
                          </a:ln>
                        </wps:spPr>
                        <wps:txbx>
                          <w:txbxContent>
                            <w:p>
                              <w:pPr>
                                <w:rPr>
                                  <w:b/>
                                  <w:bCs/>
                                </w:rPr>
                              </w:pPr>
                              <w:r>
                                <w:rPr>
                                  <w:rFonts w:hint="eastAsia"/>
                                  <w:b/>
                                  <w:bCs/>
                                </w:rPr>
                                <w:t xml:space="preserve">图 </w:t>
                              </w:r>
                              <w:r>
                                <w:rPr>
                                  <w:b/>
                                  <w:bCs/>
                                </w:rPr>
                                <w:t xml:space="preserve"> </w:t>
                              </w:r>
                              <w:r>
                                <w:rPr>
                                  <w:rFonts w:hint="eastAsia"/>
                                  <w:b/>
                                  <w:bCs/>
                                </w:rPr>
                                <w:t>例</w:t>
                              </w:r>
                            </w:p>
                          </w:txbxContent>
                        </wps:txbx>
                        <wps:bodyPr rot="0" vert="horz" wrap="square" lIns="91440" tIns="45720" rIns="91440" bIns="45720" anchor="t" anchorCtr="0" upright="1">
                          <a:noAutofit/>
                        </wps:bodyPr>
                      </wps:wsp>
                      <wps:wsp>
                        <wps:cNvPr id="27" name="Text Box 100"/>
                        <wps:cNvSpPr txBox="1">
                          <a:spLocks noChangeArrowheads="1"/>
                        </wps:cNvSpPr>
                        <wps:spPr bwMode="auto">
                          <a:xfrm>
                            <a:off x="12660" y="9120"/>
                            <a:ext cx="1395" cy="435"/>
                          </a:xfrm>
                          <a:prstGeom prst="rect">
                            <a:avLst/>
                          </a:prstGeom>
                          <a:noFill/>
                          <a:ln>
                            <a:noFill/>
                          </a:ln>
                        </wps:spPr>
                        <wps:txbx>
                          <w:txbxContent>
                            <w:p>
                              <w:pPr>
                                <w:rPr>
                                  <w:b/>
                                  <w:bCs/>
                                </w:rPr>
                              </w:pPr>
                              <w:r>
                                <w:rPr>
                                  <w:rFonts w:hint="eastAsia"/>
                                  <w:b/>
                                  <w:bCs/>
                                </w:rPr>
                                <w:t>本项目位置</w:t>
                              </w:r>
                            </w:p>
                          </w:txbxContent>
                        </wps:txbx>
                        <wps:bodyPr rot="0" vert="horz" wrap="square" lIns="91440" tIns="45720" rIns="91440" bIns="45720" anchor="t" anchorCtr="0" upright="1">
                          <a:noAutofit/>
                        </wps:bodyPr>
                      </wps:wsp>
                      <wps:wsp>
                        <wps:cNvPr id="28" name="AutoShape 102"/>
                        <wps:cNvSpPr>
                          <a:spLocks noChangeArrowheads="1"/>
                        </wps:cNvSpPr>
                        <wps:spPr bwMode="auto">
                          <a:xfrm>
                            <a:off x="11970" y="9120"/>
                            <a:ext cx="360" cy="405"/>
                          </a:xfrm>
                          <a:prstGeom prst="star5">
                            <a:avLst/>
                          </a:prstGeom>
                          <a:solidFill>
                            <a:srgbClr val="FF0000"/>
                          </a:solidFill>
                          <a:ln w="9525">
                            <a:solidFill>
                              <a:srgbClr val="000000"/>
                            </a:solidFill>
                            <a:miter lim="800000"/>
                          </a:ln>
                        </wps:spPr>
                        <wps:bodyPr rot="0" vert="horz" wrap="square" lIns="91440" tIns="45720" rIns="91440" bIns="45720" anchor="t" anchorCtr="0" upright="1">
                          <a:noAutofit/>
                        </wps:bodyPr>
                      </wps:wsp>
                    </wpg:wgp>
                  </a:graphicData>
                </a:graphic>
              </wp:anchor>
            </w:drawing>
          </mc:Choice>
          <mc:Fallback>
            <w:pict>
              <v:group id="Group 104" o:spid="_x0000_s1026" o:spt="203" style="position:absolute;left:0pt;margin-left:523.2pt;margin-top:315.75pt;height:71.25pt;width:144.75pt;z-index:251661312;mso-width-relative:page;mso-height-relative:page;" coordorigin="11475,8370" coordsize="2895,1425" o:gfxdata="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">
                <o:lock v:ext="edit" aspectratio="f"/>
                <v:rect id="Rectangle 98" o:spid="_x0000_s1026" o:spt="1" style="position:absolute;left:11475;top:8370;height:1425;width:2895;" fillcolor="#FFFFFF" filled="t" stroked="t" coordsize="21600,21600" o:gfxdata="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h3e0vQAA&#10;ANsAAAAPAAAAAAAAAAEAIAAAACIAAABkcnMvZG93bnJldi54bWxQSwECFAAUAAAACACHTuJAMy8F&#10;njsAAAA5AAAAEAAAAAAAAAABACAAAAAMAQAAZHJzL3NoYXBleG1sLnhtbFBLBQYAAAAABgAGAFsB&#10;AAC2AwAAAAA=&#10;">
                  <v:fill on="t" focussize="0,0"/>
                  <v:stroke color="#000000" miterlimit="8" joinstyle="miter"/>
                  <v:imagedata o:title=""/>
                  <o:lock v:ext="edit" aspectratio="f"/>
                </v:rect>
                <v:shape id="Text Box 99" o:spid="_x0000_s1026" o:spt="202" type="#_x0000_t202" style="position:absolute;left:12420;top:8520;height:435;width:1170;" filled="f" stroked="f" coordsize="21600,21600" o:gfxdata="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enG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bCs/>
                          </w:rPr>
                        </w:pPr>
                        <w:r>
                          <w:rPr>
                            <w:rFonts w:hint="eastAsia"/>
                            <w:b/>
                            <w:bCs/>
                          </w:rPr>
                          <w:t xml:space="preserve">图 </w:t>
                        </w:r>
                        <w:r>
                          <w:rPr>
                            <w:b/>
                            <w:bCs/>
                          </w:rPr>
                          <w:t xml:space="preserve"> </w:t>
                        </w:r>
                        <w:r>
                          <w:rPr>
                            <w:rFonts w:hint="eastAsia"/>
                            <w:b/>
                            <w:bCs/>
                          </w:rPr>
                          <w:t>例</w:t>
                        </w:r>
                      </w:p>
                    </w:txbxContent>
                  </v:textbox>
                </v:shape>
                <v:shape id="Text Box 100" o:spid="_x0000_s1026" o:spt="202" type="#_x0000_t202" style="position:absolute;left:12660;top:9120;height:435;width:1395;"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b/>
                            <w:bCs/>
                          </w:rPr>
                        </w:pPr>
                        <w:r>
                          <w:rPr>
                            <w:rFonts w:hint="eastAsia"/>
                            <w:b/>
                            <w:bCs/>
                          </w:rPr>
                          <w:t>本项目位置</w:t>
                        </w:r>
                      </w:p>
                    </w:txbxContent>
                  </v:textbox>
                </v:shape>
                <v:shape id="AutoShape 102" o:spid="_x0000_s1026" style="position:absolute;left:11970;top:9120;height:405;width:360;" fillcolor="#FF0000" filled="t" stroked="t" coordsize="360,405" o:gfxdata="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0PjLtwAAANsAAAAP&#10;AAAAAAAAAAEAIAAAACIAAABkcnMvZG93bnJldi54bWxQSwECFAAUAAAACACHTuJAMy8FnjsAAAA5&#10;AAAAEAAAAAAAAAABACAAAAAGAQAAZHJzL3NoYXBleG1sLnhtbFBLBQYAAAAABgAGAFsBAACwAwAA&#10;AAA=&#10;" path="m0,154l137,154,180,0,222,154,359,154,248,250,291,404,180,309,68,404,111,250xe">
                  <v:path o:connectlocs="180,0;0,154;68,404;291,404;359,154" o:connectangles="247,164,82,82,0"/>
                  <v:fill on="t" focussize="0,0"/>
                  <v:stroke color="#000000" miterlimit="8" joinstyle="miter"/>
                  <v:imagedata o:title=""/>
                  <o:lock v:ext="edit" aspectratio="f"/>
                </v:shape>
              </v:group>
            </w:pict>
          </mc:Fallback>
        </mc:AlternateContent>
      </w:r>
      <w:r>
        <w:rPr>
          <w:highlight w:val="none"/>
        </w:rPr>
        <w:drawing>
          <wp:inline distT="0" distB="0" distL="114300" distR="114300">
            <wp:extent cx="8531225" cy="4919345"/>
            <wp:effectExtent l="9525" t="9525" r="12700" b="24130"/>
            <wp:docPr id="4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1"/>
                    <pic:cNvPicPr>
                      <a:picLocks noChangeAspect="1"/>
                    </pic:cNvPicPr>
                  </pic:nvPicPr>
                  <pic:blipFill>
                    <a:blip r:embed="rId38"/>
                    <a:stretch>
                      <a:fillRect/>
                    </a:stretch>
                  </pic:blipFill>
                  <pic:spPr>
                    <a:xfrm>
                      <a:off x="0" y="0"/>
                      <a:ext cx="8531225" cy="4919345"/>
                    </a:xfrm>
                    <a:prstGeom prst="rect">
                      <a:avLst/>
                    </a:prstGeom>
                    <a:noFill/>
                    <a:ln>
                      <a:solidFill>
                        <a:schemeClr val="tx1"/>
                      </a:solidFill>
                    </a:ln>
                  </pic:spPr>
                </pic:pic>
              </a:graphicData>
            </a:graphic>
          </wp:inline>
        </w:drawing>
      </w:r>
    </w:p>
    <w:p>
      <w:pPr>
        <w:pStyle w:val="27"/>
        <w:keepNext w:val="0"/>
        <w:keepLines w:val="0"/>
        <w:pageBreakBefore w:val="0"/>
        <w:widowControl/>
        <w:kinsoku/>
        <w:wordWrap/>
        <w:overflowPunct/>
        <w:topLinePunct w:val="0"/>
        <w:autoSpaceDE/>
        <w:autoSpaceDN/>
        <w:bidi w:val="0"/>
        <w:adjustRightInd/>
        <w:snapToGrid w:val="0"/>
        <w:spacing w:line="240" w:lineRule="auto"/>
        <w:ind w:right="113" w:firstLine="0" w:firstLineChars="0"/>
        <w:jc w:val="center"/>
        <w:textAlignment w:val="auto"/>
        <w:outlineLvl w:val="0"/>
        <w:rPr>
          <w:sz w:val="28"/>
          <w:szCs w:val="28"/>
          <w:highlight w:val="none"/>
        </w:rPr>
      </w:pPr>
      <w:bookmarkStart w:id="236" w:name="_Toc31012"/>
      <w:bookmarkStart w:id="237" w:name="_Toc4247"/>
      <w:r>
        <w:rPr>
          <w:rFonts w:eastAsia="黑体"/>
          <w:snapToGrid w:val="0"/>
          <w:sz w:val="28"/>
          <w:szCs w:val="28"/>
          <w:highlight w:val="none"/>
        </w:rPr>
        <w:t>附图1</w:t>
      </w:r>
      <w:r>
        <w:rPr>
          <w:rFonts w:hint="eastAsia" w:eastAsia="黑体"/>
          <w:snapToGrid w:val="0"/>
          <w:sz w:val="28"/>
          <w:szCs w:val="28"/>
          <w:highlight w:val="none"/>
        </w:rPr>
        <w:t xml:space="preserve"> 项目</w:t>
      </w:r>
      <w:r>
        <w:rPr>
          <w:rFonts w:eastAsia="黑体"/>
          <w:snapToGrid w:val="0"/>
          <w:sz w:val="28"/>
          <w:szCs w:val="28"/>
          <w:highlight w:val="none"/>
        </w:rPr>
        <w:t>地理位置图</w:t>
      </w:r>
      <w:bookmarkEnd w:id="236"/>
      <w:bookmarkEnd w:id="237"/>
    </w:p>
    <w:p>
      <w:pPr>
        <w:pStyle w:val="28"/>
        <w:rPr>
          <w:rFonts w:ascii="Times New Roman" w:hAnsi="Times New Roman" w:cs="Times New Roman"/>
          <w:b/>
          <w:sz w:val="24"/>
          <w:highlight w:val="none"/>
        </w:rPr>
      </w:pPr>
      <w:r>
        <w:rPr>
          <w:highlight w:val="none"/>
        </w:rPr>
        <mc:AlternateContent>
          <mc:Choice Requires="wps">
            <w:drawing>
              <wp:anchor distT="0" distB="0" distL="114300" distR="114300" simplePos="0" relativeHeight="251663360" behindDoc="0" locked="0" layoutInCell="1" allowOverlap="1">
                <wp:simplePos x="0" y="0"/>
                <wp:positionH relativeFrom="column">
                  <wp:posOffset>1261745</wp:posOffset>
                </wp:positionH>
                <wp:positionV relativeFrom="paragraph">
                  <wp:posOffset>1638935</wp:posOffset>
                </wp:positionV>
                <wp:extent cx="864235" cy="300355"/>
                <wp:effectExtent l="4445" t="4445" r="7620" b="781050"/>
                <wp:wrapNone/>
                <wp:docPr id="34" name="圆角矩形标注 34"/>
                <wp:cNvGraphicFramePr/>
                <a:graphic xmlns:a="http://schemas.openxmlformats.org/drawingml/2006/main">
                  <a:graphicData uri="http://schemas.microsoft.com/office/word/2010/wordprocessingShape">
                    <wps:wsp>
                      <wps:cNvSpPr/>
                      <wps:spPr>
                        <a:xfrm>
                          <a:off x="0" y="0"/>
                          <a:ext cx="864235" cy="300355"/>
                        </a:xfrm>
                        <a:prstGeom prst="wedgeRoundRectCallout">
                          <a:avLst>
                            <a:gd name="adj1" fmla="val 32954"/>
                            <a:gd name="adj2" fmla="val 295032"/>
                            <a:gd name="adj3" fmla="val 16667"/>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项目位置</w:t>
                            </w:r>
                          </w:p>
                        </w:txbxContent>
                      </wps:txbx>
                      <wps:bodyPr upright="1"/>
                    </wps:wsp>
                  </a:graphicData>
                </a:graphic>
              </wp:anchor>
            </w:drawing>
          </mc:Choice>
          <mc:Fallback>
            <w:pict>
              <v:shape id="_x0000_s1026" o:spid="_x0000_s1026" o:spt="62" type="#_x0000_t62" style="position:absolute;left:0pt;margin-left:99.35pt;margin-top:129.05pt;height:23.65pt;width:68.05pt;z-index:251663360;mso-width-relative:page;mso-height-relative:page;" fillcolor="#FFFFFF" filled="t" stroked="t" coordsize="21600,21600" o:gfxdata="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FYtI0HYAAAACwEA&#10;AA8AAAAAAAAAAQAgAAAAIgAAAGRycy9kb3ducmV2LnhtbFBLAQIUABQAAAAIAIdO4kBQPyzmUwIA&#10;AL0EAAAOAAAAAAAAAAEAIAAAACcBAABkcnMvZTJvRG9jLnhtbFBLBQYAAAAABgAGAFkBAADsBQAA&#10;AAA=&#10;" adj="17918,74527,14400">
                <v:fill on="t" focussize="0,0"/>
                <v:stroke color="#000000" joinstyle="miter"/>
                <v:imagedata o:title=""/>
                <o:lock v:ext="edit" aspectratio="f"/>
                <v:textbox>
                  <w:txbxContent>
                    <w:p>
                      <w:r>
                        <w:rPr>
                          <w:rFonts w:hint="eastAsia"/>
                        </w:rPr>
                        <w:t>项目位置</w:t>
                      </w:r>
                    </w:p>
                  </w:txbxContent>
                </v:textbox>
              </v:shape>
            </w:pict>
          </mc:Fallback>
        </mc:AlternateContent>
      </w:r>
      <w:r>
        <w:rPr>
          <w:highlight w:val="none"/>
        </w:rPr>
        <w:drawing>
          <wp:inline distT="0" distB="0" distL="114300" distR="114300">
            <wp:extent cx="7546340" cy="4801235"/>
            <wp:effectExtent l="9525" t="9525" r="26035" b="2794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39"/>
                    <a:stretch>
                      <a:fillRect/>
                    </a:stretch>
                  </pic:blipFill>
                  <pic:spPr>
                    <a:xfrm>
                      <a:off x="0" y="0"/>
                      <a:ext cx="7546340" cy="4801235"/>
                    </a:xfrm>
                    <a:prstGeom prst="rect">
                      <a:avLst/>
                    </a:prstGeom>
                    <a:noFill/>
                    <a:ln>
                      <a:solidFill>
                        <a:schemeClr val="tx1"/>
                      </a:solidFill>
                    </a:ln>
                  </pic:spPr>
                </pic:pic>
              </a:graphicData>
            </a:graphic>
          </wp:inline>
        </w:drawing>
      </w:r>
      <w:r>
        <w:rPr>
          <w:highlight w:val="none"/>
        </w:rPr>
        <mc:AlternateContent>
          <mc:Choice Requires="wps">
            <w:drawing>
              <wp:anchor distT="0" distB="0" distL="114300" distR="114300" simplePos="0" relativeHeight="251664384" behindDoc="0" locked="0" layoutInCell="1" allowOverlap="1">
                <wp:simplePos x="0" y="0"/>
                <wp:positionH relativeFrom="column">
                  <wp:posOffset>1936115</wp:posOffset>
                </wp:positionH>
                <wp:positionV relativeFrom="paragraph">
                  <wp:posOffset>2684145</wp:posOffset>
                </wp:positionV>
                <wp:extent cx="127000" cy="104140"/>
                <wp:effectExtent l="16510" t="13335" r="27940" b="15875"/>
                <wp:wrapNone/>
                <wp:docPr id="36" name="五角星 36"/>
                <wp:cNvGraphicFramePr/>
                <a:graphic xmlns:a="http://schemas.openxmlformats.org/drawingml/2006/main">
                  <a:graphicData uri="http://schemas.microsoft.com/office/word/2010/wordprocessingShape">
                    <wps:wsp>
                      <wps:cNvSpPr/>
                      <wps:spPr>
                        <a:xfrm>
                          <a:off x="0" y="0"/>
                          <a:ext cx="127000" cy="104140"/>
                        </a:xfrm>
                        <a:prstGeom prst="star5">
                          <a:avLst/>
                        </a:prstGeom>
                        <a:solidFill>
                          <a:srgbClr val="FF0000"/>
                        </a:solidFill>
                        <a:ln w="952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style="position:absolute;left:0pt;margin-left:152.45pt;margin-top:211.35pt;height:8.2pt;width:10pt;z-index:251664384;mso-width-relative:page;mso-height-relative:page;" fillcolor="#FF0000" filled="t" stroked="t" coordsize="127000,104140" o:gfxdata="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PT3hm9sAAAALAQAADwAAAAAAAAABACAAAAAiAAAA&#10;ZHJzL2Rvd25yZXYueG1sUEsBAhQAFAAAAAgAh07iQBGO+FEEAgAAIwQAAA4AAAAAAAAAAQAgAAAA&#10;KgEAAGRycy9lMm9Eb2MueG1sUEsFBgAAAAAGAAYAWQEAAKAFAAAAAA==&#10;" path="m0,39777l48509,39778,63500,0,78490,39778,126999,39777,87754,64361,102745,104139,63500,79555,24254,104139,39245,64361xe">
                <v:path o:connectlocs="63500,0;0,39777;24254,104139;102745,104139;126999,39777" o:connectangles="247,164,82,82,0"/>
                <v:fill on="t" focussize="0,0"/>
                <v:stroke color="#000000" joinstyle="miter"/>
                <v:imagedata o:title=""/>
                <o:lock v:ext="edit" aspectratio="f"/>
              </v:shape>
            </w:pict>
          </mc:Fallback>
        </mc:AlternateContent>
      </w:r>
      <w:r>
        <w:rPr>
          <w:highlight w:val="none"/>
        </w:rPr>
        <w:drawing>
          <wp:anchor distT="0" distB="0" distL="114300" distR="114300" simplePos="0" relativeHeight="251662336" behindDoc="0" locked="0" layoutInCell="1" allowOverlap="1">
            <wp:simplePos x="0" y="0"/>
            <wp:positionH relativeFrom="column">
              <wp:posOffset>6848475</wp:posOffset>
            </wp:positionH>
            <wp:positionV relativeFrom="paragraph">
              <wp:posOffset>214630</wp:posOffset>
            </wp:positionV>
            <wp:extent cx="1212850" cy="4577080"/>
            <wp:effectExtent l="0" t="0" r="6350" b="13970"/>
            <wp:wrapNone/>
            <wp:docPr id="11"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4"/>
                    <pic:cNvPicPr>
                      <a:picLocks noChangeAspect="1"/>
                    </pic:cNvPicPr>
                  </pic:nvPicPr>
                  <pic:blipFill>
                    <a:blip r:embed="rId40"/>
                    <a:stretch>
                      <a:fillRect/>
                    </a:stretch>
                  </pic:blipFill>
                  <pic:spPr>
                    <a:xfrm>
                      <a:off x="0" y="0"/>
                      <a:ext cx="1212850" cy="4577080"/>
                    </a:xfrm>
                    <a:prstGeom prst="rect">
                      <a:avLst/>
                    </a:prstGeom>
                    <a:noFill/>
                    <a:ln>
                      <a:noFill/>
                    </a:ln>
                  </pic:spPr>
                </pic:pic>
              </a:graphicData>
            </a:graphic>
          </wp:anchor>
        </w:drawing>
      </w:r>
    </w:p>
    <w:p>
      <w:pPr>
        <w:pStyle w:val="27"/>
        <w:ind w:firstLine="241"/>
        <w:jc w:val="center"/>
        <w:outlineLvl w:val="0"/>
        <w:rPr>
          <w:highlight w:val="none"/>
        </w:rPr>
        <w:sectPr>
          <w:footerReference r:id="rId8" w:type="default"/>
          <w:pgSz w:w="16838" w:h="11906" w:orient="landscape"/>
          <w:pgMar w:top="1531" w:right="1701" w:bottom="1531" w:left="1701" w:header="851" w:footer="851" w:gutter="0"/>
          <w:pgNumType w:fmt="decimal"/>
          <w:cols w:space="720" w:num="1"/>
          <w:docGrid w:linePitch="312" w:charSpace="0"/>
        </w:sectPr>
      </w:pPr>
      <w:bookmarkStart w:id="238" w:name="_Toc9529"/>
      <w:bookmarkStart w:id="239" w:name="_Toc24088"/>
      <w:bookmarkStart w:id="240" w:name="_Toc7054"/>
      <w:r>
        <w:rPr>
          <w:rFonts w:hint="eastAsia"/>
          <w:b/>
          <w:bCs/>
          <w:sz w:val="24"/>
          <w:szCs w:val="24"/>
          <w:highlight w:val="none"/>
        </w:rPr>
        <w:t xml:space="preserve">附图2 </w:t>
      </w:r>
      <w:r>
        <w:rPr>
          <w:b/>
          <w:bCs/>
          <w:sz w:val="24"/>
          <w:szCs w:val="24"/>
          <w:highlight w:val="none"/>
        </w:rPr>
        <w:t>双鸭山市环境管控单元分布图</w:t>
      </w:r>
      <w:bookmarkEnd w:id="238"/>
      <w:bookmarkEnd w:id="239"/>
      <w:bookmarkEnd w:id="240"/>
    </w:p>
    <w:p>
      <w:pPr>
        <w:rPr>
          <w:rFonts w:ascii="宋体" w:hAnsi="宋体"/>
          <w:kern w:val="0"/>
          <w:sz w:val="24"/>
          <w:highlight w:val="none"/>
        </w:rPr>
      </w:pPr>
      <w:r>
        <w:rPr>
          <w:highlight w:val="none"/>
        </w:rPr>
        <mc:AlternateContent>
          <mc:Choice Requires="wps">
            <w:drawing>
              <wp:anchor distT="0" distB="0" distL="114300" distR="114300" simplePos="0" relativeHeight="251683840" behindDoc="0" locked="0" layoutInCell="1" allowOverlap="1">
                <wp:simplePos x="0" y="0"/>
                <wp:positionH relativeFrom="column">
                  <wp:posOffset>1063625</wp:posOffset>
                </wp:positionH>
                <wp:positionV relativeFrom="paragraph">
                  <wp:posOffset>2748280</wp:posOffset>
                </wp:positionV>
                <wp:extent cx="1120775" cy="328930"/>
                <wp:effectExtent l="0" t="0" r="0" b="0"/>
                <wp:wrapNone/>
                <wp:docPr id="70" name="矩形 70"/>
                <wp:cNvGraphicFramePr/>
                <a:graphic xmlns:a="http://schemas.openxmlformats.org/drawingml/2006/main">
                  <a:graphicData uri="http://schemas.microsoft.com/office/word/2010/wordprocessingShape">
                    <wps:wsp>
                      <wps:cNvSpPr/>
                      <wps:spPr>
                        <a:xfrm rot="20940000">
                          <a:off x="0" y="0"/>
                          <a:ext cx="1120775"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eastAsia" w:eastAsia="宋体"/>
                                <w:b/>
                                <w:bCs/>
                                <w:color w:val="FF0000"/>
                                <w:lang w:val="en-US" w:eastAsia="zh-CN"/>
                              </w:rPr>
                            </w:pPr>
                            <w:r>
                              <w:rPr>
                                <w:rFonts w:hint="eastAsia"/>
                                <w:b/>
                                <w:bCs/>
                                <w:color w:val="FF0000"/>
                                <w:lang w:val="en-US" w:eastAsia="zh-CN"/>
                              </w:rPr>
                              <w:t>原料库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3.75pt;margin-top:216.4pt;height:25.9pt;width:88.25pt;rotation:-720896f;z-index:251683840;v-text-anchor:middle;mso-width-relative:page;mso-height-relative:page;" filled="f" stroked="f" coordsize="21600,21600" o:gfxdata="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EFLU7/bAAAACwEAAA8AAAAAAAAAAQAgAAAAIgAAAGRycy9kb3ducmV2Lnht&#10;bFBLAQIUABQAAAAIAIdO4kBy7xmtaAIAAL4EAAAOAAAAAAAAAAEAIAAAACoBAABkcnMvZTJvRG9j&#10;LnhtbFBLBQYAAAAABgAGAFkBAAAEBgAAAAA=&#10;">
                <v:fill on="f" focussize="0,0"/>
                <v:stroke on="f" weight="1pt" miterlimit="8" joinstyle="miter"/>
                <v:imagedata o:title=""/>
                <o:lock v:ext="edit" aspectratio="f"/>
                <v:textbox>
                  <w:txbxContent>
                    <w:p>
                      <w:pPr>
                        <w:jc w:val="center"/>
                        <w:rPr>
                          <w:rFonts w:hint="eastAsia" w:eastAsia="宋体"/>
                          <w:b/>
                          <w:bCs/>
                          <w:color w:val="FF0000"/>
                          <w:lang w:val="en-US" w:eastAsia="zh-CN"/>
                        </w:rPr>
                      </w:pPr>
                      <w:r>
                        <w:rPr>
                          <w:rFonts w:hint="eastAsia"/>
                          <w:b/>
                          <w:bCs/>
                          <w:color w:val="FF0000"/>
                          <w:lang w:val="en-US" w:eastAsia="zh-CN"/>
                        </w:rPr>
                        <w:t>原料库</w:t>
                      </w:r>
                    </w:p>
                  </w:txbxContent>
                </v:textbox>
              </v:rect>
            </w:pict>
          </mc:Fallback>
        </mc:AlternateContent>
      </w:r>
      <w:r>
        <w:rPr>
          <w:sz w:val="21"/>
          <w:highlight w:val="none"/>
        </w:rPr>
        <mc:AlternateContent>
          <mc:Choice Requires="wps">
            <w:drawing>
              <wp:anchor distT="0" distB="0" distL="114300" distR="114300" simplePos="0" relativeHeight="251682816" behindDoc="0" locked="0" layoutInCell="1" allowOverlap="1">
                <wp:simplePos x="0" y="0"/>
                <wp:positionH relativeFrom="column">
                  <wp:posOffset>939800</wp:posOffset>
                </wp:positionH>
                <wp:positionV relativeFrom="paragraph">
                  <wp:posOffset>2168525</wp:posOffset>
                </wp:positionV>
                <wp:extent cx="1342390" cy="1341120"/>
                <wp:effectExtent l="6350" t="1270" r="22860" b="10160"/>
                <wp:wrapNone/>
                <wp:docPr id="69" name="任意多边形 69"/>
                <wp:cNvGraphicFramePr/>
                <a:graphic xmlns:a="http://schemas.openxmlformats.org/drawingml/2006/main">
                  <a:graphicData uri="http://schemas.microsoft.com/office/word/2010/wordprocessingShape">
                    <wps:wsp>
                      <wps:cNvSpPr/>
                      <wps:spPr>
                        <a:xfrm>
                          <a:off x="1911985" y="3248660"/>
                          <a:ext cx="1342390" cy="1341120"/>
                        </a:xfrm>
                        <a:custGeom>
                          <a:avLst/>
                          <a:gdLst>
                            <a:gd name="connisteX0" fmla="*/ 0 w 1342390"/>
                            <a:gd name="connsiteY0" fmla="*/ 215900 h 1341120"/>
                            <a:gd name="connisteX1" fmla="*/ 156210 w 1342390"/>
                            <a:gd name="connsiteY1" fmla="*/ 1315085 h 1341120"/>
                            <a:gd name="connisteX2" fmla="*/ 1342390 w 1342390"/>
                            <a:gd name="connsiteY2" fmla="*/ 1341120 h 1341120"/>
                            <a:gd name="connisteX3" fmla="*/ 1099820 w 1342390"/>
                            <a:gd name="connsiteY3" fmla="*/ 0 h 1341120"/>
                          </a:gdLst>
                          <a:ahLst/>
                          <a:cxnLst>
                            <a:cxn ang="0">
                              <a:pos x="connisteX0" y="connsiteY0"/>
                            </a:cxn>
                            <a:cxn ang="0">
                              <a:pos x="connisteX1" y="connsiteY1"/>
                            </a:cxn>
                            <a:cxn ang="0">
                              <a:pos x="connisteX2" y="connsiteY2"/>
                            </a:cxn>
                            <a:cxn ang="0">
                              <a:pos x="connisteX3" y="connsiteY3"/>
                            </a:cxn>
                          </a:cxnLst>
                          <a:rect l="l" t="t" r="r" b="b"/>
                          <a:pathLst>
                            <a:path w="1342390" h="1341120">
                              <a:moveTo>
                                <a:pt x="0" y="215900"/>
                              </a:moveTo>
                              <a:lnTo>
                                <a:pt x="156210" y="1315085"/>
                              </a:lnTo>
                              <a:lnTo>
                                <a:pt x="1342390" y="1341120"/>
                              </a:lnTo>
                              <a:lnTo>
                                <a:pt x="1099820" y="0"/>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74pt;margin-top:170.75pt;height:105.6pt;width:105.7pt;z-index:251682816;mso-width-relative:page;mso-height-relative:page;" filled="f" stroked="t" coordsize="1342390,1341120" o:gfxdata="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" path="m0,215900l156210,1315085,1342390,1341120,1099820,0e">
                <v:path o:connectlocs="0,215900;156210,1315085;1342390,1341120;1099820,0" o:connectangles="0,0,0,0"/>
                <v:fill on="f" focussize="0,0"/>
                <v:stroke weight="1pt" color="#FF0000 [2404]" miterlimit="8" joinstyle="miter"/>
                <v:imagedata o:title=""/>
                <o:lock v:ext="edit" aspectratio="f"/>
              </v:shape>
            </w:pict>
          </mc:Fallback>
        </mc:AlternateContent>
      </w:r>
      <w:r>
        <w:rPr>
          <w:highlight w:val="none"/>
        </w:rPr>
        <mc:AlternateContent>
          <mc:Choice Requires="wps">
            <w:drawing>
              <wp:anchor distT="0" distB="0" distL="114300" distR="114300" simplePos="0" relativeHeight="251667456" behindDoc="0" locked="0" layoutInCell="1" allowOverlap="1">
                <wp:simplePos x="0" y="0"/>
                <wp:positionH relativeFrom="column">
                  <wp:posOffset>824865</wp:posOffset>
                </wp:positionH>
                <wp:positionV relativeFrom="paragraph">
                  <wp:posOffset>1660525</wp:posOffset>
                </wp:positionV>
                <wp:extent cx="1120775" cy="328930"/>
                <wp:effectExtent l="0" t="0" r="0" b="0"/>
                <wp:wrapNone/>
                <wp:docPr id="62" name="矩形 62"/>
                <wp:cNvGraphicFramePr/>
                <a:graphic xmlns:a="http://schemas.openxmlformats.org/drawingml/2006/main">
                  <a:graphicData uri="http://schemas.microsoft.com/office/word/2010/wordprocessingShape">
                    <wps:wsp>
                      <wps:cNvSpPr/>
                      <wps:spPr>
                        <a:xfrm rot="20940000">
                          <a:off x="0" y="0"/>
                          <a:ext cx="1120775"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冷库</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95pt;margin-top:130.75pt;height:25.9pt;width:88.25pt;rotation:-720896f;z-index:251667456;v-text-anchor:middle;mso-width-relative:page;mso-height-relative:page;" filled="f" stroked="f" coordsize="21600,21600" o:gfxdata="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r0QzA2wAAAAsBAAAPAAAAAAAAAAEAIAAAACIAAABkcnMvZG93bnJldi54&#10;bWxQSwECFAAUAAAACACHTuJApa6OiGkCAAC+BAAADgAAAAAAAAABACAAAAAqAQAAZHJzL2Uyb0Rv&#10;Yy54bWxQSwUGAAAAAAYABgBZAQAABQYAAAAA&#10;">
                <v:fill on="f" focussize="0,0"/>
                <v:stroke on="f" weight="1pt" miterlimit="8" joinstyle="miter"/>
                <v:imagedata o:title=""/>
                <o:lock v:ext="edit" aspectratio="f"/>
                <v:textbox>
                  <w:txbxContent>
                    <w:p>
                      <w:pPr>
                        <w:jc w:val="center"/>
                        <w:rPr>
                          <w:b/>
                          <w:bCs/>
                          <w:color w:val="FF0000"/>
                        </w:rPr>
                      </w:pPr>
                      <w:r>
                        <w:rPr>
                          <w:rFonts w:hint="eastAsia"/>
                          <w:b/>
                          <w:bCs/>
                          <w:color w:val="FF0000"/>
                        </w:rPr>
                        <w:t>冷库</w:t>
                      </w:r>
                    </w:p>
                  </w:txbxContent>
                </v:textbox>
              </v:rect>
            </w:pict>
          </mc:Fallback>
        </mc:AlternateContent>
      </w:r>
      <w:r>
        <w:rPr>
          <w:sz w:val="21"/>
          <w:highlight w:val="none"/>
        </w:rPr>
        <mc:AlternateContent>
          <mc:Choice Requires="wps">
            <w:drawing>
              <wp:anchor distT="0" distB="0" distL="114300" distR="114300" simplePos="0" relativeHeight="251681792" behindDoc="0" locked="0" layoutInCell="1" allowOverlap="1">
                <wp:simplePos x="0" y="0"/>
                <wp:positionH relativeFrom="column">
                  <wp:posOffset>843280</wp:posOffset>
                </wp:positionH>
                <wp:positionV relativeFrom="paragraph">
                  <wp:posOffset>1420495</wp:posOffset>
                </wp:positionV>
                <wp:extent cx="1116965" cy="866140"/>
                <wp:effectExtent l="74295" t="97790" r="85090" b="102870"/>
                <wp:wrapNone/>
                <wp:docPr id="67" name="矩形 67"/>
                <wp:cNvGraphicFramePr/>
                <a:graphic xmlns:a="http://schemas.openxmlformats.org/drawingml/2006/main">
                  <a:graphicData uri="http://schemas.microsoft.com/office/word/2010/wordprocessingShape">
                    <wps:wsp>
                      <wps:cNvSpPr/>
                      <wps:spPr>
                        <a:xfrm rot="21000000">
                          <a:off x="1730375" y="2616200"/>
                          <a:ext cx="1116965" cy="86614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4pt;margin-top:111.85pt;height:68.2pt;width:87.95pt;rotation:-655360f;z-index:251681792;v-text-anchor:middle;mso-width-relative:page;mso-height-relative:page;" filled="f" stroked="t" coordsize="21600,21600" o:gfxdata="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ujfQ8dcAAAALAQAADwAAAAAAAAABACAAAAAi&#10;AAAAZHJzL2Rvd25yZXYueG1sUEsBAhQAFAAAAAgAh07iQGEnrdB9AgAA6AQAAA4AAAAAAAAAAQAg&#10;AAAAJgEAAGRycy9lMm9Eb2MueG1sUEsFBgAAAAAGAAYAWQEAABUGAAAAAA==&#10;">
                <v:fill on="f" focussize="0,0"/>
                <v:stroke weight="1pt" color="#FF0000 [2404]" miterlimit="8" joinstyle="miter"/>
                <v:imagedata o:title=""/>
                <o:lock v:ext="edit" aspectratio="f"/>
              </v:rect>
            </w:pict>
          </mc:Fallback>
        </mc:AlternateContent>
      </w:r>
      <w:r>
        <w:rPr>
          <w:highlight w:val="none"/>
        </w:rPr>
        <mc:AlternateContent>
          <mc:Choice Requires="wps">
            <w:drawing>
              <wp:anchor distT="0" distB="0" distL="114300" distR="114300" simplePos="0" relativeHeight="251666432" behindDoc="0" locked="0" layoutInCell="1" allowOverlap="1">
                <wp:simplePos x="0" y="0"/>
                <wp:positionH relativeFrom="column">
                  <wp:posOffset>1783715</wp:posOffset>
                </wp:positionH>
                <wp:positionV relativeFrom="paragraph">
                  <wp:posOffset>1326515</wp:posOffset>
                </wp:positionV>
                <wp:extent cx="1120775" cy="328930"/>
                <wp:effectExtent l="0" t="0" r="0" b="0"/>
                <wp:wrapNone/>
                <wp:docPr id="61" name="矩形 61"/>
                <wp:cNvGraphicFramePr/>
                <a:graphic xmlns:a="http://schemas.openxmlformats.org/drawingml/2006/main">
                  <a:graphicData uri="http://schemas.microsoft.com/office/word/2010/wordprocessingShape">
                    <wps:wsp>
                      <wps:cNvSpPr/>
                      <wps:spPr>
                        <a:xfrm rot="21120000">
                          <a:off x="2962910" y="3249930"/>
                          <a:ext cx="1120775"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办公室</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40.45pt;margin-top:104.45pt;height:25.9pt;width:88.25pt;rotation:-524288f;z-index:251666432;v-text-anchor:middle;mso-width-relative:page;mso-height-relative:page;" filled="f" stroked="f" coordsize="21600,21600" o:gfxdata="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4jLTvtgAAAALAQAADwAAAAAAAAABACAAAAAiAAAAZHJzL2Rv&#10;d25yZXYueG1sUEsBAhQAFAAAAAgAh07iQAN0I8NzAgAAygQAAA4AAAAAAAAAAQAgAAAAJwEAAGRy&#10;cy9lMm9Eb2MueG1sUEsFBgAAAAAGAAYAWQEAAAwGAAAAAA==&#10;">
                <v:fill on="f" focussize="0,0"/>
                <v:stroke on="f" weight="1pt" miterlimit="8" joinstyle="miter"/>
                <v:imagedata o:title=""/>
                <o:lock v:ext="edit" aspectratio="f"/>
                <v:textbox>
                  <w:txbxContent>
                    <w:p>
                      <w:pPr>
                        <w:jc w:val="center"/>
                        <w:rPr>
                          <w:b/>
                          <w:bCs/>
                          <w:color w:val="FF0000"/>
                        </w:rPr>
                      </w:pPr>
                      <w:r>
                        <w:rPr>
                          <w:rFonts w:hint="eastAsia"/>
                          <w:b/>
                          <w:bCs/>
                          <w:color w:val="FF0000"/>
                        </w:rPr>
                        <w:t>办公室</w:t>
                      </w:r>
                    </w:p>
                  </w:txbxContent>
                </v:textbox>
              </v:rect>
            </w:pict>
          </mc:Fallback>
        </mc:AlternateContent>
      </w:r>
      <w:r>
        <w:rPr>
          <w:sz w:val="21"/>
          <w:highlight w:val="none"/>
        </w:rPr>
        <mc:AlternateContent>
          <mc:Choice Requires="wps">
            <w:drawing>
              <wp:anchor distT="0" distB="0" distL="114300" distR="114300" simplePos="0" relativeHeight="251679744" behindDoc="0" locked="0" layoutInCell="1" allowOverlap="1">
                <wp:simplePos x="0" y="0"/>
                <wp:positionH relativeFrom="column">
                  <wp:posOffset>1916430</wp:posOffset>
                </wp:positionH>
                <wp:positionV relativeFrom="paragraph">
                  <wp:posOffset>1289685</wp:posOffset>
                </wp:positionV>
                <wp:extent cx="685800" cy="389255"/>
                <wp:effectExtent l="40640" t="74295" r="54610" b="88900"/>
                <wp:wrapNone/>
                <wp:docPr id="65" name="矩形 65"/>
                <wp:cNvGraphicFramePr/>
                <a:graphic xmlns:a="http://schemas.openxmlformats.org/drawingml/2006/main">
                  <a:graphicData uri="http://schemas.microsoft.com/office/word/2010/wordprocessingShape">
                    <wps:wsp>
                      <wps:cNvSpPr/>
                      <wps:spPr>
                        <a:xfrm rot="20880000">
                          <a:off x="3133090" y="2425700"/>
                          <a:ext cx="685800" cy="38925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0.9pt;margin-top:101.55pt;height:30.65pt;width:54pt;rotation:-786432f;z-index:251679744;v-text-anchor:middle;mso-width-relative:page;mso-height-relative:page;" filled="f" stroked="t" coordsize="21600,21600" o:gfxdata="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B3KUz+2AAAAAsBAAAPAAAAAAAAAAEAIAAA&#10;ACIAAABkcnMvZG93bnJldi54bWxQSwECFAAUAAAACACHTuJAmryufH4CAADnBAAADgAAAAAAAAAB&#10;ACAAAAAnAQAAZHJzL2Uyb0RvYy54bWxQSwUGAAAAAAYABgBZAQAAFwYAAAAA&#10;">
                <v:fill on="f" focussize="0,0"/>
                <v:stroke weight="1pt" color="#FF0000 [2404]"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80768" behindDoc="0" locked="0" layoutInCell="1" allowOverlap="1">
                <wp:simplePos x="0" y="0"/>
                <wp:positionH relativeFrom="column">
                  <wp:posOffset>1990090</wp:posOffset>
                </wp:positionH>
                <wp:positionV relativeFrom="paragraph">
                  <wp:posOffset>1685925</wp:posOffset>
                </wp:positionV>
                <wp:extent cx="732790" cy="441325"/>
                <wp:effectExtent l="40005" t="67945" r="46355" b="81280"/>
                <wp:wrapNone/>
                <wp:docPr id="66" name="矩形 66"/>
                <wp:cNvGraphicFramePr/>
                <a:graphic xmlns:a="http://schemas.openxmlformats.org/drawingml/2006/main">
                  <a:graphicData uri="http://schemas.microsoft.com/office/word/2010/wordprocessingShape">
                    <wps:wsp>
                      <wps:cNvSpPr/>
                      <wps:spPr>
                        <a:xfrm rot="21000000">
                          <a:off x="2942590" y="2815590"/>
                          <a:ext cx="732790" cy="44132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6.7pt;margin-top:132.75pt;height:34.75pt;width:57.7pt;rotation:-655360f;z-index:251680768;v-text-anchor:middle;mso-width-relative:page;mso-height-relative:page;" filled="f" stroked="t" coordsize="21600,21600" o:gfxdata="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L2VfcLYAAAACwEAAA8AAAAAAAAAAQAgAAAAIgAA&#10;AGRycy9kb3ducmV2LnhtbFBLAQIUABQAAAAIAIdO4kAL5OP8egIAAOcEAAAOAAAAAAAAAAEAIAAA&#10;ACcBAABkcnMvZTJvRG9jLnhtbFBLBQYAAAAABgAGAFkBAAATBgAAAAA=&#10;">
                <v:fill on="f" focussize="0,0"/>
                <v:stroke weight="1pt" color="#FF0000 [2404]" miterlimit="8" joinstyle="miter"/>
                <v:imagedata o:title=""/>
                <o:lock v:ext="edit" aspectratio="f"/>
              </v:rect>
            </w:pict>
          </mc:Fallback>
        </mc:AlternateContent>
      </w:r>
      <w:r>
        <w:rPr>
          <w:sz w:val="21"/>
          <w:highlight w:val="none"/>
        </w:rPr>
        <mc:AlternateContent>
          <mc:Choice Requires="wps">
            <w:drawing>
              <wp:anchor distT="0" distB="0" distL="114300" distR="114300" simplePos="0" relativeHeight="251678720" behindDoc="0" locked="0" layoutInCell="1" allowOverlap="1">
                <wp:simplePos x="0" y="0"/>
                <wp:positionH relativeFrom="column">
                  <wp:posOffset>2585085</wp:posOffset>
                </wp:positionH>
                <wp:positionV relativeFrom="paragraph">
                  <wp:posOffset>1250315</wp:posOffset>
                </wp:positionV>
                <wp:extent cx="588645" cy="744220"/>
                <wp:effectExtent l="6350" t="1270" r="14605" b="16510"/>
                <wp:wrapNone/>
                <wp:docPr id="58" name="任意多边形 58"/>
                <wp:cNvGraphicFramePr/>
                <a:graphic xmlns:a="http://schemas.openxmlformats.org/drawingml/2006/main">
                  <a:graphicData uri="http://schemas.microsoft.com/office/word/2010/wordprocessingShape">
                    <wps:wsp>
                      <wps:cNvSpPr/>
                      <wps:spPr>
                        <a:xfrm>
                          <a:off x="3557270" y="2330450"/>
                          <a:ext cx="588645" cy="744220"/>
                        </a:xfrm>
                        <a:custGeom>
                          <a:avLst/>
                          <a:gdLst>
                            <a:gd name="connisteX0" fmla="*/ 0 w 588645"/>
                            <a:gd name="connsiteY0" fmla="*/ 0 h 744220"/>
                            <a:gd name="connisteX1" fmla="*/ 147320 w 588645"/>
                            <a:gd name="connsiteY1" fmla="*/ 744220 h 744220"/>
                            <a:gd name="connisteX2" fmla="*/ 588645 w 588645"/>
                            <a:gd name="connsiteY2" fmla="*/ 657860 h 744220"/>
                          </a:gdLst>
                          <a:ahLst/>
                          <a:cxnLst>
                            <a:cxn ang="0">
                              <a:pos x="connisteX0" y="connsiteY0"/>
                            </a:cxn>
                            <a:cxn ang="0">
                              <a:pos x="connisteX1" y="connsiteY1"/>
                            </a:cxn>
                            <a:cxn ang="0">
                              <a:pos x="connisteX2" y="connsiteY2"/>
                            </a:cxn>
                          </a:cxnLst>
                          <a:rect l="l" t="t" r="r" b="b"/>
                          <a:pathLst>
                            <a:path w="588645" h="744220">
                              <a:moveTo>
                                <a:pt x="0" y="0"/>
                              </a:moveTo>
                              <a:lnTo>
                                <a:pt x="147320" y="744220"/>
                              </a:lnTo>
                              <a:lnTo>
                                <a:pt x="588645" y="657860"/>
                              </a:lnTo>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203.55pt;margin-top:98.45pt;height:58.6pt;width:46.35pt;z-index:251678720;mso-width-relative:page;mso-height-relative:page;" filled="f" stroked="t" coordsize="588645,744220" o:gfxdata="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DTDfTDYAAAACwEAAA8AAAAAAAAAAQAgAAAAIgAAAGRycy9kb3ducmV2LnhtbFBLAQIUABQA&#10;AAAIAIdO4kDfPuI41AIAAKwGAAAOAAAAAAAAAAEAIAAAACcBAABkcnMvZTJvRG9jLnhtbFBLBQYA&#10;AAAABgAGAFkBAABtBgAAAAA=&#10;" path="m0,0l147320,744220,588645,657860e">
                <v:path o:connectlocs="0,0;147320,744220;588645,657860" o:connectangles="0,0,0"/>
                <v:fill on="f" focussize="0,0"/>
                <v:stroke weight="1pt" color="#FF0000 [2404]" miterlimit="8" joinstyle="miter"/>
                <v:imagedata o:title=""/>
                <o:lock v:ext="edit" aspectratio="f"/>
              </v:shape>
            </w:pict>
          </mc:Fallback>
        </mc:AlternateContent>
      </w:r>
      <w:r>
        <w:rPr>
          <w:sz w:val="21"/>
          <w:highlight w:val="none"/>
        </w:rPr>
        <mc:AlternateContent>
          <mc:Choice Requires="wps">
            <w:drawing>
              <wp:anchor distT="0" distB="0" distL="114300" distR="114300" simplePos="0" relativeHeight="251677696" behindDoc="0" locked="0" layoutInCell="1" allowOverlap="1">
                <wp:simplePos x="0" y="0"/>
                <wp:positionH relativeFrom="column">
                  <wp:posOffset>749300</wp:posOffset>
                </wp:positionH>
                <wp:positionV relativeFrom="paragraph">
                  <wp:posOffset>1137285</wp:posOffset>
                </wp:positionV>
                <wp:extent cx="2857500" cy="2467610"/>
                <wp:effectExtent l="7620" t="6985" r="11430" b="20955"/>
                <wp:wrapNone/>
                <wp:docPr id="57" name="任意多边形 57"/>
                <wp:cNvGraphicFramePr/>
                <a:graphic xmlns:a="http://schemas.openxmlformats.org/drawingml/2006/main">
                  <a:graphicData uri="http://schemas.microsoft.com/office/word/2010/wordprocessingShape">
                    <wps:wsp>
                      <wps:cNvSpPr/>
                      <wps:spPr>
                        <a:xfrm>
                          <a:off x="1721485" y="2217420"/>
                          <a:ext cx="2857500" cy="2467610"/>
                        </a:xfrm>
                        <a:custGeom>
                          <a:avLst/>
                          <a:gdLst>
                            <a:gd name="connisteX0" fmla="*/ 0 w 2857500"/>
                            <a:gd name="connsiteY0" fmla="*/ 363855 h 2467610"/>
                            <a:gd name="connisteX1" fmla="*/ 346710 w 2857500"/>
                            <a:gd name="connsiteY1" fmla="*/ 2372360 h 2467610"/>
                            <a:gd name="connisteX2" fmla="*/ 2857500 w 2857500"/>
                            <a:gd name="connsiteY2" fmla="*/ 2467610 h 2467610"/>
                            <a:gd name="connisteX3" fmla="*/ 2233930 w 2857500"/>
                            <a:gd name="connsiteY3" fmla="*/ 0 h 2467610"/>
                            <a:gd name="connisteX4" fmla="*/ 0 w 2857500"/>
                            <a:gd name="connsiteY4" fmla="*/ 363855 h 246761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857500" h="2467610">
                              <a:moveTo>
                                <a:pt x="0" y="363855"/>
                              </a:moveTo>
                              <a:lnTo>
                                <a:pt x="346710" y="2372360"/>
                              </a:lnTo>
                              <a:lnTo>
                                <a:pt x="2857500" y="2467610"/>
                              </a:lnTo>
                              <a:lnTo>
                                <a:pt x="2233930" y="0"/>
                              </a:lnTo>
                              <a:lnTo>
                                <a:pt x="0" y="363855"/>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a:graphicData>
                </a:graphic>
              </wp:anchor>
            </w:drawing>
          </mc:Choice>
          <mc:Fallback>
            <w:pict>
              <v:shape id="_x0000_s1026" o:spid="_x0000_s1026" o:spt="100" style="position:absolute;left:0pt;margin-left:59pt;margin-top:89.55pt;height:194.3pt;width:225pt;z-index:251677696;mso-width-relative:page;mso-height-relative:page;" filled="f" stroked="t" coordsize="2857500,2467610" o:gfxdata="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" path="m0,363855l346710,2372360,2857500,2467610,2233930,0,0,363855xe">
                <v:path o:connectlocs="0,363855;346710,2372360;2857500,2467610;2233930,0;0,363855" o:connectangles="0,0,0,0,0"/>
                <v:fill on="f" focussize="0,0"/>
                <v:stroke weight="1pt" color="#FF0000 [2404]" miterlimit="8" joinstyle="miter"/>
                <v:imagedata o:title=""/>
                <o:lock v:ext="edit" aspectratio="f"/>
              </v:shape>
            </w:pict>
          </mc:Fallback>
        </mc:AlternateContent>
      </w:r>
      <w:r>
        <w:rPr>
          <w:highlight w:val="none"/>
        </w:rPr>
        <w:drawing>
          <wp:inline distT="0" distB="0" distL="114300" distR="114300">
            <wp:extent cx="5614035" cy="4598035"/>
            <wp:effectExtent l="9525" t="9525" r="15240" b="2159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41"/>
                    <a:stretch>
                      <a:fillRect/>
                    </a:stretch>
                  </pic:blipFill>
                  <pic:spPr>
                    <a:xfrm>
                      <a:off x="0" y="0"/>
                      <a:ext cx="5614035" cy="4598035"/>
                    </a:xfrm>
                    <a:prstGeom prst="rect">
                      <a:avLst/>
                    </a:prstGeom>
                    <a:noFill/>
                    <a:ln>
                      <a:solidFill>
                        <a:schemeClr val="tx1"/>
                      </a:solidFill>
                    </a:ln>
                  </pic:spPr>
                </pic:pic>
              </a:graphicData>
            </a:graphic>
          </wp:inline>
        </w:drawing>
      </w:r>
      <w:r>
        <w:rPr>
          <w:highlight w:val="none"/>
        </w:rPr>
        <mc:AlternateContent>
          <mc:Choice Requires="wps">
            <w:drawing>
              <wp:anchor distT="0" distB="0" distL="114300" distR="114300" simplePos="0" relativeHeight="251675648" behindDoc="0" locked="0" layoutInCell="1" allowOverlap="1">
                <wp:simplePos x="0" y="0"/>
                <wp:positionH relativeFrom="column">
                  <wp:posOffset>3030220</wp:posOffset>
                </wp:positionH>
                <wp:positionV relativeFrom="paragraph">
                  <wp:posOffset>1109980</wp:posOffset>
                </wp:positionV>
                <wp:extent cx="504825" cy="314325"/>
                <wp:effectExtent l="6350" t="6350" r="22225" b="22225"/>
                <wp:wrapNone/>
                <wp:docPr id="6" name="矩形 6"/>
                <wp:cNvGraphicFramePr/>
                <a:graphic xmlns:a="http://schemas.openxmlformats.org/drawingml/2006/main">
                  <a:graphicData uri="http://schemas.microsoft.com/office/word/2010/wordprocessingShape">
                    <wps:wsp>
                      <wps:cNvSpPr/>
                      <wps:spPr>
                        <a:xfrm>
                          <a:off x="4002405" y="2190115"/>
                          <a:ext cx="504825" cy="314325"/>
                        </a:xfrm>
                        <a:prstGeom prst="rect">
                          <a:avLst/>
                        </a:prstGeom>
                      </wps:spPr>
                      <wps:style>
                        <a:lnRef idx="2">
                          <a:schemeClr val="dk1"/>
                        </a:lnRef>
                        <a:fillRef idx="1">
                          <a:schemeClr val="lt1"/>
                        </a:fillRef>
                        <a:effectRef idx="0">
                          <a:schemeClr val="dk1"/>
                        </a:effectRef>
                        <a:fontRef idx="minor">
                          <a:schemeClr val="dk1"/>
                        </a:fontRef>
                      </wps:style>
                      <wps:txbx>
                        <w:txbxContent>
                          <w:p>
                            <w:pPr>
                              <w:jc w:val="center"/>
                            </w:pPr>
                            <w:r>
                              <w:rPr>
                                <w:rFonts w:hint="eastAsia"/>
                              </w:rPr>
                              <w:t>烟囱</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8.6pt;margin-top:87.4pt;height:24.75pt;width:39.75pt;z-index:251675648;v-text-anchor:middle;mso-width-relative:page;mso-height-relative:page;" fillcolor="#FFFFFF [3201]" filled="t" stroked="t" coordsize="21600,21600" o:gfxdata="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CVVACvYAAAACwEAAA8AAAAAAAAAAQAg&#10;AAAAIgAAAGRycy9kb3ducmV2LnhtbFBLAQIUABQAAAAIAIdO4kDTz+HZgAIAAAoFAAAOAAAAAAAA&#10;AAEAIAAAACcBAABkcnMvZTJvRG9jLnhtbFBLBQYAAAAABgAGAFkBAAAZBgAAAAA=&#10;">
                <v:fill on="t" focussize="0,0"/>
                <v:stroke weight="1pt" color="#000000 [3200]" miterlimit="8" joinstyle="miter"/>
                <v:imagedata o:title=""/>
                <o:lock v:ext="edit" aspectratio="f"/>
                <v:textbox>
                  <w:txbxContent>
                    <w:p>
                      <w:pPr>
                        <w:jc w:val="center"/>
                      </w:pPr>
                      <w:r>
                        <w:rPr>
                          <w:rFonts w:hint="eastAsia"/>
                        </w:rPr>
                        <w:t>烟囱</w:t>
                      </w:r>
                    </w:p>
                  </w:txbxContent>
                </v:textbox>
              </v:rect>
            </w:pict>
          </mc:Fallback>
        </mc:AlternateContent>
      </w:r>
      <w:r>
        <w:rPr>
          <w:highlight w:val="none"/>
        </w:rPr>
        <mc:AlternateContent>
          <mc:Choice Requires="wps">
            <w:drawing>
              <wp:anchor distT="0" distB="0" distL="114300" distR="114300" simplePos="0" relativeHeight="251674624" behindDoc="0" locked="0" layoutInCell="1" allowOverlap="1">
                <wp:simplePos x="0" y="0"/>
                <wp:positionH relativeFrom="column">
                  <wp:posOffset>2830195</wp:posOffset>
                </wp:positionH>
                <wp:positionV relativeFrom="paragraph">
                  <wp:posOffset>1214755</wp:posOffset>
                </wp:positionV>
                <wp:extent cx="123825" cy="133350"/>
                <wp:effectExtent l="6350" t="6350" r="22225" b="12700"/>
                <wp:wrapNone/>
                <wp:docPr id="4" name="椭圆 4"/>
                <wp:cNvGraphicFramePr/>
                <a:graphic xmlns:a="http://schemas.openxmlformats.org/drawingml/2006/main">
                  <a:graphicData uri="http://schemas.microsoft.com/office/word/2010/wordprocessingShape">
                    <wps:wsp>
                      <wps:cNvSpPr/>
                      <wps:spPr>
                        <a:xfrm>
                          <a:off x="3916680" y="2342515"/>
                          <a:ext cx="123825" cy="133350"/>
                        </a:xfrm>
                        <a:prstGeom prst="ellips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22.85pt;margin-top:95.65pt;height:10.5pt;width:9.75pt;z-index:251674624;v-text-anchor:middle;mso-width-relative:page;mso-height-relative:page;" fillcolor="#FFFFFF [3201]" filled="t" stroked="t" coordsize="21600,21600" o:gfxdata="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iyYaV9wAAAALAQAADwAAAAAAAAAB&#10;ACAAAAAiAAAAZHJzL2Rvd25yZXYueG1sUEsBAhQAFAAAAAgAh07iQIxWwZF+AgAAAgUAAA4AAAAA&#10;AAAAAQAgAAAAKwEAAGRycy9lMm9Eb2MueG1sUEsFBgAAAAAGAAYAWQEAABsGAAAAAA==&#10;">
                <v:fill on="t" focussize="0,0"/>
                <v:stroke weight="1pt" color="#000000 [3200]" miterlimit="8" joinstyle="miter"/>
                <v:imagedata o:title=""/>
                <o:lock v:ext="edit" aspectratio="f"/>
              </v:shape>
            </w:pict>
          </mc:Fallback>
        </mc:AlternateContent>
      </w:r>
      <w:r>
        <w:rPr>
          <w:highlight w:val="none"/>
        </w:rPr>
        <mc:AlternateContent>
          <mc:Choice Requires="wps">
            <w:drawing>
              <wp:anchor distT="0" distB="0" distL="114300" distR="114300" simplePos="0" relativeHeight="251668480" behindDoc="0" locked="0" layoutInCell="1" allowOverlap="1">
                <wp:simplePos x="0" y="0"/>
                <wp:positionH relativeFrom="column">
                  <wp:posOffset>1692275</wp:posOffset>
                </wp:positionH>
                <wp:positionV relativeFrom="paragraph">
                  <wp:posOffset>1655445</wp:posOffset>
                </wp:positionV>
                <wp:extent cx="1120775" cy="328930"/>
                <wp:effectExtent l="0" t="0" r="0" b="0"/>
                <wp:wrapNone/>
                <wp:docPr id="63" name="矩形 63"/>
                <wp:cNvGraphicFramePr/>
                <a:graphic xmlns:a="http://schemas.openxmlformats.org/drawingml/2006/main">
                  <a:graphicData uri="http://schemas.microsoft.com/office/word/2010/wordprocessingShape">
                    <wps:wsp>
                      <wps:cNvSpPr/>
                      <wps:spPr>
                        <a:xfrm rot="21000000">
                          <a:off x="0" y="0"/>
                          <a:ext cx="1120775" cy="3289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生产车间</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3.25pt;margin-top:130.35pt;height:25.9pt;width:88.25pt;rotation:-655360f;z-index:251668480;v-text-anchor:middle;mso-width-relative:page;mso-height-relative:page;" filled="f" stroked="f" coordsize="21600,21600" o:gfxdata="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57G8D2gAAAAsBAAAPAAAAAAAAAAEAIAAAACIAAABkcnMvZG93bnJldi54bWxQ&#10;SwECFAAUAAAACACHTuJAsFIRtmcCAAC+BAAADgAAAAAAAAABACAAAAApAQAAZHJzL2Uyb0RvYy54&#10;bWxQSwUGAAAAAAYABgBZAQAAAgYAAAAA&#10;">
                <v:fill on="f" focussize="0,0"/>
                <v:stroke on="f" weight="1pt" miterlimit="8" joinstyle="miter"/>
                <v:imagedata o:title=""/>
                <o:lock v:ext="edit" aspectratio="f"/>
                <v:textbox>
                  <w:txbxContent>
                    <w:p>
                      <w:pPr>
                        <w:jc w:val="center"/>
                        <w:rPr>
                          <w:b/>
                          <w:bCs/>
                          <w:color w:val="FF0000"/>
                        </w:rPr>
                      </w:pPr>
                      <w:r>
                        <w:rPr>
                          <w:rFonts w:hint="eastAsia"/>
                          <w:b/>
                          <w:bCs/>
                          <w:color w:val="FF0000"/>
                        </w:rPr>
                        <w:t>生产车间</w:t>
                      </w:r>
                    </w:p>
                  </w:txbxContent>
                </v:textbox>
              </v:rect>
            </w:pict>
          </mc:Fallback>
        </mc:AlternateContent>
      </w:r>
      <w:r>
        <w:rPr>
          <w:highlight w:val="none"/>
        </w:rPr>
        <mc:AlternateContent>
          <mc:Choice Requires="wps">
            <w:drawing>
              <wp:anchor distT="0" distB="0" distL="114300" distR="114300" simplePos="0" relativeHeight="251669504" behindDoc="0" locked="0" layoutInCell="1" allowOverlap="1">
                <wp:simplePos x="0" y="0"/>
                <wp:positionH relativeFrom="column">
                  <wp:posOffset>2522220</wp:posOffset>
                </wp:positionH>
                <wp:positionV relativeFrom="paragraph">
                  <wp:posOffset>1439545</wp:posOffset>
                </wp:positionV>
                <wp:extent cx="730250" cy="320040"/>
                <wp:effectExtent l="205105" t="0" r="0" b="0"/>
                <wp:wrapNone/>
                <wp:docPr id="64" name="矩形 64"/>
                <wp:cNvGraphicFramePr/>
                <a:graphic xmlns:a="http://schemas.openxmlformats.org/drawingml/2006/main">
                  <a:graphicData uri="http://schemas.microsoft.com/office/word/2010/wordprocessingShape">
                    <wps:wsp>
                      <wps:cNvSpPr/>
                      <wps:spPr>
                        <a:xfrm rot="4860000">
                          <a:off x="0" y="0"/>
                          <a:ext cx="730250" cy="3200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b/>
                                <w:bCs/>
                                <w:color w:val="FF0000"/>
                              </w:rPr>
                            </w:pPr>
                            <w:r>
                              <w:rPr>
                                <w:rFonts w:hint="eastAsia"/>
                                <w:b/>
                                <w:bCs/>
                                <w:color w:val="FF0000"/>
                              </w:rPr>
                              <w:t>锅炉房</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6pt;margin-top:113.35pt;height:25.2pt;width:57.5pt;rotation:5308416f;z-index:251669504;v-text-anchor:middle;mso-width-relative:page;mso-height-relative:page;" filled="f" stroked="f" coordsize="21600,21600" o:gfxdata="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K8u4evaAAAACwEAAA8AAAAAAAAAAQAgAAAAIgAAAGRycy9kb3ducmV2LnhtbFBL&#10;AQIUABQAAAAIAIdO4kBf4L+JZgIAALwEAAAOAAAAAAAAAAEAIAAAACkBAABkcnMvZTJvRG9jLnht&#10;bFBLBQYAAAAABgAGAFkBAAABBgAAAAA=&#10;">
                <v:fill on="f" focussize="0,0"/>
                <v:stroke on="f" weight="1pt" miterlimit="8" joinstyle="miter"/>
                <v:imagedata o:title=""/>
                <o:lock v:ext="edit" aspectratio="f"/>
                <v:textbox>
                  <w:txbxContent>
                    <w:p>
                      <w:pPr>
                        <w:jc w:val="center"/>
                        <w:rPr>
                          <w:b/>
                          <w:bCs/>
                          <w:color w:val="FF0000"/>
                        </w:rPr>
                      </w:pPr>
                      <w:r>
                        <w:rPr>
                          <w:rFonts w:hint="eastAsia"/>
                          <w:b/>
                          <w:bCs/>
                          <w:color w:val="FF0000"/>
                        </w:rPr>
                        <w:t>锅炉房</w:t>
                      </w:r>
                    </w:p>
                  </w:txbxContent>
                </v:textbox>
              </v:rect>
            </w:pict>
          </mc:Fallback>
        </mc:AlternateContent>
      </w:r>
    </w:p>
    <w:p>
      <w:pPr>
        <w:pStyle w:val="27"/>
        <w:ind w:firstLine="0" w:firstLineChars="0"/>
        <w:jc w:val="center"/>
        <w:outlineLvl w:val="0"/>
        <w:rPr>
          <w:b/>
          <w:bCs/>
          <w:sz w:val="24"/>
          <w:szCs w:val="24"/>
          <w:highlight w:val="none"/>
        </w:rPr>
        <w:sectPr>
          <w:pgSz w:w="11906" w:h="16838"/>
          <w:pgMar w:top="1701" w:right="1531" w:bottom="1701" w:left="1531" w:header="851" w:footer="851" w:gutter="0"/>
          <w:pgNumType w:fmt="decimal"/>
          <w:cols w:space="720" w:num="1"/>
          <w:docGrid w:linePitch="312" w:charSpace="0"/>
        </w:sectPr>
      </w:pPr>
      <w:bookmarkStart w:id="241" w:name="_Toc7349"/>
      <w:bookmarkStart w:id="242" w:name="_Toc914"/>
      <w:r>
        <w:rPr>
          <w:b/>
          <w:bCs/>
          <w:sz w:val="24"/>
          <w:szCs w:val="24"/>
          <w:highlight w:val="none"/>
        </w:rPr>
        <w:t>附图</w:t>
      </w:r>
      <w:r>
        <w:rPr>
          <w:rFonts w:hint="eastAsia"/>
          <w:b/>
          <w:bCs/>
          <w:sz w:val="24"/>
          <w:szCs w:val="24"/>
          <w:highlight w:val="none"/>
        </w:rPr>
        <w:t>3</w:t>
      </w:r>
      <w:r>
        <w:rPr>
          <w:b/>
          <w:bCs/>
          <w:sz w:val="24"/>
          <w:szCs w:val="24"/>
          <w:highlight w:val="none"/>
        </w:rPr>
        <w:t xml:space="preserve"> </w:t>
      </w:r>
      <w:r>
        <w:rPr>
          <w:rFonts w:hint="eastAsia"/>
          <w:b/>
          <w:bCs/>
          <w:sz w:val="24"/>
          <w:szCs w:val="24"/>
          <w:highlight w:val="none"/>
        </w:rPr>
        <w:t>项目</w:t>
      </w:r>
      <w:r>
        <w:rPr>
          <w:b/>
          <w:bCs/>
          <w:sz w:val="24"/>
          <w:szCs w:val="24"/>
          <w:highlight w:val="none"/>
        </w:rPr>
        <w:t>平面布置图</w:t>
      </w:r>
      <w:bookmarkEnd w:id="241"/>
      <w:bookmarkEnd w:id="242"/>
    </w:p>
    <w:tbl>
      <w:tblPr>
        <w:tblStyle w:val="3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51"/>
        <w:gridCol w:w="660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1" w:type="dxa"/>
          </w:tcPr>
          <w:p>
            <w:pPr>
              <w:pStyle w:val="27"/>
              <w:ind w:firstLine="0" w:firstLineChars="0"/>
              <w:jc w:val="center"/>
              <w:rPr>
                <w:sz w:val="24"/>
                <w:szCs w:val="24"/>
                <w:highlight w:val="none"/>
              </w:rPr>
            </w:pPr>
            <w:r>
              <w:rPr>
                <w:rFonts w:hint="eastAsia"/>
                <w:sz w:val="24"/>
                <w:szCs w:val="24"/>
                <w:highlight w:val="none"/>
              </w:rPr>
              <w:drawing>
                <wp:inline distT="0" distB="0" distL="114300" distR="114300">
                  <wp:extent cx="3772535" cy="2002155"/>
                  <wp:effectExtent l="0" t="0" r="18415" b="17145"/>
                  <wp:docPr id="20" name="图片 20" descr="ee49c316cef8d04d17c2beb19c5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e49c316cef8d04d17c2beb19c54025"/>
                          <pic:cNvPicPr>
                            <a:picLocks noChangeAspect="1"/>
                          </pic:cNvPicPr>
                        </pic:nvPicPr>
                        <pic:blipFill>
                          <a:blip r:embed="rId42"/>
                          <a:stretch>
                            <a:fillRect/>
                          </a:stretch>
                        </pic:blipFill>
                        <pic:spPr>
                          <a:xfrm>
                            <a:off x="0" y="0"/>
                            <a:ext cx="3772535" cy="2002155"/>
                          </a:xfrm>
                          <a:prstGeom prst="rect">
                            <a:avLst/>
                          </a:prstGeom>
                        </pic:spPr>
                      </pic:pic>
                    </a:graphicData>
                  </a:graphic>
                </wp:inline>
              </w:drawing>
            </w:r>
          </w:p>
          <w:p>
            <w:pPr>
              <w:jc w:val="center"/>
              <w:rPr>
                <w:sz w:val="24"/>
                <w:highlight w:val="none"/>
              </w:rPr>
            </w:pPr>
            <w:r>
              <w:rPr>
                <w:rFonts w:hint="eastAsia"/>
                <w:sz w:val="24"/>
                <w:highlight w:val="none"/>
              </w:rPr>
              <w:t>项目南侧</w:t>
            </w:r>
          </w:p>
        </w:tc>
        <w:tc>
          <w:tcPr>
            <w:tcW w:w="6601" w:type="dxa"/>
          </w:tcPr>
          <w:p>
            <w:pPr>
              <w:pStyle w:val="27"/>
              <w:ind w:firstLine="0" w:firstLineChars="0"/>
              <w:jc w:val="center"/>
              <w:rPr>
                <w:sz w:val="24"/>
                <w:szCs w:val="24"/>
                <w:highlight w:val="none"/>
              </w:rPr>
            </w:pPr>
            <w:r>
              <w:rPr>
                <w:rFonts w:hint="eastAsia"/>
                <w:sz w:val="24"/>
                <w:szCs w:val="24"/>
                <w:highlight w:val="none"/>
              </w:rPr>
              <w:drawing>
                <wp:inline distT="0" distB="0" distL="114300" distR="114300">
                  <wp:extent cx="4041775" cy="1866900"/>
                  <wp:effectExtent l="0" t="0" r="15875" b="0"/>
                  <wp:docPr id="21" name="图片 21" descr="0371d5f9b52f178514ff857b5524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371d5f9b52f178514ff857b5524dd4"/>
                          <pic:cNvPicPr>
                            <a:picLocks noChangeAspect="1"/>
                          </pic:cNvPicPr>
                        </pic:nvPicPr>
                        <pic:blipFill>
                          <a:blip r:embed="rId43"/>
                          <a:stretch>
                            <a:fillRect/>
                          </a:stretch>
                        </pic:blipFill>
                        <pic:spPr>
                          <a:xfrm>
                            <a:off x="0" y="0"/>
                            <a:ext cx="4041775" cy="1866900"/>
                          </a:xfrm>
                          <a:prstGeom prst="rect">
                            <a:avLst/>
                          </a:prstGeom>
                        </pic:spPr>
                      </pic:pic>
                    </a:graphicData>
                  </a:graphic>
                </wp:inline>
              </w:drawing>
            </w:r>
          </w:p>
          <w:p>
            <w:pPr>
              <w:jc w:val="center"/>
              <w:rPr>
                <w:sz w:val="24"/>
                <w:highlight w:val="none"/>
              </w:rPr>
            </w:pPr>
            <w:r>
              <w:rPr>
                <w:rFonts w:hint="eastAsia"/>
                <w:sz w:val="24"/>
                <w:highlight w:val="none"/>
              </w:rPr>
              <w:t>项目西侧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7051" w:type="dxa"/>
          </w:tcPr>
          <w:p>
            <w:pPr>
              <w:pStyle w:val="27"/>
              <w:ind w:firstLine="0" w:firstLineChars="0"/>
              <w:jc w:val="center"/>
              <w:rPr>
                <w:sz w:val="24"/>
                <w:szCs w:val="24"/>
                <w:highlight w:val="none"/>
              </w:rPr>
            </w:pPr>
            <w:r>
              <w:rPr>
                <w:rFonts w:hint="eastAsia"/>
                <w:sz w:val="24"/>
                <w:szCs w:val="24"/>
                <w:highlight w:val="none"/>
              </w:rPr>
              <w:drawing>
                <wp:inline distT="0" distB="0" distL="114300" distR="114300">
                  <wp:extent cx="4334510" cy="2439670"/>
                  <wp:effectExtent l="0" t="0" r="8890" b="17780"/>
                  <wp:docPr id="22" name="图片 22" descr="c9f4c6ab8a0deefde69398be490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9f4c6ab8a0deefde69398be4909297"/>
                          <pic:cNvPicPr>
                            <a:picLocks noChangeAspect="1"/>
                          </pic:cNvPicPr>
                        </pic:nvPicPr>
                        <pic:blipFill>
                          <a:blip r:embed="rId44"/>
                          <a:stretch>
                            <a:fillRect/>
                          </a:stretch>
                        </pic:blipFill>
                        <pic:spPr>
                          <a:xfrm>
                            <a:off x="0" y="0"/>
                            <a:ext cx="4334510" cy="2439670"/>
                          </a:xfrm>
                          <a:prstGeom prst="rect">
                            <a:avLst/>
                          </a:prstGeom>
                        </pic:spPr>
                      </pic:pic>
                    </a:graphicData>
                  </a:graphic>
                </wp:inline>
              </w:drawing>
            </w:r>
          </w:p>
          <w:p>
            <w:pPr>
              <w:jc w:val="center"/>
              <w:rPr>
                <w:sz w:val="24"/>
                <w:highlight w:val="none"/>
              </w:rPr>
            </w:pPr>
            <w:r>
              <w:rPr>
                <w:rFonts w:hint="eastAsia"/>
                <w:sz w:val="24"/>
                <w:highlight w:val="none"/>
              </w:rPr>
              <w:t>项目北侧</w:t>
            </w:r>
          </w:p>
        </w:tc>
        <w:tc>
          <w:tcPr>
            <w:tcW w:w="6601" w:type="dxa"/>
          </w:tcPr>
          <w:p>
            <w:pPr>
              <w:pStyle w:val="27"/>
              <w:ind w:firstLine="0" w:firstLineChars="0"/>
              <w:jc w:val="center"/>
              <w:rPr>
                <w:sz w:val="24"/>
                <w:szCs w:val="24"/>
                <w:highlight w:val="none"/>
              </w:rPr>
            </w:pPr>
            <w:r>
              <w:rPr>
                <w:rFonts w:hint="eastAsia"/>
                <w:sz w:val="24"/>
                <w:szCs w:val="24"/>
                <w:highlight w:val="none"/>
              </w:rPr>
              <w:drawing>
                <wp:inline distT="0" distB="0" distL="114300" distR="114300">
                  <wp:extent cx="2566035" cy="3725545"/>
                  <wp:effectExtent l="0" t="0" r="8255" b="5715"/>
                  <wp:docPr id="16" name="图片 16" descr="4f98d28bada82062daf3100f3ec5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f98d28bada82062daf3100f3ec5bb2"/>
                          <pic:cNvPicPr>
                            <a:picLocks noChangeAspect="1"/>
                          </pic:cNvPicPr>
                        </pic:nvPicPr>
                        <pic:blipFill>
                          <a:blip r:embed="rId45"/>
                          <a:stretch>
                            <a:fillRect/>
                          </a:stretch>
                        </pic:blipFill>
                        <pic:spPr>
                          <a:xfrm rot="5400000">
                            <a:off x="0" y="0"/>
                            <a:ext cx="2566035" cy="3725545"/>
                          </a:xfrm>
                          <a:prstGeom prst="rect">
                            <a:avLst/>
                          </a:prstGeom>
                        </pic:spPr>
                      </pic:pic>
                    </a:graphicData>
                  </a:graphic>
                </wp:inline>
              </w:drawing>
            </w:r>
          </w:p>
          <w:p>
            <w:pPr>
              <w:jc w:val="center"/>
              <w:rPr>
                <w:sz w:val="24"/>
                <w:highlight w:val="none"/>
              </w:rPr>
            </w:pPr>
            <w:r>
              <w:rPr>
                <w:rFonts w:hint="eastAsia"/>
                <w:sz w:val="24"/>
                <w:highlight w:val="none"/>
              </w:rPr>
              <w:t>项目东侧</w:t>
            </w:r>
          </w:p>
        </w:tc>
      </w:tr>
    </w:tbl>
    <w:p>
      <w:pPr>
        <w:pStyle w:val="27"/>
        <w:spacing w:line="260" w:lineRule="auto"/>
        <w:ind w:firstLine="0" w:firstLineChars="0"/>
        <w:jc w:val="center"/>
        <w:outlineLvl w:val="0"/>
        <w:rPr>
          <w:b/>
          <w:sz w:val="24"/>
          <w:highlight w:val="none"/>
        </w:rPr>
      </w:pPr>
      <w:bookmarkStart w:id="243" w:name="_Toc6490"/>
      <w:bookmarkStart w:id="244" w:name="_Toc30472"/>
      <w:bookmarkStart w:id="245" w:name="_Toc4814"/>
      <w:r>
        <w:rPr>
          <w:b/>
          <w:sz w:val="24"/>
          <w:highlight w:val="none"/>
        </w:rPr>
        <w:t>附图</w:t>
      </w:r>
      <w:r>
        <w:rPr>
          <w:rFonts w:hint="eastAsia"/>
          <w:b/>
          <w:sz w:val="24"/>
          <w:highlight w:val="none"/>
        </w:rPr>
        <w:t>4</w:t>
      </w:r>
      <w:r>
        <w:rPr>
          <w:b/>
          <w:sz w:val="24"/>
          <w:highlight w:val="none"/>
        </w:rPr>
        <w:t xml:space="preserve">  项目四周照片</w:t>
      </w:r>
      <w:bookmarkEnd w:id="243"/>
      <w:bookmarkEnd w:id="244"/>
      <w:bookmarkEnd w:id="245"/>
    </w:p>
    <w:p>
      <w:pPr>
        <w:rPr>
          <w:highlight w:val="none"/>
        </w:rPr>
        <w:sectPr>
          <w:pgSz w:w="16838" w:h="11906" w:orient="landscape"/>
          <w:pgMar w:top="1531" w:right="1701" w:bottom="1531" w:left="1701" w:header="851" w:footer="851" w:gutter="0"/>
          <w:pgNumType w:fmt="decimal"/>
          <w:cols w:space="720" w:num="1"/>
          <w:docGrid w:linePitch="312" w:charSpace="0"/>
        </w:sectPr>
      </w:pPr>
    </w:p>
    <w:p>
      <w:pPr>
        <w:outlineLvl w:val="0"/>
        <w:rPr>
          <w:rFonts w:eastAsia="黑体"/>
          <w:snapToGrid w:val="0"/>
          <w:sz w:val="32"/>
          <w:szCs w:val="32"/>
          <w:highlight w:val="none"/>
        </w:rPr>
      </w:pPr>
      <w:bookmarkStart w:id="246" w:name="_Toc17134"/>
      <w:bookmarkStart w:id="247" w:name="_Toc12302"/>
      <w:r>
        <w:rPr>
          <w:rFonts w:eastAsia="黑体"/>
          <w:snapToGrid w:val="0"/>
          <w:sz w:val="32"/>
          <w:szCs w:val="32"/>
          <w:highlight w:val="none"/>
        </w:rPr>
        <w:t>附件1 营业执照</w:t>
      </w:r>
      <w:bookmarkEnd w:id="246"/>
      <w:bookmarkEnd w:id="247"/>
    </w:p>
    <w:p>
      <w:pPr>
        <w:pStyle w:val="27"/>
        <w:ind w:firstLine="0" w:firstLineChars="0"/>
        <w:jc w:val="center"/>
        <w:rPr>
          <w:rFonts w:eastAsia="黑体"/>
          <w:snapToGrid w:val="0"/>
          <w:sz w:val="32"/>
          <w:szCs w:val="32"/>
          <w:highlight w:val="none"/>
        </w:rPr>
        <w:sectPr>
          <w:footerReference r:id="rId9" w:type="default"/>
          <w:pgSz w:w="16838" w:h="11906" w:orient="landscape"/>
          <w:pgMar w:top="1531" w:right="1701" w:bottom="1531" w:left="1701" w:header="851" w:footer="850" w:gutter="0"/>
          <w:pgNumType w:fmt="decimal"/>
          <w:cols w:space="720" w:num="1"/>
          <w:docGrid w:linePitch="312" w:charSpace="0"/>
        </w:sectPr>
      </w:pPr>
      <w:r>
        <w:rPr>
          <w:rFonts w:hint="eastAsia"/>
          <w:highlight w:val="none"/>
        </w:rPr>
        <w:drawing>
          <wp:inline distT="0" distB="0" distL="114300" distR="114300">
            <wp:extent cx="4715510" cy="7355840"/>
            <wp:effectExtent l="0" t="0" r="16510" b="8890"/>
            <wp:docPr id="17" name="图片 17" descr="宝宇种植合作社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宝宇种植合作社营业执照"/>
                    <pic:cNvPicPr>
                      <a:picLocks noChangeAspect="1"/>
                    </pic:cNvPicPr>
                  </pic:nvPicPr>
                  <pic:blipFill>
                    <a:blip r:embed="rId46"/>
                    <a:stretch>
                      <a:fillRect/>
                    </a:stretch>
                  </pic:blipFill>
                  <pic:spPr>
                    <a:xfrm rot="16200000">
                      <a:off x="0" y="0"/>
                      <a:ext cx="4715510" cy="7355840"/>
                    </a:xfrm>
                    <a:prstGeom prst="rect">
                      <a:avLst/>
                    </a:prstGeom>
                  </pic:spPr>
                </pic:pic>
              </a:graphicData>
            </a:graphic>
          </wp:inline>
        </w:drawing>
      </w:r>
    </w:p>
    <w:p>
      <w:pPr>
        <w:pStyle w:val="27"/>
        <w:spacing w:before="0" w:after="0" w:line="260" w:lineRule="auto"/>
        <w:ind w:right="0" w:firstLine="0" w:firstLineChars="0"/>
        <w:outlineLvl w:val="0"/>
        <w:rPr>
          <w:rFonts w:eastAsia="黑体"/>
          <w:snapToGrid w:val="0"/>
          <w:sz w:val="32"/>
          <w:szCs w:val="32"/>
          <w:highlight w:val="none"/>
        </w:rPr>
      </w:pPr>
      <w:bookmarkStart w:id="248" w:name="_Toc14094"/>
      <w:bookmarkStart w:id="249" w:name="_Toc22950"/>
      <w:r>
        <w:rPr>
          <w:rFonts w:eastAsia="黑体"/>
          <w:snapToGrid w:val="0"/>
          <w:sz w:val="32"/>
          <w:szCs w:val="32"/>
          <w:highlight w:val="none"/>
        </w:rPr>
        <w:t>附件</w:t>
      </w:r>
      <w:r>
        <w:rPr>
          <w:rFonts w:hint="eastAsia" w:eastAsia="黑体"/>
          <w:snapToGrid w:val="0"/>
          <w:sz w:val="32"/>
          <w:szCs w:val="32"/>
          <w:highlight w:val="none"/>
        </w:rPr>
        <w:t>2</w:t>
      </w:r>
      <w:r>
        <w:rPr>
          <w:rFonts w:eastAsia="黑体"/>
          <w:snapToGrid w:val="0"/>
          <w:sz w:val="32"/>
          <w:szCs w:val="32"/>
          <w:highlight w:val="none"/>
        </w:rPr>
        <w:t xml:space="preserve"> </w:t>
      </w:r>
      <w:r>
        <w:rPr>
          <w:rFonts w:hint="eastAsia" w:eastAsia="黑体"/>
          <w:snapToGrid w:val="0"/>
          <w:sz w:val="32"/>
          <w:szCs w:val="32"/>
          <w:highlight w:val="none"/>
        </w:rPr>
        <w:t>土地文件</w:t>
      </w:r>
      <w:bookmarkEnd w:id="248"/>
      <w:bookmarkEnd w:id="249"/>
    </w:p>
    <w:p>
      <w:pPr>
        <w:jc w:val="center"/>
        <w:rPr>
          <w:highlight w:val="none"/>
        </w:rPr>
      </w:pPr>
      <w:r>
        <w:rPr>
          <w:rFonts w:hint="eastAsia"/>
          <w:highlight w:val="none"/>
        </w:rPr>
        <w:drawing>
          <wp:inline distT="0" distB="0" distL="114300" distR="114300">
            <wp:extent cx="5266690" cy="7019925"/>
            <wp:effectExtent l="0" t="0" r="10160" b="9525"/>
            <wp:docPr id="18" name="图片 18" descr="aab725a333922be5ae7b40df8abc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ab725a333922be5ae7b40df8abce63"/>
                    <pic:cNvPicPr>
                      <a:picLocks noChangeAspect="1"/>
                    </pic:cNvPicPr>
                  </pic:nvPicPr>
                  <pic:blipFill>
                    <a:blip r:embed="rId47"/>
                    <a:stretch>
                      <a:fillRect/>
                    </a:stretch>
                  </pic:blipFill>
                  <pic:spPr>
                    <a:xfrm>
                      <a:off x="0" y="0"/>
                      <a:ext cx="5266690" cy="7019925"/>
                    </a:xfrm>
                    <a:prstGeom prst="rect">
                      <a:avLst/>
                    </a:prstGeom>
                  </pic:spPr>
                </pic:pic>
              </a:graphicData>
            </a:graphic>
          </wp:inline>
        </w:drawing>
      </w:r>
    </w:p>
    <w:p>
      <w:pPr>
        <w:rPr>
          <w:highlight w:val="none"/>
        </w:rPr>
      </w:pPr>
      <w:r>
        <w:rPr>
          <w:rFonts w:hint="eastAsia"/>
          <w:highlight w:val="none"/>
        </w:rPr>
        <w:br w:type="page"/>
      </w:r>
    </w:p>
    <w:p>
      <w:pPr>
        <w:pStyle w:val="27"/>
        <w:ind w:firstLine="320"/>
        <w:jc w:val="left"/>
        <w:outlineLvl w:val="0"/>
        <w:rPr>
          <w:rFonts w:eastAsia="黑体"/>
          <w:snapToGrid w:val="0"/>
          <w:sz w:val="32"/>
          <w:szCs w:val="32"/>
          <w:highlight w:val="none"/>
        </w:rPr>
      </w:pPr>
      <w:bookmarkStart w:id="250" w:name="_Toc23017"/>
      <w:bookmarkStart w:id="251" w:name="_Toc29255"/>
      <w:r>
        <w:rPr>
          <w:rFonts w:eastAsia="黑体"/>
          <w:snapToGrid w:val="0"/>
          <w:sz w:val="32"/>
          <w:szCs w:val="32"/>
          <w:highlight w:val="none"/>
        </w:rPr>
        <w:t>附件</w:t>
      </w:r>
      <w:r>
        <w:rPr>
          <w:rFonts w:hint="eastAsia" w:eastAsia="黑体"/>
          <w:snapToGrid w:val="0"/>
          <w:sz w:val="32"/>
          <w:szCs w:val="32"/>
          <w:highlight w:val="none"/>
        </w:rPr>
        <w:t>3</w:t>
      </w:r>
      <w:r>
        <w:rPr>
          <w:rFonts w:eastAsia="黑体"/>
          <w:snapToGrid w:val="0"/>
          <w:sz w:val="32"/>
          <w:szCs w:val="32"/>
          <w:highlight w:val="none"/>
        </w:rPr>
        <w:t xml:space="preserve"> </w:t>
      </w:r>
      <w:r>
        <w:rPr>
          <w:rFonts w:hint="eastAsia" w:eastAsia="黑体"/>
          <w:snapToGrid w:val="0"/>
          <w:sz w:val="32"/>
          <w:szCs w:val="32"/>
          <w:highlight w:val="none"/>
        </w:rPr>
        <w:t>燃料分析单</w:t>
      </w:r>
      <w:bookmarkEnd w:id="250"/>
      <w:bookmarkEnd w:id="251"/>
    </w:p>
    <w:p>
      <w:pPr>
        <w:pStyle w:val="27"/>
        <w:spacing w:line="260" w:lineRule="auto"/>
        <w:ind w:firstLine="442"/>
        <w:jc w:val="left"/>
        <w:rPr>
          <w:b/>
          <w:sz w:val="44"/>
          <w:szCs w:val="44"/>
          <w:highlight w:val="none"/>
        </w:rPr>
      </w:pPr>
      <w:r>
        <w:rPr>
          <w:b/>
          <w:sz w:val="44"/>
          <w:szCs w:val="44"/>
          <w:highlight w:val="none"/>
        </w:rPr>
        <w:drawing>
          <wp:inline distT="0" distB="0" distL="114300" distR="114300">
            <wp:extent cx="5273040" cy="6467475"/>
            <wp:effectExtent l="0" t="0" r="3810" b="9525"/>
            <wp:docPr id="14" name="图片 10" descr="217db9a935ae26391d1f36490781d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217db9a935ae26391d1f36490781d33"/>
                    <pic:cNvPicPr>
                      <a:picLocks noChangeAspect="1"/>
                    </pic:cNvPicPr>
                  </pic:nvPicPr>
                  <pic:blipFill>
                    <a:blip r:embed="rId48"/>
                    <a:stretch>
                      <a:fillRect/>
                    </a:stretch>
                  </pic:blipFill>
                  <pic:spPr>
                    <a:xfrm>
                      <a:off x="0" y="0"/>
                      <a:ext cx="5273040" cy="6467475"/>
                    </a:xfrm>
                    <a:prstGeom prst="rect">
                      <a:avLst/>
                    </a:prstGeom>
                    <a:noFill/>
                    <a:ln>
                      <a:noFill/>
                    </a:ln>
                  </pic:spPr>
                </pic:pic>
              </a:graphicData>
            </a:graphic>
          </wp:inline>
        </w:drawing>
      </w:r>
    </w:p>
    <w:p>
      <w:pPr>
        <w:rPr>
          <w:b/>
          <w:sz w:val="44"/>
          <w:szCs w:val="44"/>
          <w:highlight w:val="none"/>
        </w:rPr>
      </w:pPr>
      <w:r>
        <w:rPr>
          <w:b/>
          <w:sz w:val="44"/>
          <w:szCs w:val="44"/>
          <w:highlight w:val="none"/>
        </w:rPr>
        <w:br w:type="page"/>
      </w:r>
    </w:p>
    <w:p>
      <w:pPr>
        <w:pStyle w:val="114"/>
        <w:outlineLvl w:val="0"/>
        <w:rPr>
          <w:rFonts w:eastAsia="黑体"/>
          <w:b w:val="0"/>
          <w:snapToGrid w:val="0"/>
          <w:sz w:val="32"/>
          <w:szCs w:val="32"/>
          <w:highlight w:val="none"/>
        </w:rPr>
      </w:pPr>
      <w:bookmarkStart w:id="252" w:name="_Toc23512"/>
      <w:bookmarkStart w:id="253" w:name="_Toc8089"/>
      <w:r>
        <w:rPr>
          <w:rFonts w:hint="eastAsia" w:eastAsia="黑体"/>
          <w:b w:val="0"/>
          <w:snapToGrid w:val="0"/>
          <w:sz w:val="32"/>
          <w:szCs w:val="32"/>
          <w:highlight w:val="none"/>
        </w:rPr>
        <w:t>附件4 太保镇开源村宝宇种植合作社黏玉米生产加工项目生产供热锅炉大气</w:t>
      </w:r>
      <w:r>
        <w:rPr>
          <w:rFonts w:eastAsia="黑体"/>
          <w:b w:val="0"/>
          <w:snapToGrid w:val="0"/>
          <w:sz w:val="32"/>
          <w:szCs w:val="32"/>
          <w:highlight w:val="none"/>
        </w:rPr>
        <w:t>污染物排放总量</w:t>
      </w:r>
      <w:r>
        <w:rPr>
          <w:rFonts w:hint="eastAsia" w:eastAsia="黑体"/>
          <w:b w:val="0"/>
          <w:snapToGrid w:val="0"/>
          <w:sz w:val="32"/>
          <w:szCs w:val="32"/>
          <w:highlight w:val="none"/>
        </w:rPr>
        <w:t>核定</w:t>
      </w:r>
      <w:r>
        <w:rPr>
          <w:rFonts w:eastAsia="黑体"/>
          <w:b w:val="0"/>
          <w:snapToGrid w:val="0"/>
          <w:sz w:val="32"/>
          <w:szCs w:val="32"/>
          <w:highlight w:val="none"/>
        </w:rPr>
        <w:t>计算说明</w:t>
      </w:r>
      <w:bookmarkEnd w:id="252"/>
      <w:bookmarkEnd w:id="253"/>
    </w:p>
    <w:p>
      <w:pPr>
        <w:outlineLvl w:val="0"/>
        <w:rPr>
          <w:highlight w:val="none"/>
        </w:rPr>
      </w:pPr>
      <w:bookmarkStart w:id="254" w:name="_Toc32757"/>
      <w:r>
        <w:rPr>
          <w:highlight w:val="none"/>
        </w:rPr>
        <w:t>一、锅炉废气中污染物排放量计算</w:t>
      </w:r>
      <w:bookmarkEnd w:id="254"/>
    </w:p>
    <w:p>
      <w:pPr>
        <w:ind w:firstLine="480"/>
        <w:rPr>
          <w:highlight w:val="none"/>
        </w:rPr>
      </w:pPr>
      <w:r>
        <w:rPr>
          <w:highlight w:val="none"/>
        </w:rPr>
        <w:t>本项目生产供热采用</w:t>
      </w:r>
      <w:r>
        <w:rPr>
          <w:rFonts w:hint="eastAsia"/>
          <w:highlight w:val="none"/>
        </w:rPr>
        <w:t>4t/h</w:t>
      </w:r>
      <w:r>
        <w:rPr>
          <w:highlight w:val="none"/>
        </w:rPr>
        <w:t>生物质蒸汽锅炉，年工作</w:t>
      </w:r>
      <w:r>
        <w:rPr>
          <w:rFonts w:hint="eastAsia"/>
          <w:highlight w:val="none"/>
        </w:rPr>
        <w:t>120</w:t>
      </w:r>
      <w:r>
        <w:rPr>
          <w:highlight w:val="none"/>
        </w:rPr>
        <w:t>天，日工作时长</w:t>
      </w:r>
      <w:r>
        <w:rPr>
          <w:rFonts w:hint="eastAsia"/>
          <w:highlight w:val="none"/>
        </w:rPr>
        <w:t>8</w:t>
      </w:r>
      <w:r>
        <w:rPr>
          <w:highlight w:val="none"/>
        </w:rPr>
        <w:t>小时，燃料采用生物质成型燃料。</w:t>
      </w:r>
    </w:p>
    <w:p>
      <w:pPr>
        <w:pStyle w:val="115"/>
        <w:ind w:firstLine="402"/>
        <w:rPr>
          <w:highlight w:val="none"/>
        </w:rPr>
      </w:pPr>
      <w:r>
        <w:rPr>
          <w:highlight w:val="none"/>
        </w:rPr>
        <w:t>（一）燃料量</w:t>
      </w:r>
    </w:p>
    <w:p>
      <w:pPr>
        <w:ind w:firstLine="420" w:firstLineChars="200"/>
        <w:rPr>
          <w:highlight w:val="none"/>
        </w:rPr>
      </w:pPr>
      <w:r>
        <w:rPr>
          <w:rFonts w:hint="eastAsia"/>
          <w:highlight w:val="none"/>
        </w:rPr>
        <w:t>生产供热由厂内自建4t/h的燃生物质蒸汽锅炉提供。</w:t>
      </w:r>
    </w:p>
    <w:p>
      <w:pPr>
        <w:ind w:firstLine="420" w:firstLineChars="200"/>
        <w:rPr>
          <w:highlight w:val="none"/>
        </w:rPr>
      </w:pPr>
      <w:r>
        <w:rPr>
          <w:highlight w:val="none"/>
        </w:rPr>
        <w:t>生物质燃料耗用量的计算：本项目锅炉功率为</w:t>
      </w:r>
      <w:r>
        <w:rPr>
          <w:rFonts w:hint="eastAsia"/>
          <w:highlight w:val="none"/>
        </w:rPr>
        <w:t>2.8</w:t>
      </w:r>
      <w:r>
        <w:rPr>
          <w:highlight w:val="none"/>
        </w:rPr>
        <w:t>MW，即0.00</w:t>
      </w:r>
      <w:r>
        <w:rPr>
          <w:rFonts w:hint="eastAsia"/>
          <w:highlight w:val="none"/>
        </w:rPr>
        <w:t>28</w:t>
      </w:r>
      <w:r>
        <w:rPr>
          <w:highlight w:val="none"/>
        </w:rPr>
        <w:t>GJ/s，低位发热值为16.</w:t>
      </w:r>
      <w:r>
        <w:rPr>
          <w:rFonts w:hint="eastAsia"/>
          <w:highlight w:val="none"/>
        </w:rPr>
        <w:t>77</w:t>
      </w:r>
      <w:r>
        <w:rPr>
          <w:highlight w:val="none"/>
        </w:rPr>
        <w:t>MJ/kg，即16.</w:t>
      </w:r>
      <w:r>
        <w:rPr>
          <w:rFonts w:hint="eastAsia"/>
          <w:highlight w:val="none"/>
        </w:rPr>
        <w:t>77</w:t>
      </w:r>
      <w:r>
        <w:rPr>
          <w:highlight w:val="none"/>
        </w:rPr>
        <w:t>GJ/t，锅炉效率按8</w:t>
      </w:r>
      <w:r>
        <w:rPr>
          <w:rFonts w:hint="eastAsia"/>
          <w:highlight w:val="none"/>
        </w:rPr>
        <w:t>5</w:t>
      </w:r>
      <w:r>
        <w:rPr>
          <w:highlight w:val="none"/>
        </w:rPr>
        <w:t>%。</w:t>
      </w:r>
    </w:p>
    <w:p>
      <w:pPr>
        <w:ind w:firstLine="420" w:firstLineChars="200"/>
        <w:rPr>
          <w:highlight w:val="none"/>
        </w:rPr>
      </w:pPr>
      <w:r>
        <w:rPr>
          <w:highlight w:val="none"/>
        </w:rPr>
        <w:t>生物质燃料耗用量=0.00</w:t>
      </w:r>
      <w:r>
        <w:rPr>
          <w:rFonts w:hint="eastAsia"/>
          <w:highlight w:val="none"/>
        </w:rPr>
        <w:t>28</w:t>
      </w:r>
      <w:r>
        <w:rPr>
          <w:highlight w:val="none"/>
        </w:rPr>
        <w:t>GJ/s×3600s/h÷（16.</w:t>
      </w:r>
      <w:r>
        <w:rPr>
          <w:rFonts w:hint="eastAsia"/>
          <w:highlight w:val="none"/>
        </w:rPr>
        <w:t>77</w:t>
      </w:r>
      <w:r>
        <w:rPr>
          <w:highlight w:val="none"/>
        </w:rPr>
        <w:t>GJ/t×8</w:t>
      </w:r>
      <w:r>
        <w:rPr>
          <w:rFonts w:hint="eastAsia"/>
          <w:highlight w:val="none"/>
        </w:rPr>
        <w:t>5</w:t>
      </w:r>
      <w:r>
        <w:rPr>
          <w:highlight w:val="none"/>
        </w:rPr>
        <w:t>%）=</w:t>
      </w:r>
      <w:r>
        <w:rPr>
          <w:rFonts w:hint="eastAsia"/>
          <w:highlight w:val="none"/>
        </w:rPr>
        <w:t>0.7t/h</w:t>
      </w:r>
    </w:p>
    <w:p>
      <w:pPr>
        <w:ind w:firstLine="420" w:firstLineChars="200"/>
        <w:rPr>
          <w:highlight w:val="none"/>
        </w:rPr>
      </w:pPr>
      <w:r>
        <w:rPr>
          <w:highlight w:val="none"/>
        </w:rPr>
        <w:t>本项目</w:t>
      </w:r>
      <w:r>
        <w:rPr>
          <w:rFonts w:hint="eastAsia"/>
          <w:highlight w:val="none"/>
        </w:rPr>
        <w:t>锅炉</w:t>
      </w:r>
      <w:r>
        <w:rPr>
          <w:rFonts w:hint="eastAsia"/>
          <w:highlight w:val="none"/>
          <w:lang w:val="en-US" w:eastAsia="zh-CN"/>
        </w:rPr>
        <w:t>生产期</w:t>
      </w:r>
      <w:r>
        <w:rPr>
          <w:rFonts w:hint="eastAsia"/>
          <w:highlight w:val="none"/>
        </w:rPr>
        <w:t>运行，年运行120</w:t>
      </w:r>
      <w:r>
        <w:rPr>
          <w:highlight w:val="none"/>
        </w:rPr>
        <w:t>天，</w:t>
      </w:r>
      <w:r>
        <w:rPr>
          <w:rFonts w:hint="eastAsia"/>
          <w:highlight w:val="none"/>
        </w:rPr>
        <w:t>日运行8h，</w:t>
      </w:r>
      <w:r>
        <w:rPr>
          <w:highlight w:val="none"/>
        </w:rPr>
        <w:t>则</w:t>
      </w:r>
      <w:r>
        <w:rPr>
          <w:rFonts w:hint="eastAsia"/>
          <w:highlight w:val="none"/>
        </w:rPr>
        <w:t>年</w:t>
      </w:r>
      <w:r>
        <w:rPr>
          <w:highlight w:val="none"/>
        </w:rPr>
        <w:t>燃用生物质成型燃料的量为</w:t>
      </w:r>
      <w:r>
        <w:rPr>
          <w:rFonts w:hint="eastAsia"/>
          <w:highlight w:val="none"/>
        </w:rPr>
        <w:t>672t。</w:t>
      </w:r>
    </w:p>
    <w:p>
      <w:pPr>
        <w:pStyle w:val="115"/>
        <w:ind w:firstLine="402"/>
        <w:rPr>
          <w:highlight w:val="none"/>
        </w:rPr>
      </w:pPr>
      <w:r>
        <w:rPr>
          <w:highlight w:val="none"/>
        </w:rPr>
        <w:t>（二）基准烟气量源强核算</w:t>
      </w:r>
    </w:p>
    <w:p>
      <w:pPr>
        <w:pStyle w:val="126"/>
        <w:adjustRightInd w:val="0"/>
        <w:snapToGrid w:val="0"/>
        <w:spacing w:line="240" w:lineRule="auto"/>
        <w:ind w:firstLine="420"/>
        <w:rPr>
          <w:rFonts w:cs="Times New Roman"/>
          <w:snapToGrid w:val="0"/>
          <w:color w:val="auto"/>
          <w:szCs w:val="21"/>
          <w:highlight w:val="none"/>
        </w:rPr>
      </w:pPr>
      <w:r>
        <w:rPr>
          <w:rFonts w:cs="Times New Roman"/>
          <w:snapToGrid w:val="0"/>
          <w:color w:val="auto"/>
          <w:szCs w:val="21"/>
          <w:highlight w:val="none"/>
        </w:rPr>
        <w:t>根据《污染源源强核算技术指南 锅炉》（HJ991-2018）附录C烟气量计算C.5没有元素分析时，干烟气排放量的经验公式计算参照HJ953。计算公示如下：</w:t>
      </w:r>
    </w:p>
    <w:p>
      <w:pPr>
        <w:pStyle w:val="126"/>
        <w:adjustRightInd w:val="0"/>
        <w:snapToGrid w:val="0"/>
        <w:spacing w:line="240" w:lineRule="auto"/>
        <w:ind w:firstLine="0" w:firstLineChars="0"/>
        <w:jc w:val="center"/>
        <w:rPr>
          <w:rFonts w:cs="Times New Roman"/>
          <w:snapToGrid w:val="0"/>
          <w:color w:val="auto"/>
          <w:szCs w:val="21"/>
          <w:highlight w:val="none"/>
        </w:rPr>
      </w:pPr>
      <w:r>
        <w:rPr>
          <w:rFonts w:cs="Times New Roman"/>
          <w:iCs/>
          <w:snapToGrid w:val="0"/>
          <w:color w:val="auto"/>
          <w:szCs w:val="21"/>
          <w:highlight w:val="none"/>
        </w:rPr>
        <w:t>V</w:t>
      </w:r>
      <w:r>
        <w:rPr>
          <w:rFonts w:cs="Times New Roman"/>
          <w:iCs/>
          <w:snapToGrid w:val="0"/>
          <w:color w:val="auto"/>
          <w:szCs w:val="21"/>
          <w:highlight w:val="none"/>
          <w:vertAlign w:val="subscript"/>
        </w:rPr>
        <w:t>gy</w:t>
      </w:r>
      <w:r>
        <w:rPr>
          <w:rFonts w:cs="Times New Roman"/>
          <w:iCs/>
          <w:snapToGrid w:val="0"/>
          <w:color w:val="auto"/>
          <w:szCs w:val="21"/>
          <w:highlight w:val="none"/>
        </w:rPr>
        <w:t>=</w:t>
      </w:r>
      <w:r>
        <w:rPr>
          <w:rFonts w:cs="Times New Roman"/>
          <w:snapToGrid w:val="0"/>
          <w:color w:val="auto"/>
          <w:szCs w:val="21"/>
          <w:highlight w:val="none"/>
        </w:rPr>
        <w:t>0.393Q</w:t>
      </w:r>
      <w:r>
        <w:rPr>
          <w:rFonts w:cs="Times New Roman"/>
          <w:snapToGrid w:val="0"/>
          <w:color w:val="auto"/>
          <w:szCs w:val="21"/>
          <w:highlight w:val="none"/>
          <w:vertAlign w:val="subscript"/>
        </w:rPr>
        <w:t>net,ar</w:t>
      </w:r>
      <w:r>
        <w:rPr>
          <w:rFonts w:cs="Times New Roman"/>
          <w:snapToGrid w:val="0"/>
          <w:color w:val="auto"/>
          <w:szCs w:val="21"/>
          <w:highlight w:val="none"/>
        </w:rPr>
        <w:t>+0.876</w:t>
      </w:r>
    </w:p>
    <w:p>
      <w:pPr>
        <w:pStyle w:val="27"/>
        <w:adjustRightInd w:val="0"/>
        <w:spacing w:after="0" w:line="240" w:lineRule="auto"/>
        <w:ind w:firstLineChars="200"/>
        <w:rPr>
          <w:snapToGrid w:val="0"/>
          <w:sz w:val="21"/>
          <w:szCs w:val="21"/>
          <w:highlight w:val="none"/>
        </w:rPr>
      </w:pPr>
      <w:r>
        <w:rPr>
          <w:snapToGrid w:val="0"/>
          <w:sz w:val="21"/>
          <w:szCs w:val="21"/>
          <w:highlight w:val="none"/>
        </w:rPr>
        <w:t>则本项目的基准烟气量为V</w:t>
      </w:r>
      <w:r>
        <w:rPr>
          <w:snapToGrid w:val="0"/>
          <w:sz w:val="21"/>
          <w:szCs w:val="21"/>
          <w:highlight w:val="none"/>
          <w:vertAlign w:val="subscript"/>
        </w:rPr>
        <w:t>gy</w:t>
      </w:r>
      <w:r>
        <w:rPr>
          <w:snapToGrid w:val="0"/>
          <w:sz w:val="21"/>
          <w:szCs w:val="21"/>
          <w:highlight w:val="none"/>
        </w:rPr>
        <w:t>=（0.393×16.77+0.876）Nm</w:t>
      </w:r>
      <w:r>
        <w:rPr>
          <w:snapToGrid w:val="0"/>
          <w:sz w:val="21"/>
          <w:szCs w:val="21"/>
          <w:highlight w:val="none"/>
          <w:vertAlign w:val="superscript"/>
        </w:rPr>
        <w:t>3</w:t>
      </w:r>
      <w:r>
        <w:rPr>
          <w:snapToGrid w:val="0"/>
          <w:sz w:val="21"/>
          <w:szCs w:val="21"/>
          <w:highlight w:val="none"/>
        </w:rPr>
        <w:t>/kg×10</w:t>
      </w:r>
      <w:r>
        <w:rPr>
          <w:snapToGrid w:val="0"/>
          <w:sz w:val="21"/>
          <w:szCs w:val="21"/>
          <w:highlight w:val="none"/>
          <w:vertAlign w:val="superscript"/>
        </w:rPr>
        <w:t>3</w:t>
      </w:r>
      <w:r>
        <w:rPr>
          <w:snapToGrid w:val="0"/>
          <w:sz w:val="21"/>
          <w:szCs w:val="21"/>
          <w:highlight w:val="none"/>
        </w:rPr>
        <w:t>=7466.61Nm</w:t>
      </w:r>
      <w:r>
        <w:rPr>
          <w:snapToGrid w:val="0"/>
          <w:sz w:val="21"/>
          <w:szCs w:val="21"/>
          <w:highlight w:val="none"/>
          <w:vertAlign w:val="superscript"/>
        </w:rPr>
        <w:t>3</w:t>
      </w:r>
      <w:r>
        <w:rPr>
          <w:snapToGrid w:val="0"/>
          <w:sz w:val="21"/>
          <w:szCs w:val="21"/>
          <w:highlight w:val="none"/>
        </w:rPr>
        <w:t>/t</w:t>
      </w:r>
    </w:p>
    <w:p>
      <w:pPr>
        <w:pStyle w:val="27"/>
        <w:adjustRightInd w:val="0"/>
        <w:spacing w:after="0" w:line="240" w:lineRule="auto"/>
        <w:ind w:firstLineChars="200"/>
        <w:rPr>
          <w:snapToGrid w:val="0"/>
          <w:sz w:val="21"/>
          <w:szCs w:val="21"/>
          <w:highlight w:val="none"/>
        </w:rPr>
      </w:pPr>
      <w:r>
        <w:rPr>
          <w:snapToGrid w:val="0"/>
          <w:sz w:val="21"/>
          <w:szCs w:val="21"/>
          <w:highlight w:val="none"/>
        </w:rPr>
        <w:t>则本项目的</w:t>
      </w:r>
      <w:r>
        <w:rPr>
          <w:rFonts w:hint="eastAsia"/>
          <w:snapToGrid w:val="0"/>
          <w:sz w:val="21"/>
          <w:szCs w:val="21"/>
          <w:highlight w:val="none"/>
        </w:rPr>
        <w:t>排放</w:t>
      </w:r>
      <w:r>
        <w:rPr>
          <w:snapToGrid w:val="0"/>
          <w:sz w:val="21"/>
          <w:szCs w:val="21"/>
          <w:highlight w:val="none"/>
        </w:rPr>
        <w:t>烟气量</w:t>
      </w:r>
      <w:r>
        <w:rPr>
          <w:rFonts w:hint="eastAsia"/>
          <w:snapToGrid w:val="0"/>
          <w:sz w:val="21"/>
          <w:szCs w:val="21"/>
          <w:highlight w:val="none"/>
        </w:rPr>
        <w:t>=</w:t>
      </w:r>
      <w:r>
        <w:rPr>
          <w:snapToGrid w:val="0"/>
          <w:sz w:val="21"/>
          <w:szCs w:val="21"/>
          <w:highlight w:val="none"/>
        </w:rPr>
        <w:t>7466.61Nm</w:t>
      </w:r>
      <w:r>
        <w:rPr>
          <w:snapToGrid w:val="0"/>
          <w:sz w:val="21"/>
          <w:szCs w:val="21"/>
          <w:highlight w:val="none"/>
          <w:vertAlign w:val="superscript"/>
        </w:rPr>
        <w:t>3</w:t>
      </w:r>
      <w:r>
        <w:rPr>
          <w:snapToGrid w:val="0"/>
          <w:sz w:val="21"/>
          <w:szCs w:val="21"/>
          <w:highlight w:val="none"/>
        </w:rPr>
        <w:t>/t</w:t>
      </w:r>
      <w:r>
        <w:rPr>
          <w:highlight w:val="none"/>
        </w:rPr>
        <w:t>×</w:t>
      </w:r>
      <w:r>
        <w:rPr>
          <w:rFonts w:hint="eastAsia"/>
          <w:highlight w:val="none"/>
        </w:rPr>
        <w:t>672t/a=</w:t>
      </w:r>
      <w:r>
        <w:rPr>
          <w:rFonts w:hint="eastAsia"/>
          <w:snapToGrid w:val="0"/>
          <w:sz w:val="21"/>
          <w:szCs w:val="21"/>
          <w:highlight w:val="none"/>
        </w:rPr>
        <w:t>5017561.92</w:t>
      </w:r>
      <w:r>
        <w:rPr>
          <w:snapToGrid w:val="0"/>
          <w:sz w:val="21"/>
          <w:szCs w:val="21"/>
          <w:highlight w:val="none"/>
        </w:rPr>
        <w:t>Nm</w:t>
      </w:r>
      <w:r>
        <w:rPr>
          <w:snapToGrid w:val="0"/>
          <w:sz w:val="21"/>
          <w:szCs w:val="21"/>
          <w:highlight w:val="none"/>
          <w:vertAlign w:val="superscript"/>
        </w:rPr>
        <w:t>3</w:t>
      </w:r>
      <w:r>
        <w:rPr>
          <w:snapToGrid w:val="0"/>
          <w:sz w:val="21"/>
          <w:szCs w:val="21"/>
          <w:highlight w:val="none"/>
        </w:rPr>
        <w:t>/</w:t>
      </w:r>
      <w:r>
        <w:rPr>
          <w:rFonts w:hint="eastAsia"/>
          <w:snapToGrid w:val="0"/>
          <w:sz w:val="21"/>
          <w:szCs w:val="21"/>
          <w:highlight w:val="none"/>
        </w:rPr>
        <w:t>a</w:t>
      </w:r>
    </w:p>
    <w:p>
      <w:pPr>
        <w:pStyle w:val="115"/>
        <w:ind w:firstLine="402"/>
        <w:rPr>
          <w:highlight w:val="none"/>
        </w:rPr>
      </w:pPr>
      <w:r>
        <w:rPr>
          <w:highlight w:val="none"/>
        </w:rPr>
        <w:t>（三）排放浓度限值</w:t>
      </w:r>
    </w:p>
    <w:p>
      <w:pPr>
        <w:ind w:firstLine="480"/>
        <w:rPr>
          <w:highlight w:val="none"/>
        </w:rPr>
      </w:pPr>
      <w:r>
        <w:rPr>
          <w:highlight w:val="none"/>
        </w:rPr>
        <w:t>本项目为新建生物质</w:t>
      </w:r>
      <w:r>
        <w:rPr>
          <w:rFonts w:hint="eastAsia"/>
          <w:highlight w:val="none"/>
        </w:rPr>
        <w:t>蒸汽</w:t>
      </w:r>
      <w:r>
        <w:rPr>
          <w:highlight w:val="none"/>
        </w:rPr>
        <w:t>锅炉，污染物排放执行《锅炉大气污染物排放标准》（GB 13271-2014）中表2大气污染物排放限值要求，标准值见附表1。</w:t>
      </w:r>
    </w:p>
    <w:p>
      <w:pPr>
        <w:pStyle w:val="116"/>
        <w:rPr>
          <w:kern w:val="2"/>
          <w:highlight w:val="none"/>
        </w:rPr>
      </w:pPr>
      <w:r>
        <w:rPr>
          <w:highlight w:val="none"/>
        </w:rPr>
        <w:t>附</w:t>
      </w:r>
      <w:r>
        <w:rPr>
          <w:kern w:val="2"/>
          <w:highlight w:val="none"/>
        </w:rPr>
        <w:t>表1   锅炉大气污染物排放标准   （单位：mg/m</w:t>
      </w:r>
      <w:r>
        <w:rPr>
          <w:kern w:val="2"/>
          <w:highlight w:val="none"/>
          <w:vertAlign w:val="superscript"/>
        </w:rPr>
        <w:t>3</w:t>
      </w:r>
      <w:r>
        <w:rPr>
          <w:kern w:val="2"/>
          <w:highlight w:val="none"/>
        </w:rPr>
        <w:t>）</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1919"/>
        <w:gridCol w:w="1919"/>
        <w:gridCol w:w="1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413" w:type="dxa"/>
            <w:vAlign w:val="center"/>
          </w:tcPr>
          <w:p>
            <w:pPr>
              <w:pStyle w:val="117"/>
              <w:rPr>
                <w:highlight w:val="none"/>
              </w:rPr>
            </w:pPr>
            <w:r>
              <w:rPr>
                <w:highlight w:val="none"/>
              </w:rPr>
              <w:t>锅炉污染物</w:t>
            </w:r>
          </w:p>
        </w:tc>
        <w:tc>
          <w:tcPr>
            <w:tcW w:w="1919" w:type="dxa"/>
            <w:vAlign w:val="center"/>
          </w:tcPr>
          <w:p>
            <w:pPr>
              <w:pStyle w:val="117"/>
              <w:rPr>
                <w:highlight w:val="none"/>
              </w:rPr>
            </w:pPr>
            <w:r>
              <w:rPr>
                <w:highlight w:val="none"/>
              </w:rPr>
              <w:t>颗粒物</w:t>
            </w:r>
          </w:p>
        </w:tc>
        <w:tc>
          <w:tcPr>
            <w:tcW w:w="1919" w:type="dxa"/>
            <w:vAlign w:val="center"/>
          </w:tcPr>
          <w:p>
            <w:pPr>
              <w:pStyle w:val="117"/>
              <w:rPr>
                <w:highlight w:val="none"/>
              </w:rPr>
            </w:pPr>
            <w:r>
              <w:rPr>
                <w:highlight w:val="none"/>
              </w:rPr>
              <w:t>二氧化硫</w:t>
            </w:r>
          </w:p>
        </w:tc>
        <w:tc>
          <w:tcPr>
            <w:tcW w:w="1919" w:type="dxa"/>
            <w:vAlign w:val="center"/>
          </w:tcPr>
          <w:p>
            <w:pPr>
              <w:pStyle w:val="117"/>
              <w:rPr>
                <w:highlight w:val="none"/>
              </w:rPr>
            </w:pPr>
            <w:r>
              <w:rPr>
                <w:highlight w:val="none"/>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413" w:type="dxa"/>
            <w:vAlign w:val="center"/>
          </w:tcPr>
          <w:p>
            <w:pPr>
              <w:pStyle w:val="117"/>
              <w:rPr>
                <w:highlight w:val="none"/>
              </w:rPr>
            </w:pPr>
            <w:r>
              <w:rPr>
                <w:rFonts w:hint="eastAsia"/>
                <w:highlight w:val="none"/>
              </w:rPr>
              <w:t>燃煤</w:t>
            </w:r>
            <w:r>
              <w:rPr>
                <w:highlight w:val="none"/>
              </w:rPr>
              <w:t>锅炉</w:t>
            </w:r>
          </w:p>
        </w:tc>
        <w:tc>
          <w:tcPr>
            <w:tcW w:w="1919" w:type="dxa"/>
            <w:vAlign w:val="center"/>
          </w:tcPr>
          <w:p>
            <w:pPr>
              <w:pStyle w:val="117"/>
              <w:rPr>
                <w:highlight w:val="none"/>
              </w:rPr>
            </w:pPr>
            <w:r>
              <w:rPr>
                <w:highlight w:val="none"/>
              </w:rPr>
              <w:t>50</w:t>
            </w:r>
          </w:p>
        </w:tc>
        <w:tc>
          <w:tcPr>
            <w:tcW w:w="1919" w:type="dxa"/>
            <w:vAlign w:val="center"/>
          </w:tcPr>
          <w:p>
            <w:pPr>
              <w:pStyle w:val="117"/>
              <w:rPr>
                <w:highlight w:val="none"/>
              </w:rPr>
            </w:pPr>
            <w:r>
              <w:rPr>
                <w:highlight w:val="none"/>
              </w:rPr>
              <w:t>300</w:t>
            </w:r>
          </w:p>
        </w:tc>
        <w:tc>
          <w:tcPr>
            <w:tcW w:w="1919" w:type="dxa"/>
            <w:vAlign w:val="center"/>
          </w:tcPr>
          <w:p>
            <w:pPr>
              <w:pStyle w:val="117"/>
              <w:rPr>
                <w:highlight w:val="none"/>
              </w:rPr>
            </w:pPr>
            <w:r>
              <w:rPr>
                <w:highlight w:val="none"/>
              </w:rPr>
              <w:t>300</w:t>
            </w:r>
          </w:p>
        </w:tc>
      </w:tr>
    </w:tbl>
    <w:p>
      <w:pPr>
        <w:ind w:firstLine="482"/>
        <w:rPr>
          <w:b/>
          <w:bCs/>
          <w:highlight w:val="none"/>
        </w:rPr>
      </w:pPr>
    </w:p>
    <w:p>
      <w:pPr>
        <w:pStyle w:val="115"/>
        <w:ind w:firstLine="402"/>
        <w:rPr>
          <w:highlight w:val="none"/>
        </w:rPr>
      </w:pPr>
      <w:r>
        <w:rPr>
          <w:highlight w:val="none"/>
        </w:rPr>
        <w:t>（四）本项目大气污染物核定排放量</w:t>
      </w:r>
    </w:p>
    <w:p>
      <w:pPr>
        <w:ind w:firstLine="480"/>
        <w:rPr>
          <w:highlight w:val="none"/>
        </w:rPr>
      </w:pPr>
      <w:r>
        <w:rPr>
          <w:highlight w:val="none"/>
        </w:rPr>
        <w:t>颗粒物（烟尘）排放量（单位：t/a）=基准烟气量×排放浓度限值（50mg/m</w:t>
      </w:r>
      <w:r>
        <w:rPr>
          <w:highlight w:val="none"/>
          <w:vertAlign w:val="superscript"/>
        </w:rPr>
        <w:t>3</w:t>
      </w:r>
      <w:r>
        <w:rPr>
          <w:highlight w:val="none"/>
        </w:rPr>
        <w:t>）</w:t>
      </w:r>
    </w:p>
    <w:p>
      <w:pPr>
        <w:ind w:firstLine="480"/>
        <w:rPr>
          <w:highlight w:val="none"/>
        </w:rPr>
      </w:pPr>
      <w:r>
        <w:rPr>
          <w:highlight w:val="none"/>
        </w:rPr>
        <w:t>=</w:t>
      </w:r>
      <w:r>
        <w:rPr>
          <w:rFonts w:hint="eastAsia"/>
          <w:snapToGrid w:val="0"/>
          <w:kern w:val="0"/>
          <w:szCs w:val="21"/>
          <w:highlight w:val="none"/>
        </w:rPr>
        <w:t>5017561.92</w:t>
      </w:r>
      <w:r>
        <w:rPr>
          <w:highlight w:val="none"/>
        </w:rPr>
        <w:t>Nm</w:t>
      </w:r>
      <w:r>
        <w:rPr>
          <w:highlight w:val="none"/>
          <w:vertAlign w:val="superscript"/>
        </w:rPr>
        <w:t>3</w:t>
      </w:r>
      <w:r>
        <w:rPr>
          <w:highlight w:val="none"/>
        </w:rPr>
        <w:t>/a×50mg/m</w:t>
      </w:r>
      <w:r>
        <w:rPr>
          <w:highlight w:val="none"/>
          <w:vertAlign w:val="superscript"/>
        </w:rPr>
        <w:t>3</w:t>
      </w:r>
      <w:r>
        <w:rPr>
          <w:highlight w:val="none"/>
        </w:rPr>
        <w:t>×10</w:t>
      </w:r>
      <w:r>
        <w:rPr>
          <w:highlight w:val="none"/>
          <w:vertAlign w:val="superscript"/>
        </w:rPr>
        <w:t>-9</w:t>
      </w:r>
      <w:r>
        <w:rPr>
          <w:highlight w:val="none"/>
        </w:rPr>
        <w:t>≈</w:t>
      </w:r>
      <w:r>
        <w:rPr>
          <w:rFonts w:hint="eastAsia"/>
          <w:highlight w:val="none"/>
        </w:rPr>
        <w:t>0.25</w:t>
      </w:r>
      <w:r>
        <w:rPr>
          <w:highlight w:val="none"/>
        </w:rPr>
        <w:t>t/a。</w:t>
      </w:r>
    </w:p>
    <w:p>
      <w:pPr>
        <w:ind w:firstLine="480"/>
        <w:rPr>
          <w:highlight w:val="none"/>
        </w:rPr>
      </w:pPr>
      <w:r>
        <w:rPr>
          <w:highlight w:val="none"/>
        </w:rPr>
        <w:t>SO</w:t>
      </w:r>
      <w:r>
        <w:rPr>
          <w:highlight w:val="none"/>
          <w:vertAlign w:val="subscript"/>
        </w:rPr>
        <w:t>2</w:t>
      </w:r>
      <w:r>
        <w:rPr>
          <w:highlight w:val="none"/>
        </w:rPr>
        <w:t>排放量（单位：t/a）=基准烟气量×排放浓度限值（300mg/m</w:t>
      </w:r>
      <w:r>
        <w:rPr>
          <w:highlight w:val="none"/>
          <w:vertAlign w:val="superscript"/>
        </w:rPr>
        <w:t>3</w:t>
      </w:r>
      <w:r>
        <w:rPr>
          <w:highlight w:val="none"/>
        </w:rPr>
        <w:t>）×0.8</w:t>
      </w:r>
    </w:p>
    <w:p>
      <w:pPr>
        <w:ind w:firstLine="480"/>
        <w:rPr>
          <w:highlight w:val="none"/>
        </w:rPr>
      </w:pPr>
      <w:r>
        <w:rPr>
          <w:highlight w:val="none"/>
        </w:rPr>
        <w:t>=</w:t>
      </w:r>
      <w:r>
        <w:rPr>
          <w:rFonts w:hint="eastAsia"/>
          <w:snapToGrid w:val="0"/>
          <w:kern w:val="0"/>
          <w:szCs w:val="21"/>
          <w:highlight w:val="none"/>
        </w:rPr>
        <w:t>5017561.92</w:t>
      </w:r>
      <w:r>
        <w:rPr>
          <w:highlight w:val="none"/>
        </w:rPr>
        <w:t>Nm</w:t>
      </w:r>
      <w:r>
        <w:rPr>
          <w:highlight w:val="none"/>
          <w:vertAlign w:val="superscript"/>
        </w:rPr>
        <w:t>3</w:t>
      </w:r>
      <w:r>
        <w:rPr>
          <w:highlight w:val="none"/>
        </w:rPr>
        <w:t>/a×300mg/m</w:t>
      </w:r>
      <w:r>
        <w:rPr>
          <w:highlight w:val="none"/>
          <w:vertAlign w:val="superscript"/>
        </w:rPr>
        <w:t>3</w:t>
      </w:r>
      <w:r>
        <w:rPr>
          <w:highlight w:val="none"/>
        </w:rPr>
        <w:t>×10</w:t>
      </w:r>
      <w:r>
        <w:rPr>
          <w:highlight w:val="none"/>
          <w:vertAlign w:val="superscript"/>
        </w:rPr>
        <w:t>-9</w:t>
      </w:r>
      <w:r>
        <w:rPr>
          <w:highlight w:val="none"/>
        </w:rPr>
        <w:t>×0.8≈</w:t>
      </w:r>
      <w:r>
        <w:rPr>
          <w:rFonts w:hint="eastAsia"/>
          <w:highlight w:val="none"/>
        </w:rPr>
        <w:t>1.2</w:t>
      </w:r>
      <w:r>
        <w:rPr>
          <w:highlight w:val="none"/>
        </w:rPr>
        <w:t>t/a。</w:t>
      </w:r>
    </w:p>
    <w:p>
      <w:pPr>
        <w:ind w:firstLine="480"/>
        <w:rPr>
          <w:highlight w:val="none"/>
        </w:rPr>
      </w:pPr>
      <w:r>
        <w:rPr>
          <w:highlight w:val="none"/>
        </w:rPr>
        <w:t>NO</w:t>
      </w:r>
      <w:r>
        <w:rPr>
          <w:highlight w:val="none"/>
          <w:vertAlign w:val="subscript"/>
        </w:rPr>
        <w:t>x</w:t>
      </w:r>
      <w:r>
        <w:rPr>
          <w:highlight w:val="none"/>
        </w:rPr>
        <w:t>排放量（单位：t/a）=基准烟气量×排放浓度限值（300mg/m</w:t>
      </w:r>
      <w:r>
        <w:rPr>
          <w:highlight w:val="none"/>
          <w:vertAlign w:val="superscript"/>
        </w:rPr>
        <w:t>3</w:t>
      </w:r>
      <w:r>
        <w:rPr>
          <w:highlight w:val="none"/>
        </w:rPr>
        <w:t>）</w:t>
      </w:r>
    </w:p>
    <w:p>
      <w:pPr>
        <w:ind w:firstLine="480"/>
        <w:rPr>
          <w:highlight w:val="none"/>
        </w:rPr>
      </w:pPr>
      <w:r>
        <w:rPr>
          <w:highlight w:val="none"/>
        </w:rPr>
        <w:t>=</w:t>
      </w:r>
      <w:r>
        <w:rPr>
          <w:rFonts w:hint="eastAsia"/>
          <w:snapToGrid w:val="0"/>
          <w:kern w:val="0"/>
          <w:szCs w:val="21"/>
          <w:highlight w:val="none"/>
        </w:rPr>
        <w:t>5017561.92</w:t>
      </w:r>
      <w:r>
        <w:rPr>
          <w:highlight w:val="none"/>
        </w:rPr>
        <w:t>Nm</w:t>
      </w:r>
      <w:r>
        <w:rPr>
          <w:highlight w:val="none"/>
          <w:vertAlign w:val="superscript"/>
        </w:rPr>
        <w:t>3</w:t>
      </w:r>
      <w:r>
        <w:rPr>
          <w:highlight w:val="none"/>
        </w:rPr>
        <w:t>/a×300mg/m</w:t>
      </w:r>
      <w:r>
        <w:rPr>
          <w:highlight w:val="none"/>
          <w:vertAlign w:val="superscript"/>
        </w:rPr>
        <w:t>3</w:t>
      </w:r>
      <w:r>
        <w:rPr>
          <w:highlight w:val="none"/>
        </w:rPr>
        <w:t>×10</w:t>
      </w:r>
      <w:r>
        <w:rPr>
          <w:highlight w:val="none"/>
          <w:vertAlign w:val="superscript"/>
        </w:rPr>
        <w:t>-9</w:t>
      </w:r>
      <w:r>
        <w:rPr>
          <w:highlight w:val="none"/>
        </w:rPr>
        <w:t>≈</w:t>
      </w:r>
      <w:r>
        <w:rPr>
          <w:rFonts w:hint="eastAsia"/>
          <w:highlight w:val="none"/>
        </w:rPr>
        <w:t>1.5</w:t>
      </w:r>
      <w:r>
        <w:rPr>
          <w:highlight w:val="none"/>
        </w:rPr>
        <w:t>t/a。</w:t>
      </w:r>
    </w:p>
    <w:p>
      <w:pPr>
        <w:ind w:firstLine="480"/>
        <w:rPr>
          <w:highlight w:val="none"/>
        </w:rPr>
      </w:pPr>
      <w:r>
        <w:rPr>
          <w:highlight w:val="none"/>
        </w:rPr>
        <w:t>本项目大气污染物核定排放总量如下表：</w:t>
      </w:r>
    </w:p>
    <w:p>
      <w:pPr>
        <w:pStyle w:val="116"/>
        <w:rPr>
          <w:highlight w:val="none"/>
        </w:rPr>
      </w:pPr>
      <w:r>
        <w:rPr>
          <w:highlight w:val="none"/>
        </w:rPr>
        <w:t>附表2   本项目污染物核定排放总量一览表   单位：t/a</w:t>
      </w:r>
    </w:p>
    <w:tbl>
      <w:tblPr>
        <w:tblStyle w:val="2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3"/>
        <w:gridCol w:w="1919"/>
        <w:gridCol w:w="1919"/>
        <w:gridCol w:w="1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2413" w:type="dxa"/>
            <w:vAlign w:val="center"/>
          </w:tcPr>
          <w:p>
            <w:pPr>
              <w:pStyle w:val="117"/>
              <w:rPr>
                <w:highlight w:val="none"/>
              </w:rPr>
            </w:pPr>
            <w:r>
              <w:rPr>
                <w:highlight w:val="none"/>
              </w:rPr>
              <w:t>污染物名称</w:t>
            </w:r>
          </w:p>
        </w:tc>
        <w:tc>
          <w:tcPr>
            <w:tcW w:w="1919" w:type="dxa"/>
            <w:vAlign w:val="center"/>
          </w:tcPr>
          <w:p>
            <w:pPr>
              <w:pStyle w:val="117"/>
              <w:rPr>
                <w:highlight w:val="none"/>
              </w:rPr>
            </w:pPr>
            <w:r>
              <w:rPr>
                <w:highlight w:val="none"/>
              </w:rPr>
              <w:t>烟尘</w:t>
            </w:r>
          </w:p>
        </w:tc>
        <w:tc>
          <w:tcPr>
            <w:tcW w:w="1919" w:type="dxa"/>
            <w:vAlign w:val="center"/>
          </w:tcPr>
          <w:p>
            <w:pPr>
              <w:pStyle w:val="117"/>
              <w:rPr>
                <w:highlight w:val="none"/>
              </w:rPr>
            </w:pPr>
            <w:r>
              <w:rPr>
                <w:highlight w:val="none"/>
              </w:rPr>
              <w:t>二氧化硫</w:t>
            </w:r>
          </w:p>
        </w:tc>
        <w:tc>
          <w:tcPr>
            <w:tcW w:w="1919" w:type="dxa"/>
            <w:vAlign w:val="center"/>
          </w:tcPr>
          <w:p>
            <w:pPr>
              <w:pStyle w:val="117"/>
              <w:rPr>
                <w:highlight w:val="none"/>
              </w:rPr>
            </w:pPr>
            <w:r>
              <w:rPr>
                <w:highlight w:val="none"/>
              </w:rPr>
              <w:t>氮氧化物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413" w:type="dxa"/>
            <w:vAlign w:val="center"/>
          </w:tcPr>
          <w:p>
            <w:pPr>
              <w:pStyle w:val="117"/>
              <w:rPr>
                <w:highlight w:val="none"/>
              </w:rPr>
            </w:pPr>
            <w:r>
              <w:rPr>
                <w:highlight w:val="none"/>
              </w:rPr>
              <w:t>核定排放量</w:t>
            </w:r>
          </w:p>
        </w:tc>
        <w:tc>
          <w:tcPr>
            <w:tcW w:w="1919" w:type="dxa"/>
            <w:vAlign w:val="center"/>
          </w:tcPr>
          <w:p>
            <w:pPr>
              <w:pStyle w:val="117"/>
              <w:rPr>
                <w:highlight w:val="none"/>
              </w:rPr>
            </w:pPr>
            <w:r>
              <w:rPr>
                <w:rFonts w:hint="eastAsia"/>
                <w:highlight w:val="none"/>
              </w:rPr>
              <w:t>0.25</w:t>
            </w:r>
          </w:p>
        </w:tc>
        <w:tc>
          <w:tcPr>
            <w:tcW w:w="1919" w:type="dxa"/>
            <w:vAlign w:val="center"/>
          </w:tcPr>
          <w:p>
            <w:pPr>
              <w:pStyle w:val="117"/>
              <w:rPr>
                <w:highlight w:val="none"/>
              </w:rPr>
            </w:pPr>
            <w:r>
              <w:rPr>
                <w:rFonts w:hint="eastAsia"/>
                <w:highlight w:val="none"/>
              </w:rPr>
              <w:t>1.2</w:t>
            </w:r>
          </w:p>
        </w:tc>
        <w:tc>
          <w:tcPr>
            <w:tcW w:w="1919" w:type="dxa"/>
            <w:vAlign w:val="center"/>
          </w:tcPr>
          <w:p>
            <w:pPr>
              <w:pStyle w:val="117"/>
              <w:rPr>
                <w:highlight w:val="none"/>
              </w:rPr>
            </w:pPr>
            <w:r>
              <w:rPr>
                <w:rFonts w:hint="eastAsia"/>
                <w:highlight w:val="none"/>
              </w:rPr>
              <w:t>1.5</w:t>
            </w:r>
          </w:p>
        </w:tc>
      </w:tr>
    </w:tbl>
    <w:p>
      <w:pPr>
        <w:pStyle w:val="118"/>
        <w:outlineLvl w:val="9"/>
        <w:rPr>
          <w:rFonts w:hint="default"/>
          <w:highlight w:val="none"/>
        </w:rPr>
      </w:pPr>
    </w:p>
    <w:p>
      <w:pPr>
        <w:rPr>
          <w:highlight w:val="none"/>
        </w:rPr>
      </w:pPr>
    </w:p>
    <w:p>
      <w:pPr>
        <w:rPr>
          <w:highlight w:val="none"/>
        </w:rPr>
      </w:pPr>
      <w:r>
        <w:rPr>
          <w:rFonts w:hint="eastAsia"/>
          <w:highlight w:val="none"/>
        </w:rPr>
        <w:br w:type="page"/>
      </w:r>
    </w:p>
    <w:p>
      <w:pPr>
        <w:pStyle w:val="27"/>
        <w:widowControl w:val="0"/>
        <w:snapToGrid/>
        <w:ind w:firstLine="0" w:firstLineChars="0"/>
        <w:outlineLvl w:val="0"/>
        <w:rPr>
          <w:rFonts w:eastAsia="黑体"/>
          <w:snapToGrid w:val="0"/>
          <w:kern w:val="2"/>
          <w:sz w:val="32"/>
          <w:szCs w:val="32"/>
          <w:highlight w:val="none"/>
        </w:rPr>
      </w:pPr>
      <w:bookmarkStart w:id="255" w:name="_Toc27062"/>
      <w:bookmarkStart w:id="256" w:name="_Toc22027"/>
      <w:r>
        <w:rPr>
          <w:rFonts w:hint="eastAsia" w:eastAsia="黑体"/>
          <w:snapToGrid w:val="0"/>
          <w:kern w:val="2"/>
          <w:sz w:val="32"/>
          <w:szCs w:val="32"/>
          <w:highlight w:val="none"/>
        </w:rPr>
        <w:t>附件5 检测报告</w:t>
      </w:r>
      <w:bookmarkEnd w:id="255"/>
      <w:bookmarkEnd w:id="256"/>
    </w:p>
    <w:p>
      <w:pPr>
        <w:rPr>
          <w:highlight w:val="none"/>
        </w:rPr>
      </w:pPr>
      <w:r>
        <w:rPr>
          <w:rFonts w:hint="eastAsia"/>
          <w:highlight w:val="none"/>
        </w:rPr>
        <w:drawing>
          <wp:inline distT="0" distB="0" distL="114300" distR="114300">
            <wp:extent cx="5274310" cy="7522210"/>
            <wp:effectExtent l="0" t="0" r="2540" b="2540"/>
            <wp:docPr id="42" name="图片 9"/>
            <wp:cNvGraphicFramePr/>
            <a:graphic xmlns:a="http://schemas.openxmlformats.org/drawingml/2006/main">
              <a:graphicData uri="http://schemas.openxmlformats.org/drawingml/2006/picture">
                <pic:pic xmlns:pic="http://schemas.openxmlformats.org/drawingml/2006/picture">
                  <pic:nvPicPr>
                    <pic:cNvPr id="42" name="图片 9"/>
                    <pic:cNvPicPr/>
                  </pic:nvPicPr>
                  <pic:blipFill>
                    <a:blip r:embed="rId49"/>
                    <a:stretch>
                      <a:fillRect/>
                    </a:stretch>
                  </pic:blipFill>
                  <pic:spPr>
                    <a:xfrm>
                      <a:off x="0" y="0"/>
                      <a:ext cx="5274310" cy="7522210"/>
                    </a:xfrm>
                    <a:prstGeom prst="rect">
                      <a:avLst/>
                    </a:prstGeom>
                    <a:noFill/>
                    <a:ln>
                      <a:noFill/>
                    </a:ln>
                  </pic:spPr>
                </pic:pic>
              </a:graphicData>
            </a:graphic>
          </wp:inline>
        </w:drawing>
      </w:r>
      <w:r>
        <w:rPr>
          <w:rFonts w:hint="eastAsia"/>
          <w:highlight w:val="none"/>
        </w:rPr>
        <w:drawing>
          <wp:inline distT="0" distB="0" distL="114300" distR="114300">
            <wp:extent cx="5274310" cy="7522210"/>
            <wp:effectExtent l="0" t="0" r="2540" b="2540"/>
            <wp:docPr id="5" name="图片 10"/>
            <wp:cNvGraphicFramePr/>
            <a:graphic xmlns:a="http://schemas.openxmlformats.org/drawingml/2006/main">
              <a:graphicData uri="http://schemas.openxmlformats.org/drawingml/2006/picture">
                <pic:pic xmlns:pic="http://schemas.openxmlformats.org/drawingml/2006/picture">
                  <pic:nvPicPr>
                    <pic:cNvPr id="5" name="图片 10"/>
                    <pic:cNvPicPr/>
                  </pic:nvPicPr>
                  <pic:blipFill>
                    <a:blip r:embed="rId50"/>
                    <a:stretch>
                      <a:fillRect/>
                    </a:stretch>
                  </pic:blipFill>
                  <pic:spPr>
                    <a:xfrm>
                      <a:off x="0" y="0"/>
                      <a:ext cx="5274310" cy="7522210"/>
                    </a:xfrm>
                    <a:prstGeom prst="rect">
                      <a:avLst/>
                    </a:prstGeom>
                    <a:noFill/>
                    <a:ln>
                      <a:noFill/>
                    </a:ln>
                  </pic:spPr>
                </pic:pic>
              </a:graphicData>
            </a:graphic>
          </wp:inline>
        </w:drawing>
      </w:r>
      <w:r>
        <w:rPr>
          <w:rFonts w:hint="eastAsia"/>
          <w:highlight w:val="none"/>
        </w:rPr>
        <w:drawing>
          <wp:inline distT="0" distB="0" distL="114300" distR="114300">
            <wp:extent cx="5274310" cy="7522210"/>
            <wp:effectExtent l="0" t="0" r="2540" b="2540"/>
            <wp:docPr id="38" name="图片 11"/>
            <wp:cNvGraphicFramePr/>
            <a:graphic xmlns:a="http://schemas.openxmlformats.org/drawingml/2006/main">
              <a:graphicData uri="http://schemas.openxmlformats.org/drawingml/2006/picture">
                <pic:pic xmlns:pic="http://schemas.openxmlformats.org/drawingml/2006/picture">
                  <pic:nvPicPr>
                    <pic:cNvPr id="38" name="图片 11"/>
                    <pic:cNvPicPr/>
                  </pic:nvPicPr>
                  <pic:blipFill>
                    <a:blip r:embed="rId51"/>
                    <a:stretch>
                      <a:fillRect/>
                    </a:stretch>
                  </pic:blipFill>
                  <pic:spPr>
                    <a:xfrm>
                      <a:off x="0" y="0"/>
                      <a:ext cx="5274310" cy="7522210"/>
                    </a:xfrm>
                    <a:prstGeom prst="rect">
                      <a:avLst/>
                    </a:prstGeom>
                    <a:noFill/>
                    <a:ln>
                      <a:noFill/>
                    </a:ln>
                  </pic:spPr>
                </pic:pic>
              </a:graphicData>
            </a:graphic>
          </wp:inline>
        </w:drawing>
      </w:r>
      <w:r>
        <w:rPr>
          <w:rFonts w:hint="eastAsia"/>
          <w:highlight w:val="none"/>
        </w:rPr>
        <w:drawing>
          <wp:inline distT="0" distB="0" distL="114300" distR="114300">
            <wp:extent cx="5274310" cy="7522210"/>
            <wp:effectExtent l="0" t="0" r="2540" b="2540"/>
            <wp:docPr id="39" name="图片 12"/>
            <wp:cNvGraphicFramePr/>
            <a:graphic xmlns:a="http://schemas.openxmlformats.org/drawingml/2006/main">
              <a:graphicData uri="http://schemas.openxmlformats.org/drawingml/2006/picture">
                <pic:pic xmlns:pic="http://schemas.openxmlformats.org/drawingml/2006/picture">
                  <pic:nvPicPr>
                    <pic:cNvPr id="39" name="图片 12"/>
                    <pic:cNvPicPr/>
                  </pic:nvPicPr>
                  <pic:blipFill>
                    <a:blip r:embed="rId52"/>
                    <a:stretch>
                      <a:fillRect/>
                    </a:stretch>
                  </pic:blipFill>
                  <pic:spPr>
                    <a:xfrm>
                      <a:off x="0" y="0"/>
                      <a:ext cx="5274310" cy="7522210"/>
                    </a:xfrm>
                    <a:prstGeom prst="rect">
                      <a:avLst/>
                    </a:prstGeom>
                    <a:noFill/>
                    <a:ln>
                      <a:noFill/>
                    </a:ln>
                  </pic:spPr>
                </pic:pic>
              </a:graphicData>
            </a:graphic>
          </wp:inline>
        </w:drawing>
      </w:r>
      <w:r>
        <w:rPr>
          <w:rFonts w:hint="eastAsia"/>
          <w:highlight w:val="none"/>
        </w:rPr>
        <w:drawing>
          <wp:inline distT="0" distB="0" distL="114300" distR="114300">
            <wp:extent cx="5274310" cy="7522210"/>
            <wp:effectExtent l="0" t="0" r="2540" b="2540"/>
            <wp:docPr id="40" name="图片 13"/>
            <wp:cNvGraphicFramePr/>
            <a:graphic xmlns:a="http://schemas.openxmlformats.org/drawingml/2006/main">
              <a:graphicData uri="http://schemas.openxmlformats.org/drawingml/2006/picture">
                <pic:pic xmlns:pic="http://schemas.openxmlformats.org/drawingml/2006/picture">
                  <pic:nvPicPr>
                    <pic:cNvPr id="40" name="图片 13"/>
                    <pic:cNvPicPr/>
                  </pic:nvPicPr>
                  <pic:blipFill>
                    <a:blip r:embed="rId53"/>
                    <a:stretch>
                      <a:fillRect/>
                    </a:stretch>
                  </pic:blipFill>
                  <pic:spPr>
                    <a:xfrm>
                      <a:off x="0" y="0"/>
                      <a:ext cx="5274310" cy="7522210"/>
                    </a:xfrm>
                    <a:prstGeom prst="rect">
                      <a:avLst/>
                    </a:prstGeom>
                    <a:noFill/>
                    <a:ln>
                      <a:noFill/>
                    </a:ln>
                  </pic:spPr>
                </pic:pic>
              </a:graphicData>
            </a:graphic>
          </wp:inline>
        </w:drawing>
      </w:r>
      <w:r>
        <w:rPr>
          <w:rFonts w:hint="eastAsia"/>
          <w:highlight w:val="none"/>
        </w:rPr>
        <w:drawing>
          <wp:inline distT="0" distB="0" distL="114300" distR="114300">
            <wp:extent cx="5274310" cy="7522210"/>
            <wp:effectExtent l="0" t="0" r="2540" b="2540"/>
            <wp:docPr id="41" name="图片 14"/>
            <wp:cNvGraphicFramePr/>
            <a:graphic xmlns:a="http://schemas.openxmlformats.org/drawingml/2006/main">
              <a:graphicData uri="http://schemas.openxmlformats.org/drawingml/2006/picture">
                <pic:pic xmlns:pic="http://schemas.openxmlformats.org/drawingml/2006/picture">
                  <pic:nvPicPr>
                    <pic:cNvPr id="41" name="图片 14"/>
                    <pic:cNvPicPr/>
                  </pic:nvPicPr>
                  <pic:blipFill>
                    <a:blip r:embed="rId54"/>
                    <a:stretch>
                      <a:fillRect/>
                    </a:stretch>
                  </pic:blipFill>
                  <pic:spPr>
                    <a:xfrm>
                      <a:off x="0" y="0"/>
                      <a:ext cx="5274310" cy="7522210"/>
                    </a:xfrm>
                    <a:prstGeom prst="rect">
                      <a:avLst/>
                    </a:prstGeom>
                    <a:noFill/>
                    <a:ln>
                      <a:noFill/>
                    </a:ln>
                  </pic:spPr>
                </pic:pic>
              </a:graphicData>
            </a:graphic>
          </wp:inline>
        </w:drawing>
      </w:r>
    </w:p>
    <w:p>
      <w:pPr>
        <w:outlineLvl w:val="0"/>
        <w:rPr>
          <w:rFonts w:eastAsia="黑体"/>
          <w:snapToGrid w:val="0"/>
          <w:sz w:val="32"/>
          <w:szCs w:val="32"/>
          <w:highlight w:val="none"/>
        </w:rPr>
      </w:pPr>
      <w:bookmarkStart w:id="257" w:name="_Toc3063"/>
      <w:bookmarkStart w:id="258" w:name="_Toc29077"/>
      <w:r>
        <w:rPr>
          <w:rFonts w:hint="eastAsia"/>
          <w:highlight w:val="none"/>
        </w:rPr>
        <w:br w:type="column"/>
      </w:r>
      <w:r>
        <w:rPr>
          <w:rFonts w:hint="eastAsia" w:eastAsia="黑体"/>
          <w:snapToGrid w:val="0"/>
          <w:sz w:val="32"/>
          <w:szCs w:val="32"/>
          <w:highlight w:val="none"/>
        </w:rPr>
        <w:t>附件6 污水协议</w:t>
      </w:r>
      <w:bookmarkEnd w:id="257"/>
      <w:bookmarkEnd w:id="258"/>
    </w:p>
    <w:p>
      <w:pPr>
        <w:jc w:val="center"/>
        <w:rPr>
          <w:highlight w:val="none"/>
        </w:rPr>
      </w:pPr>
      <w:r>
        <w:rPr>
          <w:highlight w:val="none"/>
        </w:rPr>
        <w:drawing>
          <wp:inline distT="0" distB="0" distL="114300" distR="114300">
            <wp:extent cx="4874895" cy="7141210"/>
            <wp:effectExtent l="0" t="0" r="1905" b="2540"/>
            <wp:docPr id="9" name="图片 9" descr="32c711173e857219a5ec25436f20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2c711173e857219a5ec25436f20d5a"/>
                    <pic:cNvPicPr>
                      <a:picLocks noChangeAspect="1"/>
                    </pic:cNvPicPr>
                  </pic:nvPicPr>
                  <pic:blipFill>
                    <a:blip r:embed="rId55"/>
                    <a:srcRect l="4586" t="4460" r="8492"/>
                    <a:stretch>
                      <a:fillRect/>
                    </a:stretch>
                  </pic:blipFill>
                  <pic:spPr>
                    <a:xfrm>
                      <a:off x="0" y="0"/>
                      <a:ext cx="4874895" cy="7141210"/>
                    </a:xfrm>
                    <a:prstGeom prst="rect">
                      <a:avLst/>
                    </a:prstGeom>
                  </pic:spPr>
                </pic:pic>
              </a:graphicData>
            </a:graphic>
          </wp:inline>
        </w:drawing>
      </w:r>
    </w:p>
    <w:p>
      <w:pPr>
        <w:rPr>
          <w:highlight w:val="none"/>
        </w:rPr>
      </w:pPr>
      <w:r>
        <w:rPr>
          <w:highlight w:val="none"/>
        </w:rPr>
        <w:br w:type="page"/>
      </w:r>
    </w:p>
    <w:p>
      <w:pPr>
        <w:pStyle w:val="2"/>
        <w:spacing w:line="260" w:lineRule="auto"/>
        <w:outlineLvl w:val="0"/>
        <w:rPr>
          <w:rFonts w:eastAsia="黑体"/>
          <w:snapToGrid w:val="0"/>
          <w:kern w:val="2"/>
          <w:sz w:val="32"/>
          <w:szCs w:val="32"/>
          <w:highlight w:val="none"/>
        </w:rPr>
      </w:pPr>
      <w:bookmarkStart w:id="259" w:name="_Toc20992"/>
      <w:bookmarkStart w:id="260" w:name="_Toc10397"/>
      <w:r>
        <w:rPr>
          <w:rFonts w:hint="eastAsia" w:eastAsia="黑体"/>
          <w:snapToGrid w:val="0"/>
          <w:kern w:val="2"/>
          <w:sz w:val="32"/>
          <w:szCs w:val="32"/>
          <w:highlight w:val="none"/>
        </w:rPr>
        <w:t>附件7 原有总量文件</w:t>
      </w:r>
      <w:bookmarkEnd w:id="259"/>
      <w:bookmarkEnd w:id="260"/>
    </w:p>
    <w:p>
      <w:pPr>
        <w:jc w:val="center"/>
        <w:rPr>
          <w:highlight w:val="none"/>
        </w:rPr>
      </w:pPr>
      <w:r>
        <w:rPr>
          <w:highlight w:val="none"/>
        </w:rPr>
        <w:drawing>
          <wp:inline distT="0" distB="0" distL="114300" distR="114300">
            <wp:extent cx="5271135" cy="7482840"/>
            <wp:effectExtent l="0" t="0" r="5715" b="381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56"/>
                    <a:stretch>
                      <a:fillRect/>
                    </a:stretch>
                  </pic:blipFill>
                  <pic:spPr>
                    <a:xfrm>
                      <a:off x="0" y="0"/>
                      <a:ext cx="5271135" cy="7482840"/>
                    </a:xfrm>
                    <a:prstGeom prst="rect">
                      <a:avLst/>
                    </a:prstGeom>
                    <a:noFill/>
                    <a:ln>
                      <a:noFill/>
                    </a:ln>
                  </pic:spPr>
                </pic:pic>
              </a:graphicData>
            </a:graphic>
          </wp:inline>
        </w:drawing>
      </w:r>
    </w:p>
    <w:p>
      <w:pPr>
        <w:pStyle w:val="2"/>
        <w:jc w:val="center"/>
        <w:rPr>
          <w:highlight w:val="none"/>
        </w:rPr>
      </w:pPr>
      <w:r>
        <w:rPr>
          <w:highlight w:val="none"/>
        </w:rPr>
        <w:drawing>
          <wp:inline distT="0" distB="0" distL="114300" distR="114300">
            <wp:extent cx="5269230" cy="7477760"/>
            <wp:effectExtent l="0" t="0" r="7620" b="889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57"/>
                    <a:stretch>
                      <a:fillRect/>
                    </a:stretch>
                  </pic:blipFill>
                  <pic:spPr>
                    <a:xfrm>
                      <a:off x="0" y="0"/>
                      <a:ext cx="5269230" cy="7477760"/>
                    </a:xfrm>
                    <a:prstGeom prst="rect">
                      <a:avLst/>
                    </a:prstGeom>
                    <a:noFill/>
                    <a:ln>
                      <a:noFill/>
                    </a:ln>
                  </pic:spPr>
                </pic:pic>
              </a:graphicData>
            </a:graphic>
          </wp:inline>
        </w:drawing>
      </w:r>
    </w:p>
    <w:p>
      <w:pPr>
        <w:rPr>
          <w:highlight w:val="none"/>
        </w:rPr>
      </w:pPr>
    </w:p>
    <w:p>
      <w:pPr>
        <w:pStyle w:val="2"/>
        <w:rPr>
          <w:highlight w:val="none"/>
        </w:rPr>
      </w:pPr>
    </w:p>
    <w:p>
      <w:pPr>
        <w:rPr>
          <w:highlight w:val="none"/>
        </w:rPr>
      </w:pPr>
    </w:p>
    <w:p>
      <w:pPr>
        <w:pStyle w:val="2"/>
        <w:rPr>
          <w:highlight w:val="none"/>
        </w:rPr>
      </w:pPr>
    </w:p>
    <w:p>
      <w:pPr>
        <w:pStyle w:val="2"/>
        <w:spacing w:line="260" w:lineRule="auto"/>
        <w:outlineLvl w:val="0"/>
        <w:rPr>
          <w:rFonts w:eastAsia="黑体"/>
          <w:snapToGrid w:val="0"/>
          <w:kern w:val="2"/>
          <w:sz w:val="32"/>
          <w:szCs w:val="32"/>
          <w:highlight w:val="none"/>
        </w:rPr>
      </w:pPr>
      <w:bookmarkStart w:id="261" w:name="_Toc8863"/>
      <w:r>
        <w:rPr>
          <w:rFonts w:hint="eastAsia" w:eastAsia="黑体"/>
          <w:snapToGrid w:val="0"/>
          <w:kern w:val="2"/>
          <w:sz w:val="32"/>
          <w:szCs w:val="32"/>
          <w:highlight w:val="none"/>
        </w:rPr>
        <w:t>附件</w:t>
      </w:r>
      <w:r>
        <w:rPr>
          <w:rFonts w:hint="eastAsia" w:eastAsia="黑体"/>
          <w:snapToGrid w:val="0"/>
          <w:kern w:val="2"/>
          <w:sz w:val="32"/>
          <w:szCs w:val="32"/>
          <w:highlight w:val="none"/>
          <w:lang w:val="en-US" w:eastAsia="zh-CN"/>
        </w:rPr>
        <w:t>8</w:t>
      </w:r>
      <w:r>
        <w:rPr>
          <w:rFonts w:hint="eastAsia" w:eastAsia="黑体"/>
          <w:snapToGrid w:val="0"/>
          <w:kern w:val="2"/>
          <w:sz w:val="32"/>
          <w:szCs w:val="32"/>
          <w:highlight w:val="none"/>
        </w:rPr>
        <w:t xml:space="preserve"> </w:t>
      </w:r>
      <w:r>
        <w:rPr>
          <w:rFonts w:hint="eastAsia" w:eastAsia="黑体"/>
          <w:snapToGrid w:val="0"/>
          <w:kern w:val="2"/>
          <w:sz w:val="32"/>
          <w:szCs w:val="32"/>
          <w:highlight w:val="none"/>
          <w:lang w:val="en-US" w:eastAsia="zh-CN"/>
        </w:rPr>
        <w:t>本项目</w:t>
      </w:r>
      <w:r>
        <w:rPr>
          <w:rFonts w:hint="eastAsia" w:eastAsia="黑体"/>
          <w:snapToGrid w:val="0"/>
          <w:kern w:val="2"/>
          <w:sz w:val="32"/>
          <w:szCs w:val="32"/>
          <w:highlight w:val="none"/>
        </w:rPr>
        <w:t>总量文件</w:t>
      </w:r>
      <w:bookmarkEnd w:id="261"/>
    </w:p>
    <w:p>
      <w:pPr>
        <w:pStyle w:val="2"/>
        <w:rPr>
          <w:highlight w:val="none"/>
        </w:rPr>
      </w:pPr>
    </w:p>
    <w:p>
      <w:pPr>
        <w:rPr>
          <w:highlight w:val="none"/>
        </w:rPr>
      </w:pPr>
      <w:r>
        <w:rPr>
          <w:highlight w:val="none"/>
        </w:rPr>
        <w:drawing>
          <wp:inline distT="0" distB="0" distL="114300" distR="114300">
            <wp:extent cx="5612765" cy="7785735"/>
            <wp:effectExtent l="0" t="0" r="6985" b="571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58"/>
                    <a:stretch>
                      <a:fillRect/>
                    </a:stretch>
                  </pic:blipFill>
                  <pic:spPr>
                    <a:xfrm>
                      <a:off x="0" y="0"/>
                      <a:ext cx="5612765" cy="7785735"/>
                    </a:xfrm>
                    <a:prstGeom prst="rect">
                      <a:avLst/>
                    </a:prstGeom>
                    <a:noFill/>
                    <a:ln>
                      <a:noFill/>
                    </a:ln>
                  </pic:spPr>
                </pic:pic>
              </a:graphicData>
            </a:graphic>
          </wp:inline>
        </w:drawing>
      </w:r>
    </w:p>
    <w:p>
      <w:pPr>
        <w:rPr>
          <w:highlight w:val="none"/>
        </w:rPr>
      </w:pPr>
      <w:r>
        <w:rPr>
          <w:highlight w:val="none"/>
        </w:rPr>
        <w:br w:type="page"/>
      </w:r>
    </w:p>
    <w:p>
      <w:pPr>
        <w:pStyle w:val="2"/>
        <w:rPr>
          <w:rFonts w:hint="eastAsia" w:eastAsia="黑体"/>
          <w:snapToGrid w:val="0"/>
          <w:kern w:val="2"/>
          <w:sz w:val="32"/>
          <w:szCs w:val="32"/>
          <w:highlight w:val="none"/>
        </w:rPr>
      </w:pPr>
      <w:r>
        <w:rPr>
          <w:highlight w:val="none"/>
        </w:rPr>
        <w:drawing>
          <wp:inline distT="0" distB="0" distL="114300" distR="114300">
            <wp:extent cx="5614670" cy="7896225"/>
            <wp:effectExtent l="0" t="0" r="5080" b="9525"/>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0"/>
                    <pic:cNvPicPr>
                      <a:picLocks noChangeAspect="1"/>
                    </pic:cNvPicPr>
                  </pic:nvPicPr>
                  <pic:blipFill>
                    <a:blip r:embed="rId59"/>
                    <a:stretch>
                      <a:fillRect/>
                    </a:stretch>
                  </pic:blipFill>
                  <pic:spPr>
                    <a:xfrm>
                      <a:off x="0" y="0"/>
                      <a:ext cx="5614670" cy="7896225"/>
                    </a:xfrm>
                    <a:prstGeom prst="rect">
                      <a:avLst/>
                    </a:prstGeom>
                    <a:noFill/>
                    <a:ln>
                      <a:noFill/>
                    </a:ln>
                  </pic:spPr>
                </pic:pic>
              </a:graphicData>
            </a:graphic>
          </wp:inline>
        </w:drawing>
      </w:r>
      <w:bookmarkStart w:id="262" w:name="_Toc25434"/>
    </w:p>
    <w:p>
      <w:pPr>
        <w:pStyle w:val="2"/>
        <w:spacing w:line="260" w:lineRule="auto"/>
        <w:outlineLvl w:val="9"/>
        <w:rPr>
          <w:rFonts w:hint="eastAsia" w:eastAsia="黑体"/>
          <w:snapToGrid w:val="0"/>
          <w:kern w:val="2"/>
          <w:sz w:val="32"/>
          <w:szCs w:val="32"/>
          <w:highlight w:val="none"/>
        </w:rPr>
      </w:pPr>
    </w:p>
    <w:p>
      <w:pPr>
        <w:pStyle w:val="2"/>
        <w:keepNext w:val="0"/>
        <w:keepLines w:val="0"/>
        <w:pageBreakBefore w:val="0"/>
        <w:widowControl/>
        <w:kinsoku/>
        <w:wordWrap/>
        <w:overflowPunct/>
        <w:topLinePunct w:val="0"/>
        <w:autoSpaceDE/>
        <w:autoSpaceDN/>
        <w:bidi w:val="0"/>
        <w:adjustRightInd/>
        <w:snapToGrid w:val="0"/>
        <w:spacing w:line="260" w:lineRule="auto"/>
        <w:ind w:right="113"/>
        <w:textAlignment w:val="auto"/>
        <w:outlineLvl w:val="0"/>
        <w:rPr>
          <w:rFonts w:eastAsia="黑体"/>
          <w:snapToGrid w:val="0"/>
          <w:kern w:val="2"/>
          <w:sz w:val="32"/>
          <w:szCs w:val="32"/>
          <w:highlight w:val="none"/>
        </w:rPr>
      </w:pPr>
      <w:bookmarkStart w:id="263" w:name="_Toc25387"/>
      <w:r>
        <w:rPr>
          <w:rFonts w:hint="eastAsia" w:eastAsia="黑体"/>
          <w:snapToGrid w:val="0"/>
          <w:kern w:val="2"/>
          <w:sz w:val="32"/>
          <w:szCs w:val="32"/>
          <w:highlight w:val="none"/>
        </w:rPr>
        <w:t>附件</w:t>
      </w:r>
      <w:r>
        <w:rPr>
          <w:rFonts w:hint="eastAsia" w:eastAsia="黑体"/>
          <w:snapToGrid w:val="0"/>
          <w:kern w:val="2"/>
          <w:sz w:val="32"/>
          <w:szCs w:val="32"/>
          <w:highlight w:val="none"/>
          <w:lang w:val="en-US" w:eastAsia="zh-CN"/>
        </w:rPr>
        <w:t>9</w:t>
      </w:r>
      <w:r>
        <w:rPr>
          <w:rFonts w:hint="eastAsia" w:eastAsia="黑体"/>
          <w:snapToGrid w:val="0"/>
          <w:kern w:val="2"/>
          <w:sz w:val="32"/>
          <w:szCs w:val="32"/>
          <w:highlight w:val="none"/>
        </w:rPr>
        <w:t xml:space="preserve"> 环评批复</w:t>
      </w:r>
      <w:bookmarkEnd w:id="262"/>
      <w:bookmarkEnd w:id="263"/>
    </w:p>
    <w:p>
      <w:pPr>
        <w:jc w:val="center"/>
        <w:rPr>
          <w:highlight w:val="none"/>
        </w:rPr>
      </w:pPr>
      <w:r>
        <w:rPr>
          <w:rFonts w:hint="eastAsia"/>
          <w:highlight w:val="none"/>
        </w:rPr>
        <w:drawing>
          <wp:inline distT="0" distB="0" distL="114300" distR="114300">
            <wp:extent cx="5000625" cy="7917815"/>
            <wp:effectExtent l="0" t="0" r="9525" b="6985"/>
            <wp:docPr id="46" name="图片 46" descr="微信图片_2023082809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微信图片_20230828092938"/>
                    <pic:cNvPicPr>
                      <a:picLocks noChangeAspect="1"/>
                    </pic:cNvPicPr>
                  </pic:nvPicPr>
                  <pic:blipFill>
                    <a:blip r:embed="rId60"/>
                    <a:stretch>
                      <a:fillRect/>
                    </a:stretch>
                  </pic:blipFill>
                  <pic:spPr>
                    <a:xfrm>
                      <a:off x="0" y="0"/>
                      <a:ext cx="5000625" cy="7917815"/>
                    </a:xfrm>
                    <a:prstGeom prst="rect">
                      <a:avLst/>
                    </a:prstGeom>
                  </pic:spPr>
                </pic:pic>
              </a:graphicData>
            </a:graphic>
          </wp:inline>
        </w:drawing>
      </w:r>
    </w:p>
    <w:p>
      <w:pPr>
        <w:jc w:val="center"/>
        <w:rPr>
          <w:highlight w:val="none"/>
        </w:rPr>
      </w:pPr>
    </w:p>
    <w:p>
      <w:pPr>
        <w:jc w:val="center"/>
        <w:rPr>
          <w:highlight w:val="none"/>
        </w:rPr>
      </w:pPr>
      <w:r>
        <w:rPr>
          <w:rFonts w:hint="eastAsia"/>
          <w:highlight w:val="none"/>
        </w:rPr>
        <w:drawing>
          <wp:inline distT="0" distB="0" distL="114300" distR="114300">
            <wp:extent cx="5128260" cy="8354060"/>
            <wp:effectExtent l="0" t="0" r="15240" b="8890"/>
            <wp:docPr id="47" name="图片 47" descr="微信图片_202308280929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微信图片_202308280929381"/>
                    <pic:cNvPicPr>
                      <a:picLocks noChangeAspect="1"/>
                    </pic:cNvPicPr>
                  </pic:nvPicPr>
                  <pic:blipFill>
                    <a:blip r:embed="rId61"/>
                    <a:stretch>
                      <a:fillRect/>
                    </a:stretch>
                  </pic:blipFill>
                  <pic:spPr>
                    <a:xfrm>
                      <a:off x="0" y="0"/>
                      <a:ext cx="5128260" cy="8354060"/>
                    </a:xfrm>
                    <a:prstGeom prst="rect">
                      <a:avLst/>
                    </a:prstGeom>
                  </pic:spPr>
                </pic:pic>
              </a:graphicData>
            </a:graphic>
          </wp:inline>
        </w:drawing>
      </w:r>
    </w:p>
    <w:p>
      <w:pPr>
        <w:jc w:val="center"/>
        <w:rPr>
          <w:highlight w:val="none"/>
        </w:rPr>
      </w:pPr>
    </w:p>
    <w:p>
      <w:pPr>
        <w:jc w:val="center"/>
        <w:rPr>
          <w:rFonts w:eastAsia="黑体"/>
          <w:snapToGrid w:val="0"/>
          <w:sz w:val="32"/>
          <w:szCs w:val="32"/>
          <w:highlight w:val="none"/>
        </w:rPr>
      </w:pPr>
      <w:r>
        <w:rPr>
          <w:rFonts w:hint="eastAsia"/>
          <w:highlight w:val="none"/>
        </w:rPr>
        <w:drawing>
          <wp:inline distT="0" distB="0" distL="114300" distR="114300">
            <wp:extent cx="5257800" cy="8529955"/>
            <wp:effectExtent l="0" t="0" r="0" b="4445"/>
            <wp:docPr id="48" name="图片 48" descr="微信图片_2023082809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信图片_20230828092939"/>
                    <pic:cNvPicPr>
                      <a:picLocks noChangeAspect="1"/>
                    </pic:cNvPicPr>
                  </pic:nvPicPr>
                  <pic:blipFill>
                    <a:blip r:embed="rId62"/>
                    <a:stretch>
                      <a:fillRect/>
                    </a:stretch>
                  </pic:blipFill>
                  <pic:spPr>
                    <a:xfrm>
                      <a:off x="0" y="0"/>
                      <a:ext cx="5257800" cy="8529955"/>
                    </a:xfrm>
                    <a:prstGeom prst="rect">
                      <a:avLst/>
                    </a:prstGeom>
                  </pic:spPr>
                </pic:pic>
              </a:graphicData>
            </a:graphic>
          </wp:inline>
        </w:drawing>
      </w:r>
    </w:p>
    <w:p>
      <w:pPr>
        <w:rPr>
          <w:rFonts w:hint="eastAsia" w:eastAsia="黑体"/>
          <w:snapToGrid w:val="0"/>
          <w:sz w:val="32"/>
          <w:szCs w:val="32"/>
          <w:highlight w:val="none"/>
        </w:rPr>
      </w:pPr>
      <w:r>
        <w:rPr>
          <w:rFonts w:hint="eastAsia" w:eastAsia="黑体"/>
          <w:snapToGrid w:val="0"/>
          <w:sz w:val="32"/>
          <w:szCs w:val="32"/>
          <w:highlight w:val="none"/>
        </w:rPr>
        <w:drawing>
          <wp:inline distT="0" distB="0" distL="114300" distR="114300">
            <wp:extent cx="5612765" cy="7846695"/>
            <wp:effectExtent l="0" t="0" r="6985" b="1905"/>
            <wp:docPr id="51" name="图片 51" descr="微信图片_202308280929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微信图片_202308280929391"/>
                    <pic:cNvPicPr>
                      <a:picLocks noChangeAspect="1"/>
                    </pic:cNvPicPr>
                  </pic:nvPicPr>
                  <pic:blipFill>
                    <a:blip r:embed="rId63"/>
                    <a:stretch>
                      <a:fillRect/>
                    </a:stretch>
                  </pic:blipFill>
                  <pic:spPr>
                    <a:xfrm>
                      <a:off x="0" y="0"/>
                      <a:ext cx="5612765" cy="7846695"/>
                    </a:xfrm>
                    <a:prstGeom prst="rect">
                      <a:avLst/>
                    </a:prstGeom>
                  </pic:spPr>
                </pic:pic>
              </a:graphicData>
            </a:graphic>
          </wp:inline>
        </w:drawing>
      </w:r>
    </w:p>
    <w:p>
      <w:pPr>
        <w:pStyle w:val="2"/>
        <w:rPr>
          <w:rFonts w:hint="eastAsia" w:eastAsia="黑体"/>
          <w:snapToGrid w:val="0"/>
          <w:sz w:val="32"/>
          <w:szCs w:val="32"/>
          <w:highlight w:val="none"/>
        </w:rPr>
      </w:pPr>
    </w:p>
    <w:p>
      <w:pPr>
        <w:rPr>
          <w:highlight w:val="none"/>
        </w:rPr>
      </w:pPr>
    </w:p>
    <w:sectPr>
      <w:footerReference r:id="rId10" w:type="default"/>
      <w:pgSz w:w="11906" w:h="16838"/>
      <w:pgMar w:top="1701" w:right="1531" w:bottom="1701" w:left="1531" w:header="851" w:footer="850" w:gutter="0"/>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swiss"/>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 w:name="STSong-Light">
    <w:altName w:val="Times New Roman"/>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2250" w:hanging="1200"/>
      <w:jc w:val="center"/>
    </w:pPr>
  </w:p>
  <w:p>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2250" w:hanging="1200"/>
      <w:jc w:val="center"/>
    </w:pPr>
  </w:p>
  <w:p>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2250" w:hanging="1200"/>
      <w:jc w:val="cente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sT65QzAgAAY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sT65Q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p>
    <w:pPr>
      <w:pStyle w:val="1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left="2250" w:hanging="1200"/>
      <w:jc w:val="cente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2" name="文本框 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ZAnnc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O2E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ZAnnczAgAAYwQAAA4AAAAAAAAAAQAgAAAAHwEAAGRycy9lMm9Eb2MueG1sUEsF&#10;BgAAAAAGAAYAWQEAAMQFA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1</w:t>
                    </w:r>
                    <w:r>
                      <w:fldChar w:fldCharType="end"/>
                    </w:r>
                  </w:p>
                </w:txbxContent>
              </v:textbox>
            </v:shape>
          </w:pict>
        </mc:Fallback>
      </mc:AlternateContent>
    </w:r>
  </w:p>
  <w:p>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14935" cy="131445"/>
              <wp:effectExtent l="3175" t="3810" r="0" b="0"/>
              <wp:wrapNone/>
              <wp:docPr id="3" name="文本框 2057"/>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7" o:spid="_x0000_s1026" o:spt="202" type="#_x0000_t202" style="position:absolute;left:0pt;margin-top:0pt;height:10.35pt;width:9.05pt;mso-position-horizontal:center;mso-position-horizontal-relative:margin;mso-wrap-style:none;z-index:251671552;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PlfknQAAAAAwEAAA8AAAAAAAAAAQAgAAAAIgAAAGRy&#10;cy9kb3ducmV2LnhtbFBLAQIUABQAAAAIAIdO4kC44zq7DQIAAAUEAAAOAAAAAAAAAAEAIAAAAB8B&#10;AABkcnMvZTJvRG9jLnhtbFBLBQYAAAAABgAGAFkBAACeBQ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38</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14935" cy="131445"/>
              <wp:effectExtent l="3175" t="3810" r="0" b="0"/>
              <wp:wrapNone/>
              <wp:docPr id="2" name="文本框 2058"/>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8" o:spid="_x0000_s1026" o:spt="202" type="#_x0000_t202" style="position:absolute;left:0pt;margin-top:0pt;height:10.35pt;width:9.05pt;mso-position-horizontal:center;mso-position-horizontal-relative:margin;mso-wrap-style:none;z-index:251672576;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PlfknQAAAAAwEAAA8AAAAAAAAAAQAgAAAAIgAAAGRy&#10;cy9kb3ducmV2LnhtbFBLAQIUABQAAAAIAIdO4kCTA4c/DQIAAAUEAAAOAAAAAAAAAAEAIAAAAB8B&#10;AABkcnMvZTJvRG9jLnhtbFBLBQYAAAAABgAGAFkBAACeBQ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40</w:t>
                    </w:r>
                    <w:r>
                      <w:rPr>
                        <w:rFonts w:hint="eastAsia"/>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rPr>
        <w:rFonts w:ascii="宋体" w:hAnsi="宋体"/>
        <w:sz w:val="24"/>
        <w:szCs w:val="24"/>
      </w:rPr>
    </w:pPr>
    <w:r>
      <w:rPr>
        <w:sz w:val="24"/>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14935" cy="131445"/>
              <wp:effectExtent l="0" t="2540" r="1270" b="0"/>
              <wp:wrapNone/>
              <wp:docPr id="1" name="文本框 2054"/>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pPr>
                            <w:pStyle w:val="17"/>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wps:txbx>
                    <wps:bodyPr rot="0" vert="horz" wrap="none" lIns="0" tIns="0" rIns="0" bIns="0" anchor="t" anchorCtr="0" upright="1">
                      <a:spAutoFit/>
                    </wps:bodyPr>
                  </wps:wsp>
                </a:graphicData>
              </a:graphic>
            </wp:anchor>
          </w:drawing>
        </mc:Choice>
        <mc:Fallback>
          <w:pict>
            <v:shape id="文本框 2054" o:spid="_x0000_s1026" o:spt="202" type="#_x0000_t202" style="position:absolute;left:0pt;margin-top:0pt;height:10.35pt;width:9.05pt;mso-position-horizontal:center;mso-position-horizontal-relative:margin;mso-wrap-style:none;z-index:251670528;mso-width-relative:page;mso-height-relative:page;" filled="f" stroked="f" coordsize="21600,21600" o:gfxdata="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Q+V+SdAAAAADAQAADwAAAAAAAAABACAAAAAiAAAAZHJz&#10;L2Rvd25yZXYueG1sUEsBAhQAFAAAAAgAh07iQLqVVFoMAgAABQQAAA4AAAAAAAAAAQAgAAAAHwEA&#10;AGRycy9lMm9Eb2MueG1sUEsFBgAAAAAGAAYAWQEAAJ0FAAAAAA==&#10;">
              <v:fill on="f" focussize="0,0"/>
              <v:stroke on="f"/>
              <v:imagedata o:title=""/>
              <o:lock v:ext="edit" aspectratio="f"/>
              <v:textbox inset="0mm,0mm,0mm,0mm" style="mso-fit-shape-to-text:t;">
                <w:txbxContent>
                  <w:p>
                    <w:pPr>
                      <w:pStyle w:val="17"/>
                    </w:pPr>
                    <w:r>
                      <w:rPr>
                        <w:rFonts w:hint="eastAsia"/>
                      </w:rPr>
                      <w:fldChar w:fldCharType="begin"/>
                    </w:r>
                    <w:r>
                      <w:rPr>
                        <w:rFonts w:hint="eastAsia"/>
                      </w:rPr>
                      <w:instrText xml:space="preserve"> PAGE  \* MERGEFORMAT </w:instrText>
                    </w:r>
                    <w:r>
                      <w:rPr>
                        <w:rFonts w:hint="eastAsia"/>
                      </w:rPr>
                      <w:fldChar w:fldCharType="separate"/>
                    </w:r>
                    <w:r>
                      <w:t>49</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7"/>
                          </w:pPr>
                          <w:r>
                            <w:fldChar w:fldCharType="begin"/>
                          </w:r>
                          <w:r>
                            <w:instrText xml:space="preserve"> PAGE  \* MERGEFORMAT </w:instrText>
                          </w:r>
                          <w:r>
                            <w:fldChar w:fldCharType="separate"/>
                          </w:r>
                          <w:r>
                            <w:t>25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uWqTcMBAACP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DevKXHc4sTPP3+cf/05//5O&#10;0IcC9QFqzLsNmJmG937AtZn9gM7Me1DR5i8yIhhHeU8XeeWQiMiPVsvVqsKQwNh8QXx2/zxESB+k&#10;tyQbDY04vyIrP36CNKbOKbma8zfamDJD4/5zIGb2sNz72GO20rAbJkI7356QT4+jb6jDTafEfHSo&#10;bN6S2YizsZuMXAPCu0PCwqWfjDpCTcVwToXRtFN5Ef69l6z7/2jzF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Ca5apNwwEAAI8DAAAOAAAAAAAAAAEAIAAAAB4BAABkcnMvZTJvRG9jLnhtbFBL&#10;BQYAAAAABgAGAFkBAABTBQAAAAA=&#10;">
              <v:fill on="f" focussize="0,0"/>
              <v:stroke on="f"/>
              <v:imagedata o:title=""/>
              <o:lock v:ext="edit" aspectratio="f"/>
              <v:textbox inset="0mm,0mm,0mm,0mm" style="mso-fit-shape-to-text:t;">
                <w:txbxContent>
                  <w:p>
                    <w:pPr>
                      <w:pStyle w:val="17"/>
                    </w:pPr>
                    <w:r>
                      <w:fldChar w:fldCharType="begin"/>
                    </w:r>
                    <w:r>
                      <w:instrText xml:space="preserve"> PAGE  \* MERGEFORMAT </w:instrText>
                    </w:r>
                    <w:r>
                      <w:fldChar w:fldCharType="separate"/>
                    </w:r>
                    <w:r>
                      <w:t>25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CAE472"/>
    <w:multiLevelType w:val="singleLevel"/>
    <w:tmpl w:val="C5CAE472"/>
    <w:lvl w:ilvl="0" w:tentative="0">
      <w:start w:val="11"/>
      <w:numFmt w:val="chineseCounting"/>
      <w:suff w:val="nothing"/>
      <w:lvlText w:val="%1、"/>
      <w:lvlJc w:val="left"/>
      <w:rPr>
        <w:rFonts w:hint="eastAsia"/>
      </w:rPr>
    </w:lvl>
  </w:abstractNum>
  <w:abstractNum w:abstractNumId="1">
    <w:nsid w:val="EC2804E5"/>
    <w:multiLevelType w:val="singleLevel"/>
    <w:tmpl w:val="EC2804E5"/>
    <w:lvl w:ilvl="0" w:tentative="0">
      <w:start w:val="2"/>
      <w:numFmt w:val="decimal"/>
      <w:suff w:val="nothing"/>
      <w:lvlText w:val="%1、"/>
      <w:lvlJc w:val="left"/>
    </w:lvl>
  </w:abstractNum>
  <w:abstractNum w:abstractNumId="2">
    <w:nsid w:val="F7E86759"/>
    <w:multiLevelType w:val="singleLevel"/>
    <w:tmpl w:val="F7E86759"/>
    <w:lvl w:ilvl="0" w:tentative="0">
      <w:start w:val="1"/>
      <w:numFmt w:val="bullet"/>
      <w:pStyle w:val="13"/>
      <w:lvlText w:val=""/>
      <w:lvlJc w:val="left"/>
      <w:pPr>
        <w:tabs>
          <w:tab w:val="left" w:pos="2040"/>
        </w:tabs>
        <w:ind w:left="2040" w:hanging="360"/>
      </w:pPr>
      <w:rPr>
        <w:rFonts w:hint="default" w:ascii="Wingdings" w:hAnsi="Wingdings"/>
      </w:rPr>
    </w:lvl>
  </w:abstractNum>
  <w:abstractNum w:abstractNumId="3">
    <w:nsid w:val="77BAC6BD"/>
    <w:multiLevelType w:val="singleLevel"/>
    <w:tmpl w:val="77BAC6BD"/>
    <w:lvl w:ilvl="0" w:tentative="0">
      <w:start w:val="1"/>
      <w:numFmt w:val="decimal"/>
      <w:suff w:val="nothing"/>
      <w:lvlText w:val="%1、"/>
      <w:lvlJc w:val="left"/>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UxMWNkM2QwMTk1OWMxM2FmOWIxOTUyNGMxMDBkZmMifQ=="/>
  </w:docVars>
  <w:rsids>
    <w:rsidRoot w:val="00A14947"/>
    <w:rsid w:val="000060B3"/>
    <w:rsid w:val="000209C5"/>
    <w:rsid w:val="00026D51"/>
    <w:rsid w:val="00036437"/>
    <w:rsid w:val="00037E1F"/>
    <w:rsid w:val="0004364B"/>
    <w:rsid w:val="000447B7"/>
    <w:rsid w:val="00050FC4"/>
    <w:rsid w:val="00061B1F"/>
    <w:rsid w:val="00064CF0"/>
    <w:rsid w:val="000733C4"/>
    <w:rsid w:val="00074783"/>
    <w:rsid w:val="000777A0"/>
    <w:rsid w:val="0008070B"/>
    <w:rsid w:val="000810AC"/>
    <w:rsid w:val="00081A02"/>
    <w:rsid w:val="00082231"/>
    <w:rsid w:val="00084EE5"/>
    <w:rsid w:val="00092D38"/>
    <w:rsid w:val="0009377B"/>
    <w:rsid w:val="000A20C9"/>
    <w:rsid w:val="000A6C2F"/>
    <w:rsid w:val="000B058F"/>
    <w:rsid w:val="000B4467"/>
    <w:rsid w:val="000B4DB9"/>
    <w:rsid w:val="000B6F01"/>
    <w:rsid w:val="000B75DE"/>
    <w:rsid w:val="000C09AC"/>
    <w:rsid w:val="000C767F"/>
    <w:rsid w:val="000D5A44"/>
    <w:rsid w:val="000D6E38"/>
    <w:rsid w:val="000E07E8"/>
    <w:rsid w:val="000E3ED2"/>
    <w:rsid w:val="000F1B06"/>
    <w:rsid w:val="0010252F"/>
    <w:rsid w:val="00106B22"/>
    <w:rsid w:val="00117242"/>
    <w:rsid w:val="00131F42"/>
    <w:rsid w:val="001357F1"/>
    <w:rsid w:val="00140FA8"/>
    <w:rsid w:val="00142FEB"/>
    <w:rsid w:val="00143A2D"/>
    <w:rsid w:val="00145A41"/>
    <w:rsid w:val="00146422"/>
    <w:rsid w:val="00147CC7"/>
    <w:rsid w:val="00151675"/>
    <w:rsid w:val="00157435"/>
    <w:rsid w:val="001627A8"/>
    <w:rsid w:val="00170450"/>
    <w:rsid w:val="00172A25"/>
    <w:rsid w:val="0017504D"/>
    <w:rsid w:val="0017671A"/>
    <w:rsid w:val="00177422"/>
    <w:rsid w:val="00184590"/>
    <w:rsid w:val="001870D1"/>
    <w:rsid w:val="0018781E"/>
    <w:rsid w:val="0019262D"/>
    <w:rsid w:val="00192E13"/>
    <w:rsid w:val="00196E3B"/>
    <w:rsid w:val="001A1B35"/>
    <w:rsid w:val="001A48A2"/>
    <w:rsid w:val="001A6F61"/>
    <w:rsid w:val="001A70BD"/>
    <w:rsid w:val="001B1B01"/>
    <w:rsid w:val="001B2678"/>
    <w:rsid w:val="001B2E14"/>
    <w:rsid w:val="001B62FD"/>
    <w:rsid w:val="001B6CD8"/>
    <w:rsid w:val="001B72B8"/>
    <w:rsid w:val="001C69B3"/>
    <w:rsid w:val="001D1D54"/>
    <w:rsid w:val="001D44CF"/>
    <w:rsid w:val="001D5249"/>
    <w:rsid w:val="001D5595"/>
    <w:rsid w:val="001D7874"/>
    <w:rsid w:val="001D7F22"/>
    <w:rsid w:val="001E2B0B"/>
    <w:rsid w:val="001F0F17"/>
    <w:rsid w:val="001F257C"/>
    <w:rsid w:val="001F3347"/>
    <w:rsid w:val="001F69E4"/>
    <w:rsid w:val="002061CA"/>
    <w:rsid w:val="002125B4"/>
    <w:rsid w:val="002155B8"/>
    <w:rsid w:val="00216E66"/>
    <w:rsid w:val="00223801"/>
    <w:rsid w:val="00224839"/>
    <w:rsid w:val="002249B2"/>
    <w:rsid w:val="00226574"/>
    <w:rsid w:val="002278EC"/>
    <w:rsid w:val="00227CA8"/>
    <w:rsid w:val="0023280E"/>
    <w:rsid w:val="002344B9"/>
    <w:rsid w:val="002360A6"/>
    <w:rsid w:val="002377D1"/>
    <w:rsid w:val="002467AC"/>
    <w:rsid w:val="0024792C"/>
    <w:rsid w:val="002506BC"/>
    <w:rsid w:val="00254345"/>
    <w:rsid w:val="00264557"/>
    <w:rsid w:val="00266A0E"/>
    <w:rsid w:val="002773B7"/>
    <w:rsid w:val="002805AB"/>
    <w:rsid w:val="0028170E"/>
    <w:rsid w:val="00284204"/>
    <w:rsid w:val="002913B9"/>
    <w:rsid w:val="00291773"/>
    <w:rsid w:val="00292E72"/>
    <w:rsid w:val="002A168C"/>
    <w:rsid w:val="002A18CE"/>
    <w:rsid w:val="002A3DC7"/>
    <w:rsid w:val="002A5FFD"/>
    <w:rsid w:val="002B174E"/>
    <w:rsid w:val="002B49E2"/>
    <w:rsid w:val="002B7447"/>
    <w:rsid w:val="002B7B00"/>
    <w:rsid w:val="002B7C44"/>
    <w:rsid w:val="002C20E9"/>
    <w:rsid w:val="002C2B17"/>
    <w:rsid w:val="002D3DD0"/>
    <w:rsid w:val="002D6AA7"/>
    <w:rsid w:val="002E1F3A"/>
    <w:rsid w:val="002E298A"/>
    <w:rsid w:val="00300A04"/>
    <w:rsid w:val="00301978"/>
    <w:rsid w:val="0030284C"/>
    <w:rsid w:val="0030332C"/>
    <w:rsid w:val="003051C2"/>
    <w:rsid w:val="003055BF"/>
    <w:rsid w:val="00312296"/>
    <w:rsid w:val="00314F0E"/>
    <w:rsid w:val="003204C3"/>
    <w:rsid w:val="00321D8E"/>
    <w:rsid w:val="00325928"/>
    <w:rsid w:val="00332863"/>
    <w:rsid w:val="003345D8"/>
    <w:rsid w:val="0033684D"/>
    <w:rsid w:val="00337B42"/>
    <w:rsid w:val="00341B42"/>
    <w:rsid w:val="003422E1"/>
    <w:rsid w:val="0034348F"/>
    <w:rsid w:val="003466F7"/>
    <w:rsid w:val="003520C7"/>
    <w:rsid w:val="00354D81"/>
    <w:rsid w:val="00356653"/>
    <w:rsid w:val="0035743F"/>
    <w:rsid w:val="00357BE2"/>
    <w:rsid w:val="0036170C"/>
    <w:rsid w:val="00362201"/>
    <w:rsid w:val="00364E92"/>
    <w:rsid w:val="00366E0F"/>
    <w:rsid w:val="0036792A"/>
    <w:rsid w:val="00373CCA"/>
    <w:rsid w:val="00380525"/>
    <w:rsid w:val="00381A72"/>
    <w:rsid w:val="00384676"/>
    <w:rsid w:val="00384B88"/>
    <w:rsid w:val="003865B3"/>
    <w:rsid w:val="0039074F"/>
    <w:rsid w:val="00390857"/>
    <w:rsid w:val="00391286"/>
    <w:rsid w:val="003A04D3"/>
    <w:rsid w:val="003A4BF3"/>
    <w:rsid w:val="003A7473"/>
    <w:rsid w:val="003B1B4E"/>
    <w:rsid w:val="003B420D"/>
    <w:rsid w:val="003B726C"/>
    <w:rsid w:val="003C6C16"/>
    <w:rsid w:val="003C790C"/>
    <w:rsid w:val="003C7C5C"/>
    <w:rsid w:val="003D1409"/>
    <w:rsid w:val="003D68FB"/>
    <w:rsid w:val="003D794D"/>
    <w:rsid w:val="003E0EAD"/>
    <w:rsid w:val="003E2816"/>
    <w:rsid w:val="003E2B4E"/>
    <w:rsid w:val="003E3058"/>
    <w:rsid w:val="003E5799"/>
    <w:rsid w:val="003E76A9"/>
    <w:rsid w:val="003F0809"/>
    <w:rsid w:val="003F6A8C"/>
    <w:rsid w:val="003F755C"/>
    <w:rsid w:val="004034FC"/>
    <w:rsid w:val="0040350F"/>
    <w:rsid w:val="00406724"/>
    <w:rsid w:val="00406F01"/>
    <w:rsid w:val="004106EC"/>
    <w:rsid w:val="00412AB2"/>
    <w:rsid w:val="004159C5"/>
    <w:rsid w:val="00416D50"/>
    <w:rsid w:val="00416FD5"/>
    <w:rsid w:val="00417772"/>
    <w:rsid w:val="00420E6A"/>
    <w:rsid w:val="00421501"/>
    <w:rsid w:val="00425190"/>
    <w:rsid w:val="00425A9E"/>
    <w:rsid w:val="004263DB"/>
    <w:rsid w:val="00426D6B"/>
    <w:rsid w:val="00426E73"/>
    <w:rsid w:val="00430D8C"/>
    <w:rsid w:val="00431E6C"/>
    <w:rsid w:val="00433CE7"/>
    <w:rsid w:val="00440740"/>
    <w:rsid w:val="004416FB"/>
    <w:rsid w:val="0044334A"/>
    <w:rsid w:val="00445FB2"/>
    <w:rsid w:val="00446070"/>
    <w:rsid w:val="00446DBF"/>
    <w:rsid w:val="00446F79"/>
    <w:rsid w:val="00452738"/>
    <w:rsid w:val="00456091"/>
    <w:rsid w:val="00460621"/>
    <w:rsid w:val="00466321"/>
    <w:rsid w:val="004835C4"/>
    <w:rsid w:val="00484B9B"/>
    <w:rsid w:val="004855F6"/>
    <w:rsid w:val="0048661E"/>
    <w:rsid w:val="00486A00"/>
    <w:rsid w:val="004926ED"/>
    <w:rsid w:val="004931FA"/>
    <w:rsid w:val="00494670"/>
    <w:rsid w:val="004975D4"/>
    <w:rsid w:val="004A3823"/>
    <w:rsid w:val="004C0AC2"/>
    <w:rsid w:val="004C1336"/>
    <w:rsid w:val="004C5B5D"/>
    <w:rsid w:val="004D0F6C"/>
    <w:rsid w:val="004E279E"/>
    <w:rsid w:val="004E27BC"/>
    <w:rsid w:val="004E353B"/>
    <w:rsid w:val="004E52E3"/>
    <w:rsid w:val="004E63B1"/>
    <w:rsid w:val="004E6946"/>
    <w:rsid w:val="004F0E4F"/>
    <w:rsid w:val="004F1AD8"/>
    <w:rsid w:val="004F5330"/>
    <w:rsid w:val="004F6BB7"/>
    <w:rsid w:val="005007D7"/>
    <w:rsid w:val="00502905"/>
    <w:rsid w:val="005039CB"/>
    <w:rsid w:val="0050558F"/>
    <w:rsid w:val="00506286"/>
    <w:rsid w:val="005062DE"/>
    <w:rsid w:val="00510813"/>
    <w:rsid w:val="00511990"/>
    <w:rsid w:val="00511DE0"/>
    <w:rsid w:val="00514870"/>
    <w:rsid w:val="00514B9B"/>
    <w:rsid w:val="00517F02"/>
    <w:rsid w:val="00523CF0"/>
    <w:rsid w:val="00524303"/>
    <w:rsid w:val="005258A2"/>
    <w:rsid w:val="005312D0"/>
    <w:rsid w:val="00534641"/>
    <w:rsid w:val="00534D7D"/>
    <w:rsid w:val="005401AE"/>
    <w:rsid w:val="00542E07"/>
    <w:rsid w:val="00545424"/>
    <w:rsid w:val="00552D80"/>
    <w:rsid w:val="00554A7B"/>
    <w:rsid w:val="0055572C"/>
    <w:rsid w:val="005571DB"/>
    <w:rsid w:val="0056106A"/>
    <w:rsid w:val="0056132E"/>
    <w:rsid w:val="00562164"/>
    <w:rsid w:val="00567AD7"/>
    <w:rsid w:val="005720AE"/>
    <w:rsid w:val="0057281D"/>
    <w:rsid w:val="005755E7"/>
    <w:rsid w:val="00576B7A"/>
    <w:rsid w:val="005815C2"/>
    <w:rsid w:val="0058346A"/>
    <w:rsid w:val="00594D77"/>
    <w:rsid w:val="005969E4"/>
    <w:rsid w:val="005A06B7"/>
    <w:rsid w:val="005A1759"/>
    <w:rsid w:val="005A2015"/>
    <w:rsid w:val="005A4072"/>
    <w:rsid w:val="005A68A7"/>
    <w:rsid w:val="005B1150"/>
    <w:rsid w:val="005C03B6"/>
    <w:rsid w:val="005C755D"/>
    <w:rsid w:val="005D045B"/>
    <w:rsid w:val="005D0DDF"/>
    <w:rsid w:val="005D36AB"/>
    <w:rsid w:val="005D4552"/>
    <w:rsid w:val="005D7980"/>
    <w:rsid w:val="005E1694"/>
    <w:rsid w:val="005E7679"/>
    <w:rsid w:val="005F11FF"/>
    <w:rsid w:val="005F5F54"/>
    <w:rsid w:val="00611AF8"/>
    <w:rsid w:val="0061364A"/>
    <w:rsid w:val="00615C21"/>
    <w:rsid w:val="006176C9"/>
    <w:rsid w:val="00617CC3"/>
    <w:rsid w:val="006302A2"/>
    <w:rsid w:val="0063498B"/>
    <w:rsid w:val="006377A6"/>
    <w:rsid w:val="00637A3D"/>
    <w:rsid w:val="006411EF"/>
    <w:rsid w:val="00646161"/>
    <w:rsid w:val="006543B6"/>
    <w:rsid w:val="0065676F"/>
    <w:rsid w:val="006644FB"/>
    <w:rsid w:val="00670EAC"/>
    <w:rsid w:val="006748B8"/>
    <w:rsid w:val="006775C3"/>
    <w:rsid w:val="00682CC1"/>
    <w:rsid w:val="006859B2"/>
    <w:rsid w:val="00691DCE"/>
    <w:rsid w:val="0069290A"/>
    <w:rsid w:val="00693C4F"/>
    <w:rsid w:val="00695893"/>
    <w:rsid w:val="0069775A"/>
    <w:rsid w:val="00697813"/>
    <w:rsid w:val="006A23EE"/>
    <w:rsid w:val="006A3EE8"/>
    <w:rsid w:val="006A4220"/>
    <w:rsid w:val="006A72BF"/>
    <w:rsid w:val="006B03F2"/>
    <w:rsid w:val="006B37DC"/>
    <w:rsid w:val="006B4F68"/>
    <w:rsid w:val="006B52C0"/>
    <w:rsid w:val="006C0592"/>
    <w:rsid w:val="006C272E"/>
    <w:rsid w:val="006C5479"/>
    <w:rsid w:val="006C5684"/>
    <w:rsid w:val="006C75BE"/>
    <w:rsid w:val="006D046A"/>
    <w:rsid w:val="006D0A8D"/>
    <w:rsid w:val="006D13B5"/>
    <w:rsid w:val="006D1981"/>
    <w:rsid w:val="006E11D0"/>
    <w:rsid w:val="006E12FF"/>
    <w:rsid w:val="006E607E"/>
    <w:rsid w:val="006F5F2F"/>
    <w:rsid w:val="00702758"/>
    <w:rsid w:val="00706C5D"/>
    <w:rsid w:val="00720176"/>
    <w:rsid w:val="00732922"/>
    <w:rsid w:val="0074034C"/>
    <w:rsid w:val="007448AB"/>
    <w:rsid w:val="0075162E"/>
    <w:rsid w:val="00754034"/>
    <w:rsid w:val="00754C32"/>
    <w:rsid w:val="0075611E"/>
    <w:rsid w:val="00756475"/>
    <w:rsid w:val="00756556"/>
    <w:rsid w:val="007618C4"/>
    <w:rsid w:val="007632D8"/>
    <w:rsid w:val="00765790"/>
    <w:rsid w:val="00767980"/>
    <w:rsid w:val="007707A2"/>
    <w:rsid w:val="00770B19"/>
    <w:rsid w:val="00770EEA"/>
    <w:rsid w:val="0077463F"/>
    <w:rsid w:val="00782E67"/>
    <w:rsid w:val="007836EA"/>
    <w:rsid w:val="00784CDA"/>
    <w:rsid w:val="007906C4"/>
    <w:rsid w:val="007912B5"/>
    <w:rsid w:val="007940EA"/>
    <w:rsid w:val="007967E8"/>
    <w:rsid w:val="007A2170"/>
    <w:rsid w:val="007A22BF"/>
    <w:rsid w:val="007A3323"/>
    <w:rsid w:val="007A61E3"/>
    <w:rsid w:val="007B2D52"/>
    <w:rsid w:val="007B4CAC"/>
    <w:rsid w:val="007B6FF2"/>
    <w:rsid w:val="007B71AD"/>
    <w:rsid w:val="007B72B8"/>
    <w:rsid w:val="007B7A58"/>
    <w:rsid w:val="007B7AC7"/>
    <w:rsid w:val="007C21B5"/>
    <w:rsid w:val="007C4BF3"/>
    <w:rsid w:val="007D2D4B"/>
    <w:rsid w:val="007E4BD2"/>
    <w:rsid w:val="007E657B"/>
    <w:rsid w:val="007E78CF"/>
    <w:rsid w:val="007F338A"/>
    <w:rsid w:val="00801393"/>
    <w:rsid w:val="00802F88"/>
    <w:rsid w:val="008047AB"/>
    <w:rsid w:val="00806606"/>
    <w:rsid w:val="00811388"/>
    <w:rsid w:val="0081293E"/>
    <w:rsid w:val="00815465"/>
    <w:rsid w:val="00817E9A"/>
    <w:rsid w:val="00820005"/>
    <w:rsid w:val="008236E8"/>
    <w:rsid w:val="008274D6"/>
    <w:rsid w:val="008306BD"/>
    <w:rsid w:val="00831A80"/>
    <w:rsid w:val="00832DA9"/>
    <w:rsid w:val="00833743"/>
    <w:rsid w:val="008340A4"/>
    <w:rsid w:val="00844C27"/>
    <w:rsid w:val="00850DB7"/>
    <w:rsid w:val="00851FD4"/>
    <w:rsid w:val="0085636A"/>
    <w:rsid w:val="00863BEC"/>
    <w:rsid w:val="00866DBE"/>
    <w:rsid w:val="008708F6"/>
    <w:rsid w:val="0087135F"/>
    <w:rsid w:val="00872D94"/>
    <w:rsid w:val="00874000"/>
    <w:rsid w:val="00874D8D"/>
    <w:rsid w:val="00876A35"/>
    <w:rsid w:val="00876C9E"/>
    <w:rsid w:val="00880364"/>
    <w:rsid w:val="00881D8C"/>
    <w:rsid w:val="00891592"/>
    <w:rsid w:val="00891E9E"/>
    <w:rsid w:val="008A2F68"/>
    <w:rsid w:val="008B4FA6"/>
    <w:rsid w:val="008B5282"/>
    <w:rsid w:val="008B7C17"/>
    <w:rsid w:val="008C2D01"/>
    <w:rsid w:val="008C2F17"/>
    <w:rsid w:val="008C40E6"/>
    <w:rsid w:val="008D03F5"/>
    <w:rsid w:val="008D0F7A"/>
    <w:rsid w:val="008D5BFF"/>
    <w:rsid w:val="008D68E4"/>
    <w:rsid w:val="008E0506"/>
    <w:rsid w:val="008E09CD"/>
    <w:rsid w:val="008E0CFF"/>
    <w:rsid w:val="008E3C7C"/>
    <w:rsid w:val="008E4E2E"/>
    <w:rsid w:val="008E5D6B"/>
    <w:rsid w:val="008E76F0"/>
    <w:rsid w:val="008F15FE"/>
    <w:rsid w:val="008F2D29"/>
    <w:rsid w:val="008F5187"/>
    <w:rsid w:val="008F60D8"/>
    <w:rsid w:val="00902727"/>
    <w:rsid w:val="0090312B"/>
    <w:rsid w:val="009036ED"/>
    <w:rsid w:val="00904965"/>
    <w:rsid w:val="0090686E"/>
    <w:rsid w:val="009100B7"/>
    <w:rsid w:val="00910DD0"/>
    <w:rsid w:val="0091736D"/>
    <w:rsid w:val="00927473"/>
    <w:rsid w:val="0093037A"/>
    <w:rsid w:val="00937EEC"/>
    <w:rsid w:val="0094154D"/>
    <w:rsid w:val="0094262E"/>
    <w:rsid w:val="0095155F"/>
    <w:rsid w:val="00954429"/>
    <w:rsid w:val="009563CE"/>
    <w:rsid w:val="00957062"/>
    <w:rsid w:val="00957BAD"/>
    <w:rsid w:val="009734E2"/>
    <w:rsid w:val="00975693"/>
    <w:rsid w:val="00976328"/>
    <w:rsid w:val="0097680D"/>
    <w:rsid w:val="00982438"/>
    <w:rsid w:val="0098404C"/>
    <w:rsid w:val="00985283"/>
    <w:rsid w:val="00986CDB"/>
    <w:rsid w:val="00990985"/>
    <w:rsid w:val="0099539F"/>
    <w:rsid w:val="009957E3"/>
    <w:rsid w:val="00995992"/>
    <w:rsid w:val="009A03E5"/>
    <w:rsid w:val="009A0F3B"/>
    <w:rsid w:val="009A1BB4"/>
    <w:rsid w:val="009A25EB"/>
    <w:rsid w:val="009A2628"/>
    <w:rsid w:val="009A3200"/>
    <w:rsid w:val="009A5924"/>
    <w:rsid w:val="009B0897"/>
    <w:rsid w:val="009B1F60"/>
    <w:rsid w:val="009B3B98"/>
    <w:rsid w:val="009B5139"/>
    <w:rsid w:val="009B7BD9"/>
    <w:rsid w:val="009C351C"/>
    <w:rsid w:val="009C7DD5"/>
    <w:rsid w:val="009D3E23"/>
    <w:rsid w:val="009E1A37"/>
    <w:rsid w:val="009E227D"/>
    <w:rsid w:val="009E5019"/>
    <w:rsid w:val="009E7EBD"/>
    <w:rsid w:val="00A00802"/>
    <w:rsid w:val="00A04F1B"/>
    <w:rsid w:val="00A0501B"/>
    <w:rsid w:val="00A07323"/>
    <w:rsid w:val="00A1440D"/>
    <w:rsid w:val="00A14947"/>
    <w:rsid w:val="00A235C9"/>
    <w:rsid w:val="00A2614D"/>
    <w:rsid w:val="00A2676A"/>
    <w:rsid w:val="00A32A83"/>
    <w:rsid w:val="00A368DB"/>
    <w:rsid w:val="00A4106C"/>
    <w:rsid w:val="00A423AA"/>
    <w:rsid w:val="00A51508"/>
    <w:rsid w:val="00A53EC6"/>
    <w:rsid w:val="00A54446"/>
    <w:rsid w:val="00A55C0F"/>
    <w:rsid w:val="00A6189E"/>
    <w:rsid w:val="00A62E47"/>
    <w:rsid w:val="00A638E9"/>
    <w:rsid w:val="00A63FB8"/>
    <w:rsid w:val="00A710AC"/>
    <w:rsid w:val="00A74082"/>
    <w:rsid w:val="00A84035"/>
    <w:rsid w:val="00A8713F"/>
    <w:rsid w:val="00A90BA1"/>
    <w:rsid w:val="00A911D2"/>
    <w:rsid w:val="00A913B2"/>
    <w:rsid w:val="00A96F3A"/>
    <w:rsid w:val="00A97A9A"/>
    <w:rsid w:val="00AA0671"/>
    <w:rsid w:val="00AA2531"/>
    <w:rsid w:val="00AB05F7"/>
    <w:rsid w:val="00AB1E09"/>
    <w:rsid w:val="00AB5330"/>
    <w:rsid w:val="00AB7747"/>
    <w:rsid w:val="00AC14CE"/>
    <w:rsid w:val="00AC2A56"/>
    <w:rsid w:val="00AC2E0D"/>
    <w:rsid w:val="00AC5351"/>
    <w:rsid w:val="00AC6313"/>
    <w:rsid w:val="00AC759C"/>
    <w:rsid w:val="00AD055E"/>
    <w:rsid w:val="00AD1FB2"/>
    <w:rsid w:val="00AD2386"/>
    <w:rsid w:val="00AD2591"/>
    <w:rsid w:val="00AD473A"/>
    <w:rsid w:val="00AD47A7"/>
    <w:rsid w:val="00AE2DA3"/>
    <w:rsid w:val="00AE5CEC"/>
    <w:rsid w:val="00AF0CBF"/>
    <w:rsid w:val="00AF257F"/>
    <w:rsid w:val="00AF33CF"/>
    <w:rsid w:val="00AF388A"/>
    <w:rsid w:val="00AF3E65"/>
    <w:rsid w:val="00AF4D50"/>
    <w:rsid w:val="00AF6179"/>
    <w:rsid w:val="00AF766C"/>
    <w:rsid w:val="00B01687"/>
    <w:rsid w:val="00B045DB"/>
    <w:rsid w:val="00B04D9B"/>
    <w:rsid w:val="00B11E27"/>
    <w:rsid w:val="00B11F74"/>
    <w:rsid w:val="00B1295A"/>
    <w:rsid w:val="00B20A45"/>
    <w:rsid w:val="00B22C5C"/>
    <w:rsid w:val="00B230C8"/>
    <w:rsid w:val="00B24F30"/>
    <w:rsid w:val="00B31ABF"/>
    <w:rsid w:val="00B32498"/>
    <w:rsid w:val="00B33BE3"/>
    <w:rsid w:val="00B35689"/>
    <w:rsid w:val="00B43085"/>
    <w:rsid w:val="00B44191"/>
    <w:rsid w:val="00B4724D"/>
    <w:rsid w:val="00B53B5D"/>
    <w:rsid w:val="00B6055E"/>
    <w:rsid w:val="00B6317D"/>
    <w:rsid w:val="00B7723F"/>
    <w:rsid w:val="00B772B8"/>
    <w:rsid w:val="00B8029B"/>
    <w:rsid w:val="00B80534"/>
    <w:rsid w:val="00B809CA"/>
    <w:rsid w:val="00B83AAD"/>
    <w:rsid w:val="00B8433C"/>
    <w:rsid w:val="00B87491"/>
    <w:rsid w:val="00B94C6D"/>
    <w:rsid w:val="00BA17C1"/>
    <w:rsid w:val="00BA1CDD"/>
    <w:rsid w:val="00BA29E9"/>
    <w:rsid w:val="00BA7142"/>
    <w:rsid w:val="00BB237C"/>
    <w:rsid w:val="00BB41A3"/>
    <w:rsid w:val="00BB611B"/>
    <w:rsid w:val="00BC32DC"/>
    <w:rsid w:val="00BC35B6"/>
    <w:rsid w:val="00BC3B6F"/>
    <w:rsid w:val="00BD1B51"/>
    <w:rsid w:val="00BD4596"/>
    <w:rsid w:val="00BE1405"/>
    <w:rsid w:val="00BE16E6"/>
    <w:rsid w:val="00BE2F34"/>
    <w:rsid w:val="00BE312D"/>
    <w:rsid w:val="00BE3361"/>
    <w:rsid w:val="00BF06AC"/>
    <w:rsid w:val="00BF1C20"/>
    <w:rsid w:val="00BF5D79"/>
    <w:rsid w:val="00C0470C"/>
    <w:rsid w:val="00C04904"/>
    <w:rsid w:val="00C100AA"/>
    <w:rsid w:val="00C10578"/>
    <w:rsid w:val="00C135BC"/>
    <w:rsid w:val="00C14163"/>
    <w:rsid w:val="00C15C95"/>
    <w:rsid w:val="00C1774C"/>
    <w:rsid w:val="00C2596A"/>
    <w:rsid w:val="00C27537"/>
    <w:rsid w:val="00C328FE"/>
    <w:rsid w:val="00C33507"/>
    <w:rsid w:val="00C37FDF"/>
    <w:rsid w:val="00C4060F"/>
    <w:rsid w:val="00C42E9A"/>
    <w:rsid w:val="00C4409D"/>
    <w:rsid w:val="00C44223"/>
    <w:rsid w:val="00C44E72"/>
    <w:rsid w:val="00C45A06"/>
    <w:rsid w:val="00C47E5B"/>
    <w:rsid w:val="00C527EE"/>
    <w:rsid w:val="00C52955"/>
    <w:rsid w:val="00C55E20"/>
    <w:rsid w:val="00C60F97"/>
    <w:rsid w:val="00C61E4B"/>
    <w:rsid w:val="00C622F0"/>
    <w:rsid w:val="00C64BFF"/>
    <w:rsid w:val="00C704E9"/>
    <w:rsid w:val="00C763C9"/>
    <w:rsid w:val="00C80057"/>
    <w:rsid w:val="00C82232"/>
    <w:rsid w:val="00C82913"/>
    <w:rsid w:val="00C91F2A"/>
    <w:rsid w:val="00C93742"/>
    <w:rsid w:val="00C972B1"/>
    <w:rsid w:val="00CA2CCE"/>
    <w:rsid w:val="00CA43FD"/>
    <w:rsid w:val="00CA66C8"/>
    <w:rsid w:val="00CA6D06"/>
    <w:rsid w:val="00CA7EF8"/>
    <w:rsid w:val="00CC1C87"/>
    <w:rsid w:val="00CC489B"/>
    <w:rsid w:val="00CC4B4A"/>
    <w:rsid w:val="00CC5C4A"/>
    <w:rsid w:val="00CC6D98"/>
    <w:rsid w:val="00CC7711"/>
    <w:rsid w:val="00CD2BCD"/>
    <w:rsid w:val="00CD3A4C"/>
    <w:rsid w:val="00CD4F3F"/>
    <w:rsid w:val="00CE0532"/>
    <w:rsid w:val="00CE10E9"/>
    <w:rsid w:val="00CE2910"/>
    <w:rsid w:val="00CE317E"/>
    <w:rsid w:val="00CE5393"/>
    <w:rsid w:val="00CF0367"/>
    <w:rsid w:val="00CF1239"/>
    <w:rsid w:val="00CF214F"/>
    <w:rsid w:val="00CF30EB"/>
    <w:rsid w:val="00CF31C8"/>
    <w:rsid w:val="00CF36BE"/>
    <w:rsid w:val="00CF5143"/>
    <w:rsid w:val="00CF6000"/>
    <w:rsid w:val="00D003F3"/>
    <w:rsid w:val="00D0364F"/>
    <w:rsid w:val="00D039AB"/>
    <w:rsid w:val="00D0404D"/>
    <w:rsid w:val="00D05785"/>
    <w:rsid w:val="00D06724"/>
    <w:rsid w:val="00D06834"/>
    <w:rsid w:val="00D24FE2"/>
    <w:rsid w:val="00D308ED"/>
    <w:rsid w:val="00D35F65"/>
    <w:rsid w:val="00D36D86"/>
    <w:rsid w:val="00D402DD"/>
    <w:rsid w:val="00D428AA"/>
    <w:rsid w:val="00D454FE"/>
    <w:rsid w:val="00D47EB8"/>
    <w:rsid w:val="00D50A34"/>
    <w:rsid w:val="00D53EFA"/>
    <w:rsid w:val="00D5424E"/>
    <w:rsid w:val="00D57264"/>
    <w:rsid w:val="00D76879"/>
    <w:rsid w:val="00D771A3"/>
    <w:rsid w:val="00D8637D"/>
    <w:rsid w:val="00D94A7C"/>
    <w:rsid w:val="00D95896"/>
    <w:rsid w:val="00DA189F"/>
    <w:rsid w:val="00DA5DBC"/>
    <w:rsid w:val="00DA7145"/>
    <w:rsid w:val="00DA7C79"/>
    <w:rsid w:val="00DB2983"/>
    <w:rsid w:val="00DB693C"/>
    <w:rsid w:val="00DC1257"/>
    <w:rsid w:val="00DC3DC0"/>
    <w:rsid w:val="00DC497D"/>
    <w:rsid w:val="00DC5B2B"/>
    <w:rsid w:val="00DC5CA5"/>
    <w:rsid w:val="00DC7A2C"/>
    <w:rsid w:val="00DD318D"/>
    <w:rsid w:val="00DD72D8"/>
    <w:rsid w:val="00DF2E12"/>
    <w:rsid w:val="00DF514A"/>
    <w:rsid w:val="00DF6690"/>
    <w:rsid w:val="00DF6804"/>
    <w:rsid w:val="00E03093"/>
    <w:rsid w:val="00E0358D"/>
    <w:rsid w:val="00E04323"/>
    <w:rsid w:val="00E070A2"/>
    <w:rsid w:val="00E15C44"/>
    <w:rsid w:val="00E21429"/>
    <w:rsid w:val="00E22162"/>
    <w:rsid w:val="00E23E03"/>
    <w:rsid w:val="00E2656A"/>
    <w:rsid w:val="00E311C2"/>
    <w:rsid w:val="00E36C70"/>
    <w:rsid w:val="00E40880"/>
    <w:rsid w:val="00E412D0"/>
    <w:rsid w:val="00E51B8D"/>
    <w:rsid w:val="00E54DE3"/>
    <w:rsid w:val="00E56322"/>
    <w:rsid w:val="00E56BB9"/>
    <w:rsid w:val="00E60982"/>
    <w:rsid w:val="00E62C62"/>
    <w:rsid w:val="00E654C1"/>
    <w:rsid w:val="00E65D97"/>
    <w:rsid w:val="00E662D0"/>
    <w:rsid w:val="00E664DF"/>
    <w:rsid w:val="00E71764"/>
    <w:rsid w:val="00E72A5A"/>
    <w:rsid w:val="00E73354"/>
    <w:rsid w:val="00E74609"/>
    <w:rsid w:val="00E832F9"/>
    <w:rsid w:val="00E849C3"/>
    <w:rsid w:val="00E85213"/>
    <w:rsid w:val="00E9242D"/>
    <w:rsid w:val="00EA02F0"/>
    <w:rsid w:val="00EA0D62"/>
    <w:rsid w:val="00EB5255"/>
    <w:rsid w:val="00EB538B"/>
    <w:rsid w:val="00EB5C47"/>
    <w:rsid w:val="00EC3769"/>
    <w:rsid w:val="00ED0639"/>
    <w:rsid w:val="00ED56A3"/>
    <w:rsid w:val="00ED5AE3"/>
    <w:rsid w:val="00EE5D95"/>
    <w:rsid w:val="00EF22A9"/>
    <w:rsid w:val="00EF4755"/>
    <w:rsid w:val="00EF5B6A"/>
    <w:rsid w:val="00EF7010"/>
    <w:rsid w:val="00EF7135"/>
    <w:rsid w:val="00EF7564"/>
    <w:rsid w:val="00F016A2"/>
    <w:rsid w:val="00F01E51"/>
    <w:rsid w:val="00F027DB"/>
    <w:rsid w:val="00F07396"/>
    <w:rsid w:val="00F12785"/>
    <w:rsid w:val="00F14A7A"/>
    <w:rsid w:val="00F1569D"/>
    <w:rsid w:val="00F22985"/>
    <w:rsid w:val="00F2466F"/>
    <w:rsid w:val="00F27709"/>
    <w:rsid w:val="00F32736"/>
    <w:rsid w:val="00F3383E"/>
    <w:rsid w:val="00F35707"/>
    <w:rsid w:val="00F35A61"/>
    <w:rsid w:val="00F37531"/>
    <w:rsid w:val="00F4195F"/>
    <w:rsid w:val="00F44DEC"/>
    <w:rsid w:val="00F465A7"/>
    <w:rsid w:val="00F50B7C"/>
    <w:rsid w:val="00F5246E"/>
    <w:rsid w:val="00F550E6"/>
    <w:rsid w:val="00F62777"/>
    <w:rsid w:val="00F74345"/>
    <w:rsid w:val="00F7558A"/>
    <w:rsid w:val="00F80A0A"/>
    <w:rsid w:val="00F82B19"/>
    <w:rsid w:val="00F8357F"/>
    <w:rsid w:val="00F9212D"/>
    <w:rsid w:val="00F9477A"/>
    <w:rsid w:val="00F962BC"/>
    <w:rsid w:val="00F965DA"/>
    <w:rsid w:val="00FA406A"/>
    <w:rsid w:val="00FA4D35"/>
    <w:rsid w:val="00FA6BD8"/>
    <w:rsid w:val="00FB1209"/>
    <w:rsid w:val="00FB503A"/>
    <w:rsid w:val="00FB516C"/>
    <w:rsid w:val="00FC4BA4"/>
    <w:rsid w:val="00FD0236"/>
    <w:rsid w:val="00FD18F4"/>
    <w:rsid w:val="00FD54DB"/>
    <w:rsid w:val="00FD619F"/>
    <w:rsid w:val="00FE6A5D"/>
    <w:rsid w:val="00FF0119"/>
    <w:rsid w:val="00FF08D6"/>
    <w:rsid w:val="00FF2980"/>
    <w:rsid w:val="00FF507E"/>
    <w:rsid w:val="01290F7E"/>
    <w:rsid w:val="013F5CEB"/>
    <w:rsid w:val="014A7509"/>
    <w:rsid w:val="015D1E09"/>
    <w:rsid w:val="01766C9D"/>
    <w:rsid w:val="01857169"/>
    <w:rsid w:val="01F30A06"/>
    <w:rsid w:val="01F60125"/>
    <w:rsid w:val="01FF0D6E"/>
    <w:rsid w:val="0216033F"/>
    <w:rsid w:val="02184C85"/>
    <w:rsid w:val="02697903"/>
    <w:rsid w:val="027475EC"/>
    <w:rsid w:val="02EE4928"/>
    <w:rsid w:val="02F96569"/>
    <w:rsid w:val="03583715"/>
    <w:rsid w:val="03A531AE"/>
    <w:rsid w:val="03B3440B"/>
    <w:rsid w:val="03EA7B21"/>
    <w:rsid w:val="040D1526"/>
    <w:rsid w:val="041A43A3"/>
    <w:rsid w:val="043E5AFB"/>
    <w:rsid w:val="04545D1C"/>
    <w:rsid w:val="047C5AEB"/>
    <w:rsid w:val="048C3708"/>
    <w:rsid w:val="04CF0EAE"/>
    <w:rsid w:val="04DF10AC"/>
    <w:rsid w:val="04DF2D7C"/>
    <w:rsid w:val="05171EF0"/>
    <w:rsid w:val="05F83EAE"/>
    <w:rsid w:val="06251981"/>
    <w:rsid w:val="063E7D85"/>
    <w:rsid w:val="06715FF2"/>
    <w:rsid w:val="06AE1287"/>
    <w:rsid w:val="06C31911"/>
    <w:rsid w:val="06DD30F7"/>
    <w:rsid w:val="06F061D0"/>
    <w:rsid w:val="06FB5E55"/>
    <w:rsid w:val="07293586"/>
    <w:rsid w:val="07295285"/>
    <w:rsid w:val="073A30E7"/>
    <w:rsid w:val="07636392"/>
    <w:rsid w:val="076F671B"/>
    <w:rsid w:val="07770C56"/>
    <w:rsid w:val="078E27A7"/>
    <w:rsid w:val="07E11109"/>
    <w:rsid w:val="08085F36"/>
    <w:rsid w:val="081C5886"/>
    <w:rsid w:val="0824701C"/>
    <w:rsid w:val="08B638F1"/>
    <w:rsid w:val="08E57EC6"/>
    <w:rsid w:val="08EC7B58"/>
    <w:rsid w:val="09114B6B"/>
    <w:rsid w:val="092217DD"/>
    <w:rsid w:val="093A7294"/>
    <w:rsid w:val="095C6015"/>
    <w:rsid w:val="09991222"/>
    <w:rsid w:val="099C1052"/>
    <w:rsid w:val="0A263993"/>
    <w:rsid w:val="0A2D3AC2"/>
    <w:rsid w:val="0A98244A"/>
    <w:rsid w:val="0AA755DF"/>
    <w:rsid w:val="0AAA2B3A"/>
    <w:rsid w:val="0AB319EF"/>
    <w:rsid w:val="0B120D44"/>
    <w:rsid w:val="0BD27BF6"/>
    <w:rsid w:val="0C1943CF"/>
    <w:rsid w:val="0C3B3C7D"/>
    <w:rsid w:val="0C553B37"/>
    <w:rsid w:val="0CAB2EAE"/>
    <w:rsid w:val="0CF9251D"/>
    <w:rsid w:val="0D525544"/>
    <w:rsid w:val="0D621C7D"/>
    <w:rsid w:val="0D686559"/>
    <w:rsid w:val="0D8E24C6"/>
    <w:rsid w:val="0DA26263"/>
    <w:rsid w:val="0DD45F90"/>
    <w:rsid w:val="0DF5323F"/>
    <w:rsid w:val="0E54515A"/>
    <w:rsid w:val="0E73034D"/>
    <w:rsid w:val="0EE8586B"/>
    <w:rsid w:val="0F13775A"/>
    <w:rsid w:val="0F50123F"/>
    <w:rsid w:val="0F5F45FE"/>
    <w:rsid w:val="0F9A112B"/>
    <w:rsid w:val="0FA609CC"/>
    <w:rsid w:val="0FCA1A09"/>
    <w:rsid w:val="0FF208D4"/>
    <w:rsid w:val="106D2F64"/>
    <w:rsid w:val="10B63710"/>
    <w:rsid w:val="10F10820"/>
    <w:rsid w:val="111C2F7A"/>
    <w:rsid w:val="11665CA1"/>
    <w:rsid w:val="11746A40"/>
    <w:rsid w:val="121B00D3"/>
    <w:rsid w:val="127C7B4F"/>
    <w:rsid w:val="1291526A"/>
    <w:rsid w:val="12960D16"/>
    <w:rsid w:val="12B04A66"/>
    <w:rsid w:val="12E52E35"/>
    <w:rsid w:val="12FC1C5F"/>
    <w:rsid w:val="1300459A"/>
    <w:rsid w:val="1309021C"/>
    <w:rsid w:val="13143456"/>
    <w:rsid w:val="13365FFC"/>
    <w:rsid w:val="13580B1A"/>
    <w:rsid w:val="13951726"/>
    <w:rsid w:val="13C72CF9"/>
    <w:rsid w:val="14205B36"/>
    <w:rsid w:val="14396509"/>
    <w:rsid w:val="145101C8"/>
    <w:rsid w:val="145A7850"/>
    <w:rsid w:val="14B77516"/>
    <w:rsid w:val="14DD2C3C"/>
    <w:rsid w:val="14FC0436"/>
    <w:rsid w:val="159E0659"/>
    <w:rsid w:val="15AF7965"/>
    <w:rsid w:val="15C8789E"/>
    <w:rsid w:val="15D5727B"/>
    <w:rsid w:val="15E11570"/>
    <w:rsid w:val="16087E1D"/>
    <w:rsid w:val="162D2B22"/>
    <w:rsid w:val="163B21BA"/>
    <w:rsid w:val="163E0CCA"/>
    <w:rsid w:val="165C24F7"/>
    <w:rsid w:val="16D74C82"/>
    <w:rsid w:val="172257A4"/>
    <w:rsid w:val="174560C4"/>
    <w:rsid w:val="176633EF"/>
    <w:rsid w:val="17701D14"/>
    <w:rsid w:val="17735226"/>
    <w:rsid w:val="17896536"/>
    <w:rsid w:val="17B41771"/>
    <w:rsid w:val="17DA4320"/>
    <w:rsid w:val="180B2D24"/>
    <w:rsid w:val="181353B6"/>
    <w:rsid w:val="18400119"/>
    <w:rsid w:val="186C73D0"/>
    <w:rsid w:val="189F624C"/>
    <w:rsid w:val="18F112B9"/>
    <w:rsid w:val="19096A44"/>
    <w:rsid w:val="190B59E9"/>
    <w:rsid w:val="1A1C66C0"/>
    <w:rsid w:val="1A42393B"/>
    <w:rsid w:val="1A424C06"/>
    <w:rsid w:val="1A732F49"/>
    <w:rsid w:val="1A941ABF"/>
    <w:rsid w:val="1AAD45DE"/>
    <w:rsid w:val="1AAE6322"/>
    <w:rsid w:val="1AC1713D"/>
    <w:rsid w:val="1AC27465"/>
    <w:rsid w:val="1AF87311"/>
    <w:rsid w:val="1B046F80"/>
    <w:rsid w:val="1B2D4179"/>
    <w:rsid w:val="1B3267B5"/>
    <w:rsid w:val="1B40161D"/>
    <w:rsid w:val="1B441859"/>
    <w:rsid w:val="1B547A88"/>
    <w:rsid w:val="1B6606B1"/>
    <w:rsid w:val="1B676A58"/>
    <w:rsid w:val="1B974658"/>
    <w:rsid w:val="1BAF408D"/>
    <w:rsid w:val="1BE767C4"/>
    <w:rsid w:val="1BF577C7"/>
    <w:rsid w:val="1C0962C1"/>
    <w:rsid w:val="1C493F61"/>
    <w:rsid w:val="1C5E7925"/>
    <w:rsid w:val="1CA078F9"/>
    <w:rsid w:val="1CC251F7"/>
    <w:rsid w:val="1CC429EC"/>
    <w:rsid w:val="1CFD070F"/>
    <w:rsid w:val="1D4620CC"/>
    <w:rsid w:val="1D5F6196"/>
    <w:rsid w:val="1D6132A5"/>
    <w:rsid w:val="1D656576"/>
    <w:rsid w:val="1D8E56D5"/>
    <w:rsid w:val="1DDE4BD5"/>
    <w:rsid w:val="1DEB1F8A"/>
    <w:rsid w:val="1E1A7AF4"/>
    <w:rsid w:val="1E500FDE"/>
    <w:rsid w:val="1E5B7D63"/>
    <w:rsid w:val="1E7A43DA"/>
    <w:rsid w:val="1E805C34"/>
    <w:rsid w:val="1E934127"/>
    <w:rsid w:val="1E991AB8"/>
    <w:rsid w:val="1EA77665"/>
    <w:rsid w:val="1F611D91"/>
    <w:rsid w:val="1F7F04CD"/>
    <w:rsid w:val="1FE7539E"/>
    <w:rsid w:val="202C38B3"/>
    <w:rsid w:val="203179D5"/>
    <w:rsid w:val="204506D2"/>
    <w:rsid w:val="20671BE0"/>
    <w:rsid w:val="20963CB8"/>
    <w:rsid w:val="20A81A1B"/>
    <w:rsid w:val="20B07FB6"/>
    <w:rsid w:val="20B47E17"/>
    <w:rsid w:val="20B646FB"/>
    <w:rsid w:val="20BD316F"/>
    <w:rsid w:val="21071965"/>
    <w:rsid w:val="213B406A"/>
    <w:rsid w:val="213B74B1"/>
    <w:rsid w:val="2147461E"/>
    <w:rsid w:val="2158506C"/>
    <w:rsid w:val="215A2310"/>
    <w:rsid w:val="21DE318A"/>
    <w:rsid w:val="21E26243"/>
    <w:rsid w:val="21EF5B80"/>
    <w:rsid w:val="224854C3"/>
    <w:rsid w:val="22576990"/>
    <w:rsid w:val="22636FAF"/>
    <w:rsid w:val="22685CCB"/>
    <w:rsid w:val="22A320C1"/>
    <w:rsid w:val="22D93552"/>
    <w:rsid w:val="22F47480"/>
    <w:rsid w:val="22FF181D"/>
    <w:rsid w:val="23055C6A"/>
    <w:rsid w:val="230E2E4C"/>
    <w:rsid w:val="23A10BA1"/>
    <w:rsid w:val="23DE1C48"/>
    <w:rsid w:val="23EB6DBE"/>
    <w:rsid w:val="23FD298D"/>
    <w:rsid w:val="23FF38B3"/>
    <w:rsid w:val="240210CD"/>
    <w:rsid w:val="242E432B"/>
    <w:rsid w:val="244A6AC8"/>
    <w:rsid w:val="247649BE"/>
    <w:rsid w:val="24BF09F7"/>
    <w:rsid w:val="24D31B37"/>
    <w:rsid w:val="24F838CD"/>
    <w:rsid w:val="252A0FAD"/>
    <w:rsid w:val="252D53FE"/>
    <w:rsid w:val="25357778"/>
    <w:rsid w:val="2572434D"/>
    <w:rsid w:val="2593061D"/>
    <w:rsid w:val="25C030E3"/>
    <w:rsid w:val="25EC2D81"/>
    <w:rsid w:val="262A3436"/>
    <w:rsid w:val="26377424"/>
    <w:rsid w:val="26435EC5"/>
    <w:rsid w:val="26864004"/>
    <w:rsid w:val="26A16A70"/>
    <w:rsid w:val="26ED0EBB"/>
    <w:rsid w:val="27452BA2"/>
    <w:rsid w:val="277057A2"/>
    <w:rsid w:val="27836CE8"/>
    <w:rsid w:val="278C1FE3"/>
    <w:rsid w:val="28112604"/>
    <w:rsid w:val="283F0E40"/>
    <w:rsid w:val="284E650D"/>
    <w:rsid w:val="286E01EB"/>
    <w:rsid w:val="28A71A4E"/>
    <w:rsid w:val="28CB72BC"/>
    <w:rsid w:val="29206EB8"/>
    <w:rsid w:val="29595666"/>
    <w:rsid w:val="29874881"/>
    <w:rsid w:val="298B5437"/>
    <w:rsid w:val="299A2D33"/>
    <w:rsid w:val="29E30FAD"/>
    <w:rsid w:val="29E325E0"/>
    <w:rsid w:val="2A36588C"/>
    <w:rsid w:val="2A396477"/>
    <w:rsid w:val="2A452503"/>
    <w:rsid w:val="2A503ADC"/>
    <w:rsid w:val="2A591B06"/>
    <w:rsid w:val="2A7924B2"/>
    <w:rsid w:val="2A843F40"/>
    <w:rsid w:val="2A886F53"/>
    <w:rsid w:val="2ABD408D"/>
    <w:rsid w:val="2B332311"/>
    <w:rsid w:val="2B6B6580"/>
    <w:rsid w:val="2B9351F9"/>
    <w:rsid w:val="2BA936A8"/>
    <w:rsid w:val="2BB200F8"/>
    <w:rsid w:val="2BC27DAE"/>
    <w:rsid w:val="2BD1219E"/>
    <w:rsid w:val="2BF57C61"/>
    <w:rsid w:val="2C315A5A"/>
    <w:rsid w:val="2C4B1C25"/>
    <w:rsid w:val="2C5660C5"/>
    <w:rsid w:val="2C621511"/>
    <w:rsid w:val="2CE33A54"/>
    <w:rsid w:val="2CF66837"/>
    <w:rsid w:val="2D1F7025"/>
    <w:rsid w:val="2D5802D9"/>
    <w:rsid w:val="2D9E56F5"/>
    <w:rsid w:val="2DAA7D74"/>
    <w:rsid w:val="2DDB435F"/>
    <w:rsid w:val="2DE051AF"/>
    <w:rsid w:val="2DFA7404"/>
    <w:rsid w:val="2E011285"/>
    <w:rsid w:val="2E2A08D0"/>
    <w:rsid w:val="2E2C0EFD"/>
    <w:rsid w:val="2E4A5C2F"/>
    <w:rsid w:val="2E667F96"/>
    <w:rsid w:val="2E8226AB"/>
    <w:rsid w:val="2E8572FC"/>
    <w:rsid w:val="2E950D68"/>
    <w:rsid w:val="2EB001BD"/>
    <w:rsid w:val="2F316EA9"/>
    <w:rsid w:val="2F9D7168"/>
    <w:rsid w:val="2FC45301"/>
    <w:rsid w:val="2FC8743B"/>
    <w:rsid w:val="2FD065E6"/>
    <w:rsid w:val="2FD836B2"/>
    <w:rsid w:val="2FD96870"/>
    <w:rsid w:val="2FE63D2F"/>
    <w:rsid w:val="30170C5D"/>
    <w:rsid w:val="304E6DE9"/>
    <w:rsid w:val="30580BC9"/>
    <w:rsid w:val="30F97E28"/>
    <w:rsid w:val="311E2ED7"/>
    <w:rsid w:val="314D0C41"/>
    <w:rsid w:val="315619EE"/>
    <w:rsid w:val="315C449C"/>
    <w:rsid w:val="31670D2C"/>
    <w:rsid w:val="317F7365"/>
    <w:rsid w:val="31836030"/>
    <w:rsid w:val="31B82709"/>
    <w:rsid w:val="31C76848"/>
    <w:rsid w:val="31D05482"/>
    <w:rsid w:val="3203628A"/>
    <w:rsid w:val="32093790"/>
    <w:rsid w:val="32400B34"/>
    <w:rsid w:val="32634A26"/>
    <w:rsid w:val="329E6876"/>
    <w:rsid w:val="32A9152D"/>
    <w:rsid w:val="32C87AF0"/>
    <w:rsid w:val="32E10C5F"/>
    <w:rsid w:val="32E76F5B"/>
    <w:rsid w:val="32EA024E"/>
    <w:rsid w:val="333015F2"/>
    <w:rsid w:val="334B6320"/>
    <w:rsid w:val="33886F6E"/>
    <w:rsid w:val="33D934D4"/>
    <w:rsid w:val="33F349FC"/>
    <w:rsid w:val="33FE2F6A"/>
    <w:rsid w:val="340E07E5"/>
    <w:rsid w:val="34235BF7"/>
    <w:rsid w:val="3440633E"/>
    <w:rsid w:val="34C864E8"/>
    <w:rsid w:val="34D43D9B"/>
    <w:rsid w:val="34DC50D3"/>
    <w:rsid w:val="34E14006"/>
    <w:rsid w:val="356314FD"/>
    <w:rsid w:val="358C2168"/>
    <w:rsid w:val="358C5FA8"/>
    <w:rsid w:val="35B01E90"/>
    <w:rsid w:val="35C1310D"/>
    <w:rsid w:val="35C15DF1"/>
    <w:rsid w:val="36074A7F"/>
    <w:rsid w:val="36456F76"/>
    <w:rsid w:val="368C3671"/>
    <w:rsid w:val="36923549"/>
    <w:rsid w:val="36B75FBF"/>
    <w:rsid w:val="36BD0C45"/>
    <w:rsid w:val="36FC0A35"/>
    <w:rsid w:val="370D7842"/>
    <w:rsid w:val="373140C1"/>
    <w:rsid w:val="37540D08"/>
    <w:rsid w:val="375872F6"/>
    <w:rsid w:val="375D5EF0"/>
    <w:rsid w:val="37E00298"/>
    <w:rsid w:val="37E3726D"/>
    <w:rsid w:val="385E2E31"/>
    <w:rsid w:val="38921072"/>
    <w:rsid w:val="38B302F9"/>
    <w:rsid w:val="38DB77C5"/>
    <w:rsid w:val="38F12CD3"/>
    <w:rsid w:val="38F94775"/>
    <w:rsid w:val="391A2775"/>
    <w:rsid w:val="39211B7A"/>
    <w:rsid w:val="392971ED"/>
    <w:rsid w:val="39325651"/>
    <w:rsid w:val="396C0752"/>
    <w:rsid w:val="396C1D84"/>
    <w:rsid w:val="396C68F2"/>
    <w:rsid w:val="39871C2F"/>
    <w:rsid w:val="39A940ED"/>
    <w:rsid w:val="3A656B36"/>
    <w:rsid w:val="3A872856"/>
    <w:rsid w:val="3ABF1229"/>
    <w:rsid w:val="3B2A031F"/>
    <w:rsid w:val="3B3763D1"/>
    <w:rsid w:val="3B4A5D2F"/>
    <w:rsid w:val="3BC116A7"/>
    <w:rsid w:val="3BEA4D86"/>
    <w:rsid w:val="3C172DA2"/>
    <w:rsid w:val="3C2F6E1E"/>
    <w:rsid w:val="3C374B2A"/>
    <w:rsid w:val="3C4F64BA"/>
    <w:rsid w:val="3C55372D"/>
    <w:rsid w:val="3C56797F"/>
    <w:rsid w:val="3C7D613A"/>
    <w:rsid w:val="3C927F12"/>
    <w:rsid w:val="3CD71855"/>
    <w:rsid w:val="3CDA245A"/>
    <w:rsid w:val="3CF90C34"/>
    <w:rsid w:val="3D03760C"/>
    <w:rsid w:val="3D1E06B7"/>
    <w:rsid w:val="3D312A04"/>
    <w:rsid w:val="3D3D5ED0"/>
    <w:rsid w:val="3DA5280F"/>
    <w:rsid w:val="3E06303C"/>
    <w:rsid w:val="3E261178"/>
    <w:rsid w:val="3E597F79"/>
    <w:rsid w:val="3E71502A"/>
    <w:rsid w:val="3E760D10"/>
    <w:rsid w:val="3E7A3858"/>
    <w:rsid w:val="3E9A6446"/>
    <w:rsid w:val="3EBB4B05"/>
    <w:rsid w:val="3ED13129"/>
    <w:rsid w:val="3EDA0523"/>
    <w:rsid w:val="3EFB5137"/>
    <w:rsid w:val="3F9410E8"/>
    <w:rsid w:val="3FB91631"/>
    <w:rsid w:val="40162CBA"/>
    <w:rsid w:val="40172C16"/>
    <w:rsid w:val="407A6407"/>
    <w:rsid w:val="40A8352D"/>
    <w:rsid w:val="40F26040"/>
    <w:rsid w:val="41032081"/>
    <w:rsid w:val="417C0C84"/>
    <w:rsid w:val="41B2557A"/>
    <w:rsid w:val="4200449D"/>
    <w:rsid w:val="423A3BCC"/>
    <w:rsid w:val="424E57D2"/>
    <w:rsid w:val="426203CD"/>
    <w:rsid w:val="42B26C49"/>
    <w:rsid w:val="42B77E54"/>
    <w:rsid w:val="42BC698B"/>
    <w:rsid w:val="433A6FE6"/>
    <w:rsid w:val="43467A22"/>
    <w:rsid w:val="43480868"/>
    <w:rsid w:val="4350713C"/>
    <w:rsid w:val="436653E0"/>
    <w:rsid w:val="43C4431A"/>
    <w:rsid w:val="43DA76DF"/>
    <w:rsid w:val="43E46B1F"/>
    <w:rsid w:val="43EF3FF8"/>
    <w:rsid w:val="44247C9B"/>
    <w:rsid w:val="44613D22"/>
    <w:rsid w:val="44713CBC"/>
    <w:rsid w:val="44B951CC"/>
    <w:rsid w:val="44CD14E0"/>
    <w:rsid w:val="44E04843"/>
    <w:rsid w:val="44F20B0B"/>
    <w:rsid w:val="452E5F4C"/>
    <w:rsid w:val="45612018"/>
    <w:rsid w:val="458946E9"/>
    <w:rsid w:val="45A47C0E"/>
    <w:rsid w:val="45FC3653"/>
    <w:rsid w:val="45FE7D22"/>
    <w:rsid w:val="46577FD6"/>
    <w:rsid w:val="46650DCB"/>
    <w:rsid w:val="4686370F"/>
    <w:rsid w:val="46AC3F2F"/>
    <w:rsid w:val="46D67089"/>
    <w:rsid w:val="46D955A7"/>
    <w:rsid w:val="47133957"/>
    <w:rsid w:val="47166D36"/>
    <w:rsid w:val="476D051B"/>
    <w:rsid w:val="47A07E0C"/>
    <w:rsid w:val="47A40BBC"/>
    <w:rsid w:val="47A809BA"/>
    <w:rsid w:val="47AE2126"/>
    <w:rsid w:val="486008A7"/>
    <w:rsid w:val="4870272E"/>
    <w:rsid w:val="489F33E7"/>
    <w:rsid w:val="49DC7715"/>
    <w:rsid w:val="4A023139"/>
    <w:rsid w:val="4A3737F7"/>
    <w:rsid w:val="4A7B576F"/>
    <w:rsid w:val="4A993E10"/>
    <w:rsid w:val="4AA55E6C"/>
    <w:rsid w:val="4AF561A9"/>
    <w:rsid w:val="4BB51858"/>
    <w:rsid w:val="4C2D4100"/>
    <w:rsid w:val="4C3C37B4"/>
    <w:rsid w:val="4C4A0649"/>
    <w:rsid w:val="4C746638"/>
    <w:rsid w:val="4C7E5ECA"/>
    <w:rsid w:val="4C876AA5"/>
    <w:rsid w:val="4C944438"/>
    <w:rsid w:val="4CA9472A"/>
    <w:rsid w:val="4CDA26F0"/>
    <w:rsid w:val="4D0E00FB"/>
    <w:rsid w:val="4D176606"/>
    <w:rsid w:val="4D2A0905"/>
    <w:rsid w:val="4D537EEC"/>
    <w:rsid w:val="4D8B0615"/>
    <w:rsid w:val="4DBA0972"/>
    <w:rsid w:val="4DEC4FB0"/>
    <w:rsid w:val="4E075D8A"/>
    <w:rsid w:val="4E224CBD"/>
    <w:rsid w:val="4EC00FAD"/>
    <w:rsid w:val="4F1F56F5"/>
    <w:rsid w:val="4F47125E"/>
    <w:rsid w:val="4F5E63DA"/>
    <w:rsid w:val="4F9843DC"/>
    <w:rsid w:val="4FB1539E"/>
    <w:rsid w:val="4FBE6311"/>
    <w:rsid w:val="4FC075DD"/>
    <w:rsid w:val="4FC62A8C"/>
    <w:rsid w:val="4FD44775"/>
    <w:rsid w:val="4FE20F0D"/>
    <w:rsid w:val="4FE51552"/>
    <w:rsid w:val="50504C4B"/>
    <w:rsid w:val="507A3A9C"/>
    <w:rsid w:val="509C6E7C"/>
    <w:rsid w:val="50AE4EF4"/>
    <w:rsid w:val="50B3361C"/>
    <w:rsid w:val="50CE78B3"/>
    <w:rsid w:val="50D8354A"/>
    <w:rsid w:val="513E2C61"/>
    <w:rsid w:val="5162104E"/>
    <w:rsid w:val="522C1696"/>
    <w:rsid w:val="52524C16"/>
    <w:rsid w:val="52A329FF"/>
    <w:rsid w:val="52D6562E"/>
    <w:rsid w:val="52EB794A"/>
    <w:rsid w:val="53A039CC"/>
    <w:rsid w:val="53A1505A"/>
    <w:rsid w:val="53D13E02"/>
    <w:rsid w:val="53F13A26"/>
    <w:rsid w:val="540631F4"/>
    <w:rsid w:val="54063E08"/>
    <w:rsid w:val="543437E8"/>
    <w:rsid w:val="546F15FA"/>
    <w:rsid w:val="54770964"/>
    <w:rsid w:val="5482372F"/>
    <w:rsid w:val="548F5964"/>
    <w:rsid w:val="54B936FF"/>
    <w:rsid w:val="54F73313"/>
    <w:rsid w:val="54F80955"/>
    <w:rsid w:val="55197C6D"/>
    <w:rsid w:val="555170A7"/>
    <w:rsid w:val="557A54CD"/>
    <w:rsid w:val="5587536D"/>
    <w:rsid w:val="559B174B"/>
    <w:rsid w:val="55CE0CF4"/>
    <w:rsid w:val="55DE43CD"/>
    <w:rsid w:val="56B22A9C"/>
    <w:rsid w:val="57167AB4"/>
    <w:rsid w:val="576F281D"/>
    <w:rsid w:val="57937943"/>
    <w:rsid w:val="57B534F2"/>
    <w:rsid w:val="57B72A76"/>
    <w:rsid w:val="57C3426C"/>
    <w:rsid w:val="57CE1F93"/>
    <w:rsid w:val="57D86D69"/>
    <w:rsid w:val="57DE52CB"/>
    <w:rsid w:val="57E54EDF"/>
    <w:rsid w:val="588743D1"/>
    <w:rsid w:val="5887701A"/>
    <w:rsid w:val="589A2E73"/>
    <w:rsid w:val="58F509F1"/>
    <w:rsid w:val="590F7E61"/>
    <w:rsid w:val="59284923"/>
    <w:rsid w:val="595C45CC"/>
    <w:rsid w:val="59617E35"/>
    <w:rsid w:val="59AA18DB"/>
    <w:rsid w:val="59C0439F"/>
    <w:rsid w:val="59C42A12"/>
    <w:rsid w:val="59DC52C7"/>
    <w:rsid w:val="59E85675"/>
    <w:rsid w:val="5A14193B"/>
    <w:rsid w:val="5A964190"/>
    <w:rsid w:val="5ABE2233"/>
    <w:rsid w:val="5AC36369"/>
    <w:rsid w:val="5AC61868"/>
    <w:rsid w:val="5B28748B"/>
    <w:rsid w:val="5BA01FB9"/>
    <w:rsid w:val="5BA06B14"/>
    <w:rsid w:val="5BDF5D95"/>
    <w:rsid w:val="5BFE7528"/>
    <w:rsid w:val="5C0138F0"/>
    <w:rsid w:val="5C1823BD"/>
    <w:rsid w:val="5C237623"/>
    <w:rsid w:val="5C4221AB"/>
    <w:rsid w:val="5C7D2AA1"/>
    <w:rsid w:val="5CA96851"/>
    <w:rsid w:val="5CCD6E98"/>
    <w:rsid w:val="5D04341A"/>
    <w:rsid w:val="5D3D0C39"/>
    <w:rsid w:val="5D3E2967"/>
    <w:rsid w:val="5D996769"/>
    <w:rsid w:val="5E2467F1"/>
    <w:rsid w:val="5E717DCD"/>
    <w:rsid w:val="5EC15FC2"/>
    <w:rsid w:val="5F1A2B43"/>
    <w:rsid w:val="5F645F89"/>
    <w:rsid w:val="5FB837BB"/>
    <w:rsid w:val="5FB92AF0"/>
    <w:rsid w:val="5FCB522E"/>
    <w:rsid w:val="605F1C92"/>
    <w:rsid w:val="60B24997"/>
    <w:rsid w:val="60CC405A"/>
    <w:rsid w:val="61B57EB2"/>
    <w:rsid w:val="61D12198"/>
    <w:rsid w:val="61E215D8"/>
    <w:rsid w:val="621B3775"/>
    <w:rsid w:val="622A3EA4"/>
    <w:rsid w:val="62364782"/>
    <w:rsid w:val="62397159"/>
    <w:rsid w:val="62B04868"/>
    <w:rsid w:val="631A5B1A"/>
    <w:rsid w:val="632650FB"/>
    <w:rsid w:val="63337662"/>
    <w:rsid w:val="63456373"/>
    <w:rsid w:val="635935AF"/>
    <w:rsid w:val="6394356A"/>
    <w:rsid w:val="63BB4841"/>
    <w:rsid w:val="63C61B2C"/>
    <w:rsid w:val="63D40BE9"/>
    <w:rsid w:val="63EC65E7"/>
    <w:rsid w:val="64102431"/>
    <w:rsid w:val="6411694F"/>
    <w:rsid w:val="64266071"/>
    <w:rsid w:val="64716A49"/>
    <w:rsid w:val="6478461E"/>
    <w:rsid w:val="64815700"/>
    <w:rsid w:val="64A5243A"/>
    <w:rsid w:val="64C04D83"/>
    <w:rsid w:val="64F531DE"/>
    <w:rsid w:val="65304687"/>
    <w:rsid w:val="65373578"/>
    <w:rsid w:val="65425B54"/>
    <w:rsid w:val="657B2FE2"/>
    <w:rsid w:val="65E51E9F"/>
    <w:rsid w:val="65E63183"/>
    <w:rsid w:val="66223CBA"/>
    <w:rsid w:val="6624104F"/>
    <w:rsid w:val="66726940"/>
    <w:rsid w:val="66C10F93"/>
    <w:rsid w:val="66F36589"/>
    <w:rsid w:val="671F124A"/>
    <w:rsid w:val="677A33C6"/>
    <w:rsid w:val="678C5591"/>
    <w:rsid w:val="67A95106"/>
    <w:rsid w:val="67C47F0C"/>
    <w:rsid w:val="67DD19DD"/>
    <w:rsid w:val="681F6961"/>
    <w:rsid w:val="684B7678"/>
    <w:rsid w:val="68607B04"/>
    <w:rsid w:val="68610A2F"/>
    <w:rsid w:val="68805514"/>
    <w:rsid w:val="68AB3DDA"/>
    <w:rsid w:val="68E8576C"/>
    <w:rsid w:val="690F62C5"/>
    <w:rsid w:val="69316E2F"/>
    <w:rsid w:val="69337D87"/>
    <w:rsid w:val="694E2071"/>
    <w:rsid w:val="69766163"/>
    <w:rsid w:val="697A3B33"/>
    <w:rsid w:val="69B82573"/>
    <w:rsid w:val="69C808B9"/>
    <w:rsid w:val="69C9211D"/>
    <w:rsid w:val="69D44760"/>
    <w:rsid w:val="69D62B8F"/>
    <w:rsid w:val="6A084C8A"/>
    <w:rsid w:val="6A1707C7"/>
    <w:rsid w:val="6A520EC7"/>
    <w:rsid w:val="6AA544B5"/>
    <w:rsid w:val="6AAD6984"/>
    <w:rsid w:val="6AC46851"/>
    <w:rsid w:val="6ACC03C8"/>
    <w:rsid w:val="6AE37409"/>
    <w:rsid w:val="6AE467B9"/>
    <w:rsid w:val="6AF87E20"/>
    <w:rsid w:val="6B322639"/>
    <w:rsid w:val="6B461EDA"/>
    <w:rsid w:val="6B6D5164"/>
    <w:rsid w:val="6B880327"/>
    <w:rsid w:val="6BA7071D"/>
    <w:rsid w:val="6BFD3CEC"/>
    <w:rsid w:val="6C636C38"/>
    <w:rsid w:val="6CA17368"/>
    <w:rsid w:val="6CD40BF2"/>
    <w:rsid w:val="6CD46C7B"/>
    <w:rsid w:val="6D3E6A27"/>
    <w:rsid w:val="6D4127DE"/>
    <w:rsid w:val="6D7B72BF"/>
    <w:rsid w:val="6D96027F"/>
    <w:rsid w:val="6DB34098"/>
    <w:rsid w:val="6DB545B6"/>
    <w:rsid w:val="6DCE5595"/>
    <w:rsid w:val="6DE02FB4"/>
    <w:rsid w:val="6E514CED"/>
    <w:rsid w:val="6E5518F4"/>
    <w:rsid w:val="6EB563D5"/>
    <w:rsid w:val="6EC24A7A"/>
    <w:rsid w:val="6ED92677"/>
    <w:rsid w:val="6F225983"/>
    <w:rsid w:val="6F607C48"/>
    <w:rsid w:val="6FB23FA9"/>
    <w:rsid w:val="6FBC59BA"/>
    <w:rsid w:val="6FD72047"/>
    <w:rsid w:val="6FE648AD"/>
    <w:rsid w:val="6FFC5590"/>
    <w:rsid w:val="706C7393"/>
    <w:rsid w:val="706D1DD0"/>
    <w:rsid w:val="70856B87"/>
    <w:rsid w:val="708742D6"/>
    <w:rsid w:val="709E72EC"/>
    <w:rsid w:val="70B36A29"/>
    <w:rsid w:val="70D41CCD"/>
    <w:rsid w:val="70D527EE"/>
    <w:rsid w:val="70F57389"/>
    <w:rsid w:val="713D3B76"/>
    <w:rsid w:val="71456753"/>
    <w:rsid w:val="715B5300"/>
    <w:rsid w:val="71C736AA"/>
    <w:rsid w:val="71D27F8A"/>
    <w:rsid w:val="720D6CFF"/>
    <w:rsid w:val="721F290F"/>
    <w:rsid w:val="72553024"/>
    <w:rsid w:val="728346D7"/>
    <w:rsid w:val="728F054A"/>
    <w:rsid w:val="72943F8A"/>
    <w:rsid w:val="72B5613D"/>
    <w:rsid w:val="72BA581E"/>
    <w:rsid w:val="72C64694"/>
    <w:rsid w:val="72DB4E62"/>
    <w:rsid w:val="73082E5E"/>
    <w:rsid w:val="730B4C41"/>
    <w:rsid w:val="73122968"/>
    <w:rsid w:val="731F5D5E"/>
    <w:rsid w:val="73261585"/>
    <w:rsid w:val="736D07A3"/>
    <w:rsid w:val="736D15CD"/>
    <w:rsid w:val="73967332"/>
    <w:rsid w:val="73C51AD5"/>
    <w:rsid w:val="741E793C"/>
    <w:rsid w:val="745E3944"/>
    <w:rsid w:val="74642C7D"/>
    <w:rsid w:val="74725771"/>
    <w:rsid w:val="75003E2D"/>
    <w:rsid w:val="750059FD"/>
    <w:rsid w:val="75111DAC"/>
    <w:rsid w:val="75A7577F"/>
    <w:rsid w:val="75C44FD2"/>
    <w:rsid w:val="7635099D"/>
    <w:rsid w:val="76471064"/>
    <w:rsid w:val="76A6278C"/>
    <w:rsid w:val="76BC2F2B"/>
    <w:rsid w:val="76D04CAB"/>
    <w:rsid w:val="76D25D84"/>
    <w:rsid w:val="76E00123"/>
    <w:rsid w:val="76F74EF8"/>
    <w:rsid w:val="77495F99"/>
    <w:rsid w:val="775A7A90"/>
    <w:rsid w:val="77752C8F"/>
    <w:rsid w:val="77762421"/>
    <w:rsid w:val="77B56B1F"/>
    <w:rsid w:val="780F09F4"/>
    <w:rsid w:val="78837E7B"/>
    <w:rsid w:val="78A90480"/>
    <w:rsid w:val="78AA1F90"/>
    <w:rsid w:val="78AD0549"/>
    <w:rsid w:val="78AF7075"/>
    <w:rsid w:val="795757E8"/>
    <w:rsid w:val="79AE12CA"/>
    <w:rsid w:val="7A21330E"/>
    <w:rsid w:val="7A364017"/>
    <w:rsid w:val="7A521897"/>
    <w:rsid w:val="7A587683"/>
    <w:rsid w:val="7A8265E1"/>
    <w:rsid w:val="7A8C0B45"/>
    <w:rsid w:val="7AD1257F"/>
    <w:rsid w:val="7AEC35AA"/>
    <w:rsid w:val="7B1032F0"/>
    <w:rsid w:val="7B1E7E89"/>
    <w:rsid w:val="7B686D42"/>
    <w:rsid w:val="7B6B7572"/>
    <w:rsid w:val="7B841746"/>
    <w:rsid w:val="7B922932"/>
    <w:rsid w:val="7BC768CB"/>
    <w:rsid w:val="7C493D07"/>
    <w:rsid w:val="7C6C5AC7"/>
    <w:rsid w:val="7C9F0B88"/>
    <w:rsid w:val="7CC220AC"/>
    <w:rsid w:val="7CC6544B"/>
    <w:rsid w:val="7CD55051"/>
    <w:rsid w:val="7D0239FF"/>
    <w:rsid w:val="7D1A55B4"/>
    <w:rsid w:val="7D2D01BE"/>
    <w:rsid w:val="7D301179"/>
    <w:rsid w:val="7D5E40CD"/>
    <w:rsid w:val="7DCD56F2"/>
    <w:rsid w:val="7DD431FB"/>
    <w:rsid w:val="7E081DEB"/>
    <w:rsid w:val="7E40767F"/>
    <w:rsid w:val="7E486978"/>
    <w:rsid w:val="7E8F564F"/>
    <w:rsid w:val="7E9864A5"/>
    <w:rsid w:val="7EA40397"/>
    <w:rsid w:val="7ECD4A8C"/>
    <w:rsid w:val="7EE2327A"/>
    <w:rsid w:val="7F001CE7"/>
    <w:rsid w:val="7F083540"/>
    <w:rsid w:val="7F1D2B51"/>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autoRedefine/>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autoRedefine/>
    <w:qFormat/>
    <w:uiPriority w:val="0"/>
    <w:pPr>
      <w:keepNext/>
      <w:keepLines/>
      <w:spacing w:before="120" w:after="120" w:line="360" w:lineRule="auto"/>
      <w:outlineLvl w:val="1"/>
    </w:pPr>
    <w:rPr>
      <w:rFonts w:ascii="Cambria" w:hAnsi="Cambria"/>
      <w:b/>
      <w:bCs/>
      <w:sz w:val="32"/>
      <w:szCs w:val="32"/>
    </w:rPr>
  </w:style>
  <w:style w:type="paragraph" w:styleId="5">
    <w:name w:val="heading 4"/>
    <w:basedOn w:val="1"/>
    <w:next w:val="1"/>
    <w:autoRedefine/>
    <w:qFormat/>
    <w:uiPriority w:val="0"/>
    <w:pPr>
      <w:keepNext/>
      <w:keepLines/>
      <w:spacing w:before="280" w:after="290" w:line="372" w:lineRule="auto"/>
      <w:outlineLvl w:val="3"/>
    </w:pPr>
    <w:rPr>
      <w:rFonts w:ascii="Arial" w:hAnsi="Arial" w:eastAsia="黑体"/>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54"/>
    <w:autoRedefine/>
    <w:qFormat/>
    <w:uiPriority w:val="0"/>
    <w:pPr>
      <w:widowControl/>
      <w:snapToGrid w:val="0"/>
      <w:spacing w:before="60" w:after="160" w:line="259" w:lineRule="auto"/>
      <w:ind w:right="113"/>
    </w:pPr>
    <w:rPr>
      <w:kern w:val="0"/>
      <w:sz w:val="18"/>
      <w:szCs w:val="20"/>
    </w:rPr>
  </w:style>
  <w:style w:type="paragraph" w:styleId="6">
    <w:name w:val="table of authorities"/>
    <w:basedOn w:val="1"/>
    <w:next w:val="1"/>
    <w:autoRedefine/>
    <w:qFormat/>
    <w:uiPriority w:val="0"/>
    <w:pPr>
      <w:ind w:left="420" w:leftChars="200"/>
    </w:pPr>
  </w:style>
  <w:style w:type="paragraph" w:styleId="7">
    <w:name w:val="Normal Indent"/>
    <w:basedOn w:val="1"/>
    <w:autoRedefine/>
    <w:qFormat/>
    <w:uiPriority w:val="0"/>
    <w:pPr>
      <w:spacing w:line="460" w:lineRule="atLeast"/>
      <w:ind w:firstLine="420"/>
    </w:pPr>
    <w:rPr>
      <w:sz w:val="24"/>
      <w:szCs w:val="20"/>
    </w:rPr>
  </w:style>
  <w:style w:type="paragraph" w:styleId="8">
    <w:name w:val="caption"/>
    <w:basedOn w:val="1"/>
    <w:next w:val="1"/>
    <w:autoRedefine/>
    <w:qFormat/>
    <w:uiPriority w:val="35"/>
    <w:pPr>
      <w:widowControl/>
      <w:adjustRightInd w:val="0"/>
      <w:snapToGrid w:val="0"/>
      <w:jc w:val="center"/>
    </w:pPr>
    <w:rPr>
      <w:rFonts w:eastAsia="黑体"/>
      <w:kern w:val="0"/>
      <w:sz w:val="24"/>
    </w:rPr>
  </w:style>
  <w:style w:type="paragraph" w:styleId="9">
    <w:name w:val="annotation text"/>
    <w:basedOn w:val="1"/>
    <w:link w:val="51"/>
    <w:autoRedefine/>
    <w:semiHidden/>
    <w:qFormat/>
    <w:uiPriority w:val="0"/>
    <w:pPr>
      <w:jc w:val="left"/>
    </w:pPr>
    <w:rPr>
      <w:kern w:val="0"/>
      <w:sz w:val="24"/>
      <w:szCs w:val="20"/>
    </w:rPr>
  </w:style>
  <w:style w:type="paragraph" w:styleId="10">
    <w:name w:val="Body Text Indent"/>
    <w:basedOn w:val="1"/>
    <w:link w:val="44"/>
    <w:autoRedefine/>
    <w:qFormat/>
    <w:uiPriority w:val="0"/>
    <w:pPr>
      <w:spacing w:after="120"/>
      <w:ind w:left="420" w:leftChars="200"/>
    </w:pPr>
    <w:rPr>
      <w:kern w:val="0"/>
      <w:sz w:val="24"/>
      <w:szCs w:val="20"/>
    </w:rPr>
  </w:style>
  <w:style w:type="paragraph" w:styleId="11">
    <w:name w:val="toc 3"/>
    <w:basedOn w:val="1"/>
    <w:next w:val="1"/>
    <w:autoRedefine/>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12">
    <w:name w:val="Plain Text"/>
    <w:basedOn w:val="1"/>
    <w:link w:val="102"/>
    <w:autoRedefine/>
    <w:qFormat/>
    <w:uiPriority w:val="0"/>
    <w:pPr>
      <w:widowControl/>
      <w:spacing w:before="100" w:beforeAutospacing="1" w:after="100" w:afterAutospacing="1"/>
      <w:jc w:val="left"/>
    </w:pPr>
    <w:rPr>
      <w:rFonts w:ascii="宋体" w:hAnsi="宋体"/>
      <w:color w:val="000000"/>
      <w:kern w:val="0"/>
      <w:sz w:val="24"/>
    </w:rPr>
  </w:style>
  <w:style w:type="paragraph" w:styleId="13">
    <w:name w:val="List Bullet 5"/>
    <w:basedOn w:val="1"/>
    <w:autoRedefine/>
    <w:qFormat/>
    <w:uiPriority w:val="0"/>
    <w:pPr>
      <w:numPr>
        <w:ilvl w:val="0"/>
        <w:numId w:val="1"/>
      </w:numPr>
    </w:pPr>
  </w:style>
  <w:style w:type="paragraph" w:styleId="14">
    <w:name w:val="Date"/>
    <w:basedOn w:val="1"/>
    <w:next w:val="1"/>
    <w:link w:val="43"/>
    <w:autoRedefine/>
    <w:qFormat/>
    <w:uiPriority w:val="0"/>
    <w:pPr>
      <w:ind w:left="100" w:leftChars="2500"/>
    </w:pPr>
    <w:rPr>
      <w:kern w:val="0"/>
      <w:sz w:val="24"/>
      <w:szCs w:val="20"/>
    </w:rPr>
  </w:style>
  <w:style w:type="paragraph" w:styleId="15">
    <w:name w:val="Body Text Indent 2"/>
    <w:basedOn w:val="1"/>
    <w:next w:val="1"/>
    <w:autoRedefine/>
    <w:qFormat/>
    <w:uiPriority w:val="0"/>
    <w:pPr>
      <w:spacing w:after="120" w:line="480" w:lineRule="auto"/>
      <w:ind w:left="420" w:leftChars="200"/>
    </w:pPr>
  </w:style>
  <w:style w:type="paragraph" w:styleId="16">
    <w:name w:val="Balloon Text"/>
    <w:basedOn w:val="1"/>
    <w:link w:val="47"/>
    <w:autoRedefine/>
    <w:semiHidden/>
    <w:qFormat/>
    <w:uiPriority w:val="0"/>
    <w:rPr>
      <w:kern w:val="0"/>
      <w:sz w:val="18"/>
      <w:szCs w:val="20"/>
    </w:rPr>
  </w:style>
  <w:style w:type="paragraph" w:styleId="17">
    <w:name w:val="footer"/>
    <w:basedOn w:val="1"/>
    <w:link w:val="45"/>
    <w:autoRedefine/>
    <w:qFormat/>
    <w:uiPriority w:val="99"/>
    <w:pPr>
      <w:tabs>
        <w:tab w:val="center" w:pos="4153"/>
        <w:tab w:val="right" w:pos="8306"/>
      </w:tabs>
      <w:snapToGrid w:val="0"/>
      <w:jc w:val="left"/>
    </w:pPr>
    <w:rPr>
      <w:kern w:val="0"/>
      <w:sz w:val="18"/>
      <w:szCs w:val="20"/>
    </w:rPr>
  </w:style>
  <w:style w:type="paragraph" w:styleId="18">
    <w:name w:val="header"/>
    <w:basedOn w:val="1"/>
    <w:link w:val="50"/>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19">
    <w:name w:val="toc 1"/>
    <w:basedOn w:val="1"/>
    <w:next w:val="1"/>
    <w:autoRedefine/>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20">
    <w:name w:val="List"/>
    <w:basedOn w:val="1"/>
    <w:next w:val="2"/>
    <w:autoRedefine/>
    <w:qFormat/>
    <w:uiPriority w:val="0"/>
    <w:pPr>
      <w:ind w:left="200" w:hanging="200" w:hangingChars="200"/>
    </w:pPr>
  </w:style>
  <w:style w:type="paragraph" w:styleId="21">
    <w:name w:val="Body Text Indent 3"/>
    <w:basedOn w:val="1"/>
    <w:autoRedefine/>
    <w:qFormat/>
    <w:uiPriority w:val="0"/>
    <w:pPr>
      <w:spacing w:after="120"/>
      <w:ind w:left="420" w:leftChars="200"/>
    </w:pPr>
    <w:rPr>
      <w:sz w:val="16"/>
      <w:szCs w:val="16"/>
    </w:rPr>
  </w:style>
  <w:style w:type="paragraph" w:styleId="22">
    <w:name w:val="toc 2"/>
    <w:basedOn w:val="1"/>
    <w:next w:val="1"/>
    <w:autoRedefine/>
    <w:qFormat/>
    <w:uiPriority w:val="39"/>
    <w:pPr>
      <w:ind w:left="210"/>
      <w:jc w:val="left"/>
    </w:pPr>
    <w:rPr>
      <w:smallCaps/>
      <w:sz w:val="20"/>
      <w:szCs w:val="20"/>
    </w:rPr>
  </w:style>
  <w:style w:type="paragraph" w:styleId="23">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24">
    <w:name w:val="Normal (Web)"/>
    <w:basedOn w:val="1"/>
    <w:link w:val="40"/>
    <w:autoRedefine/>
    <w:qFormat/>
    <w:uiPriority w:val="99"/>
    <w:pPr>
      <w:widowControl/>
      <w:spacing w:before="100" w:beforeAutospacing="1" w:after="100" w:afterAutospacing="1"/>
      <w:jc w:val="left"/>
    </w:pPr>
    <w:rPr>
      <w:rFonts w:ascii="宋体" w:hAnsi="宋体"/>
      <w:kern w:val="0"/>
      <w:sz w:val="24"/>
      <w:szCs w:val="20"/>
    </w:rPr>
  </w:style>
  <w:style w:type="paragraph" w:styleId="25">
    <w:name w:val="Title"/>
    <w:basedOn w:val="1"/>
    <w:next w:val="1"/>
    <w:autoRedefine/>
    <w:qFormat/>
    <w:uiPriority w:val="0"/>
    <w:pPr>
      <w:spacing w:before="240" w:after="60"/>
      <w:jc w:val="center"/>
      <w:outlineLvl w:val="0"/>
    </w:pPr>
    <w:rPr>
      <w:rFonts w:ascii="等线 Light" w:hAnsi="等线 Light"/>
      <w:b/>
      <w:bCs/>
      <w:sz w:val="32"/>
      <w:szCs w:val="32"/>
    </w:rPr>
  </w:style>
  <w:style w:type="paragraph" w:styleId="26">
    <w:name w:val="annotation subject"/>
    <w:basedOn w:val="9"/>
    <w:next w:val="9"/>
    <w:link w:val="53"/>
    <w:autoRedefine/>
    <w:semiHidden/>
    <w:qFormat/>
    <w:uiPriority w:val="0"/>
    <w:rPr>
      <w:b/>
      <w:kern w:val="2"/>
    </w:rPr>
  </w:style>
  <w:style w:type="paragraph" w:styleId="27">
    <w:name w:val="Body Text First Indent"/>
    <w:basedOn w:val="2"/>
    <w:autoRedefine/>
    <w:qFormat/>
    <w:uiPriority w:val="0"/>
    <w:pPr>
      <w:ind w:firstLine="420" w:firstLineChars="100"/>
    </w:pPr>
  </w:style>
  <w:style w:type="paragraph" w:styleId="28">
    <w:name w:val="Body Text First Indent 2"/>
    <w:basedOn w:val="10"/>
    <w:next w:val="27"/>
    <w:link w:val="99"/>
    <w:autoRedefine/>
    <w:qFormat/>
    <w:uiPriority w:val="0"/>
    <w:pPr>
      <w:ind w:firstLine="420" w:firstLineChars="200"/>
    </w:pPr>
    <w:rPr>
      <w:rFonts w:ascii="Calibri" w:hAnsi="Calibri" w:cs="Calibri"/>
      <w:kern w:val="2"/>
      <w:sz w:val="21"/>
      <w:szCs w:val="24"/>
    </w:rPr>
  </w:style>
  <w:style w:type="table" w:styleId="30">
    <w:name w:val="Table Grid"/>
    <w:basedOn w:val="29"/>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2">
    <w:name w:val="page number"/>
    <w:basedOn w:val="31"/>
    <w:autoRedefine/>
    <w:qFormat/>
    <w:uiPriority w:val="0"/>
  </w:style>
  <w:style w:type="character" w:styleId="33">
    <w:name w:val="Hyperlink"/>
    <w:basedOn w:val="31"/>
    <w:autoRedefine/>
    <w:unhideWhenUsed/>
    <w:qFormat/>
    <w:uiPriority w:val="99"/>
    <w:rPr>
      <w:color w:val="0563C1" w:themeColor="hyperlink"/>
      <w:u w:val="single"/>
      <w14:textFill>
        <w14:solidFill>
          <w14:schemeClr w14:val="hlink"/>
        </w14:solidFill>
      </w14:textFill>
    </w:rPr>
  </w:style>
  <w:style w:type="character" w:styleId="34">
    <w:name w:val="annotation reference"/>
    <w:autoRedefine/>
    <w:semiHidden/>
    <w:qFormat/>
    <w:uiPriority w:val="0"/>
    <w:rPr>
      <w:sz w:val="21"/>
    </w:rPr>
  </w:style>
  <w:style w:type="paragraph" w:customStyle="1" w:styleId="35">
    <w:name w:val="Normal (Web)1"/>
    <w:basedOn w:val="1"/>
    <w:next w:val="36"/>
    <w:autoRedefine/>
    <w:qFormat/>
    <w:uiPriority w:val="0"/>
    <w:pPr>
      <w:widowControl/>
      <w:jc w:val="left"/>
    </w:pPr>
    <w:rPr>
      <w:rFonts w:ascii="宋体"/>
      <w:kern w:val="0"/>
      <w:sz w:val="24"/>
      <w:szCs w:val="21"/>
    </w:rPr>
  </w:style>
  <w:style w:type="paragraph" w:customStyle="1" w:styleId="36">
    <w:name w:val="Date1"/>
    <w:basedOn w:val="1"/>
    <w:next w:val="1"/>
    <w:autoRedefine/>
    <w:qFormat/>
    <w:uiPriority w:val="99"/>
    <w:pPr>
      <w:ind w:left="2500" w:leftChars="2500"/>
    </w:pPr>
  </w:style>
  <w:style w:type="paragraph" w:customStyle="1" w:styleId="37">
    <w:name w:val="11111"/>
    <w:basedOn w:val="1"/>
    <w:next w:val="1"/>
    <w:autoRedefine/>
    <w:qFormat/>
    <w:uiPriority w:val="0"/>
    <w:pPr>
      <w:spacing w:line="360" w:lineRule="auto"/>
      <w:ind w:firstLine="200" w:firstLineChars="200"/>
    </w:pPr>
    <w:rPr>
      <w:rFonts w:ascii="宋体" w:hAnsi="宋体" w:cs="宋体"/>
      <w:sz w:val="24"/>
    </w:rPr>
  </w:style>
  <w:style w:type="character" w:customStyle="1" w:styleId="38">
    <w:name w:val="表格 Char"/>
    <w:link w:val="39"/>
    <w:autoRedefine/>
    <w:qFormat/>
    <w:uiPriority w:val="0"/>
    <w:rPr>
      <w:rFonts w:ascii="宋体"/>
      <w:sz w:val="21"/>
    </w:rPr>
  </w:style>
  <w:style w:type="paragraph" w:customStyle="1" w:styleId="39">
    <w:name w:val="表格"/>
    <w:basedOn w:val="1"/>
    <w:next w:val="1"/>
    <w:link w:val="38"/>
    <w:autoRedefine/>
    <w:qFormat/>
    <w:uiPriority w:val="0"/>
    <w:pPr>
      <w:adjustRightInd w:val="0"/>
      <w:snapToGrid w:val="0"/>
      <w:spacing w:beforeLines="10" w:afterLines="10" w:line="259" w:lineRule="auto"/>
      <w:jc w:val="center"/>
    </w:pPr>
    <w:rPr>
      <w:rFonts w:ascii="宋体"/>
      <w:kern w:val="0"/>
      <w:szCs w:val="20"/>
    </w:rPr>
  </w:style>
  <w:style w:type="character" w:customStyle="1" w:styleId="40">
    <w:name w:val="普通(网站) 字符"/>
    <w:link w:val="24"/>
    <w:autoRedefine/>
    <w:qFormat/>
    <w:uiPriority w:val="0"/>
    <w:rPr>
      <w:rFonts w:ascii="宋体" w:hAnsi="宋体" w:eastAsia="宋体"/>
      <w:sz w:val="24"/>
    </w:rPr>
  </w:style>
  <w:style w:type="character" w:customStyle="1" w:styleId="41">
    <w:name w:val="日期 字符"/>
    <w:autoRedefine/>
    <w:semiHidden/>
    <w:qFormat/>
    <w:uiPriority w:val="0"/>
    <w:rPr>
      <w:rFonts w:ascii="Times New Roman" w:hAnsi="Times New Roman" w:eastAsia="宋体"/>
      <w:sz w:val="24"/>
    </w:rPr>
  </w:style>
  <w:style w:type="character" w:customStyle="1" w:styleId="42">
    <w:name w:val="fontstyle01"/>
    <w:autoRedefine/>
    <w:qFormat/>
    <w:uiPriority w:val="0"/>
    <w:rPr>
      <w:rFonts w:hint="eastAsia" w:ascii="宋体" w:hAnsi="宋体" w:eastAsia="宋体"/>
      <w:color w:val="000000"/>
      <w:sz w:val="24"/>
      <w:szCs w:val="24"/>
    </w:rPr>
  </w:style>
  <w:style w:type="character" w:customStyle="1" w:styleId="43">
    <w:name w:val="日期 字符1"/>
    <w:link w:val="14"/>
    <w:autoRedefine/>
    <w:qFormat/>
    <w:uiPriority w:val="0"/>
    <w:rPr>
      <w:rFonts w:ascii="Times New Roman" w:hAnsi="Times New Roman" w:eastAsia="宋体"/>
      <w:sz w:val="24"/>
    </w:rPr>
  </w:style>
  <w:style w:type="character" w:customStyle="1" w:styleId="44">
    <w:name w:val="正文文本缩进 字符"/>
    <w:link w:val="10"/>
    <w:autoRedefine/>
    <w:semiHidden/>
    <w:qFormat/>
    <w:uiPriority w:val="0"/>
    <w:rPr>
      <w:rFonts w:ascii="Times New Roman" w:hAnsi="Times New Roman" w:eastAsia="宋体"/>
      <w:sz w:val="24"/>
    </w:rPr>
  </w:style>
  <w:style w:type="character" w:customStyle="1" w:styleId="45">
    <w:name w:val="页脚 字符1"/>
    <w:link w:val="17"/>
    <w:autoRedefine/>
    <w:qFormat/>
    <w:uiPriority w:val="99"/>
    <w:rPr>
      <w:sz w:val="18"/>
    </w:rPr>
  </w:style>
  <w:style w:type="character" w:customStyle="1" w:styleId="46">
    <w:name w:val="fontstyle21"/>
    <w:autoRedefine/>
    <w:qFormat/>
    <w:uiPriority w:val="0"/>
    <w:rPr>
      <w:rFonts w:hint="default" w:ascii="Times New Roman" w:hAnsi="Times New Roman" w:cs="Times New Roman"/>
      <w:color w:val="000000"/>
      <w:sz w:val="24"/>
      <w:szCs w:val="24"/>
    </w:rPr>
  </w:style>
  <w:style w:type="character" w:customStyle="1" w:styleId="47">
    <w:name w:val="批注框文本 字符"/>
    <w:link w:val="16"/>
    <w:autoRedefine/>
    <w:semiHidden/>
    <w:qFormat/>
    <w:uiPriority w:val="0"/>
    <w:rPr>
      <w:rFonts w:ascii="Times New Roman" w:hAnsi="Times New Roman" w:eastAsia="宋体"/>
      <w:sz w:val="18"/>
    </w:rPr>
  </w:style>
  <w:style w:type="character" w:customStyle="1" w:styleId="48">
    <w:name w:val="正文文本 字符1"/>
    <w:autoRedefine/>
    <w:semiHidden/>
    <w:qFormat/>
    <w:uiPriority w:val="0"/>
    <w:rPr>
      <w:rFonts w:ascii="Times New Roman" w:hAnsi="Times New Roman" w:eastAsia="宋体"/>
      <w:sz w:val="24"/>
    </w:rPr>
  </w:style>
  <w:style w:type="character" w:customStyle="1" w:styleId="49">
    <w:name w:val="页脚 字符"/>
    <w:basedOn w:val="31"/>
    <w:autoRedefine/>
    <w:qFormat/>
    <w:uiPriority w:val="99"/>
  </w:style>
  <w:style w:type="character" w:customStyle="1" w:styleId="50">
    <w:name w:val="页眉 字符"/>
    <w:link w:val="18"/>
    <w:autoRedefine/>
    <w:qFormat/>
    <w:uiPriority w:val="0"/>
    <w:rPr>
      <w:sz w:val="18"/>
    </w:rPr>
  </w:style>
  <w:style w:type="character" w:customStyle="1" w:styleId="51">
    <w:name w:val="批注文字 字符"/>
    <w:link w:val="9"/>
    <w:autoRedefine/>
    <w:qFormat/>
    <w:uiPriority w:val="0"/>
    <w:rPr>
      <w:rFonts w:ascii="Times New Roman" w:hAnsi="Times New Roman" w:eastAsia="宋体"/>
      <w:sz w:val="24"/>
    </w:rPr>
  </w:style>
  <w:style w:type="character" w:customStyle="1" w:styleId="52">
    <w:name w:val="批注文字 字符1"/>
    <w:autoRedefine/>
    <w:semiHidden/>
    <w:qFormat/>
    <w:uiPriority w:val="0"/>
    <w:rPr>
      <w:rFonts w:ascii="Times New Roman" w:hAnsi="Times New Roman" w:eastAsia="宋体"/>
      <w:sz w:val="24"/>
    </w:rPr>
  </w:style>
  <w:style w:type="character" w:customStyle="1" w:styleId="53">
    <w:name w:val="批注主题 字符"/>
    <w:link w:val="26"/>
    <w:autoRedefine/>
    <w:semiHidden/>
    <w:qFormat/>
    <w:uiPriority w:val="0"/>
    <w:rPr>
      <w:rFonts w:ascii="Times New Roman" w:hAnsi="Times New Roman" w:eastAsia="宋体"/>
      <w:b/>
      <w:kern w:val="2"/>
      <w:sz w:val="24"/>
    </w:rPr>
  </w:style>
  <w:style w:type="character" w:customStyle="1" w:styleId="54">
    <w:name w:val="正文文本 字符"/>
    <w:link w:val="2"/>
    <w:autoRedefine/>
    <w:qFormat/>
    <w:uiPriority w:val="0"/>
    <w:rPr>
      <w:sz w:val="18"/>
    </w:rPr>
  </w:style>
  <w:style w:type="character" w:customStyle="1" w:styleId="55">
    <w:name w:val="font41"/>
    <w:autoRedefine/>
    <w:qFormat/>
    <w:uiPriority w:val="0"/>
    <w:rPr>
      <w:rFonts w:hint="eastAsia" w:ascii="宋体" w:hAnsi="宋体" w:eastAsia="宋体" w:cs="宋体"/>
      <w:color w:val="000000"/>
      <w:sz w:val="21"/>
      <w:szCs w:val="21"/>
      <w:u w:val="none"/>
    </w:rPr>
  </w:style>
  <w:style w:type="paragraph" w:customStyle="1" w:styleId="56">
    <w:name w:val="样式35"/>
    <w:basedOn w:val="1"/>
    <w:next w:val="57"/>
    <w:autoRedefine/>
    <w:qFormat/>
    <w:uiPriority w:val="0"/>
    <w:pPr>
      <w:spacing w:line="312" w:lineRule="auto"/>
      <w:ind w:firstLine="567"/>
    </w:pPr>
    <w:rPr>
      <w:rFonts w:ascii="宋体"/>
      <w:sz w:val="28"/>
    </w:rPr>
  </w:style>
  <w:style w:type="paragraph" w:customStyle="1" w:styleId="57">
    <w:name w:val="font6"/>
    <w:basedOn w:val="1"/>
    <w:next w:val="22"/>
    <w:autoRedefine/>
    <w:qFormat/>
    <w:uiPriority w:val="0"/>
    <w:pPr>
      <w:widowControl/>
      <w:spacing w:before="280" w:after="280"/>
    </w:pPr>
  </w:style>
  <w:style w:type="paragraph" w:customStyle="1" w:styleId="58">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9">
    <w:name w:val="内容"/>
    <w:basedOn w:val="1"/>
    <w:autoRedefine/>
    <w:qFormat/>
    <w:uiPriority w:val="0"/>
    <w:pPr>
      <w:spacing w:before="156" w:beforeLines="50" w:after="156" w:afterLines="50"/>
      <w:ind w:firstLine="200" w:firstLineChars="200"/>
    </w:pPr>
    <w:rPr>
      <w:color w:val="000000"/>
      <w:sz w:val="24"/>
    </w:rPr>
  </w:style>
  <w:style w:type="paragraph" w:customStyle="1" w:styleId="60">
    <w:name w:val="表中字"/>
    <w:autoRedefine/>
    <w:qFormat/>
    <w:uiPriority w:val="0"/>
    <w:pPr>
      <w:jc w:val="center"/>
    </w:pPr>
    <w:rPr>
      <w:rFonts w:ascii="Times New Roman" w:hAnsi="Times New Roman" w:eastAsia="宋体" w:cs="Times New Roman"/>
      <w:kern w:val="2"/>
      <w:sz w:val="21"/>
      <w:szCs w:val="22"/>
      <w:lang w:val="zh-CN" w:eastAsia="zh-CN" w:bidi="ar-SA"/>
    </w:rPr>
  </w:style>
  <w:style w:type="paragraph" w:customStyle="1" w:styleId="61">
    <w:name w:val="我的正文"/>
    <w:basedOn w:val="1"/>
    <w:autoRedefine/>
    <w:qFormat/>
    <w:uiPriority w:val="0"/>
    <w:pPr>
      <w:widowControl/>
      <w:adjustRightInd w:val="0"/>
      <w:snapToGrid w:val="0"/>
      <w:spacing w:line="360" w:lineRule="auto"/>
      <w:ind w:firstLine="200" w:firstLineChars="200"/>
    </w:pPr>
    <w:rPr>
      <w:color w:val="000000"/>
      <w:kern w:val="0"/>
      <w:sz w:val="24"/>
    </w:rPr>
  </w:style>
  <w:style w:type="paragraph" w:customStyle="1" w:styleId="62">
    <w:name w:val="正文00"/>
    <w:basedOn w:val="1"/>
    <w:autoRedefine/>
    <w:qFormat/>
    <w:uiPriority w:val="0"/>
    <w:pPr>
      <w:spacing w:line="500" w:lineRule="exact"/>
      <w:ind w:firstLine="200" w:firstLineChars="200"/>
      <w:jc w:val="left"/>
    </w:pPr>
    <w:rPr>
      <w:sz w:val="28"/>
    </w:rPr>
  </w:style>
  <w:style w:type="paragraph" w:customStyle="1" w:styleId="63">
    <w:name w:val="表"/>
    <w:autoRedefine/>
    <w:qFormat/>
    <w:uiPriority w:val="0"/>
    <w:pPr>
      <w:spacing w:line="440" w:lineRule="exact"/>
      <w:ind w:firstLine="200" w:firstLineChars="200"/>
      <w:jc w:val="both"/>
    </w:pPr>
    <w:rPr>
      <w:rFonts w:ascii="Times New Roman" w:hAnsi="Times New Roman" w:eastAsia="宋体" w:cs="Times New Roman"/>
      <w:sz w:val="24"/>
      <w:lang w:val="en-US" w:eastAsia="zh-CN" w:bidi="ar-SA"/>
    </w:rPr>
  </w:style>
  <w:style w:type="paragraph" w:customStyle="1" w:styleId="64">
    <w:name w:val="报告表正文"/>
    <w:basedOn w:val="1"/>
    <w:autoRedefine/>
    <w:qFormat/>
    <w:uiPriority w:val="0"/>
    <w:pPr>
      <w:adjustRightInd w:val="0"/>
      <w:spacing w:line="312" w:lineRule="auto"/>
      <w:ind w:left="113" w:right="113" w:firstLine="482"/>
      <w:jc w:val="left"/>
      <w:textAlignment w:val="baseline"/>
    </w:pPr>
    <w:rPr>
      <w:kern w:val="0"/>
      <w:sz w:val="24"/>
      <w:szCs w:val="20"/>
    </w:rPr>
  </w:style>
  <w:style w:type="paragraph" w:customStyle="1" w:styleId="65">
    <w:name w:val="正文格式"/>
    <w:basedOn w:val="1"/>
    <w:autoRedefine/>
    <w:qFormat/>
    <w:uiPriority w:val="0"/>
    <w:pPr>
      <w:spacing w:line="360" w:lineRule="auto"/>
      <w:ind w:firstLine="482"/>
    </w:pPr>
    <w:rPr>
      <w:sz w:val="24"/>
    </w:rPr>
  </w:style>
  <w:style w:type="paragraph" w:customStyle="1" w:styleId="66">
    <w:name w:val="Default"/>
    <w:basedOn w:val="67"/>
    <w:next w:val="17"/>
    <w:autoRedefine/>
    <w:qFormat/>
    <w:uiPriority w:val="0"/>
    <w:pPr>
      <w:widowControl w:val="0"/>
      <w:autoSpaceDE w:val="0"/>
      <w:autoSpaceDN w:val="0"/>
    </w:pPr>
    <w:rPr>
      <w:rFonts w:hAnsi="Times New Roman" w:cs="宋体"/>
      <w:color w:val="000000"/>
      <w:szCs w:val="24"/>
    </w:rPr>
  </w:style>
  <w:style w:type="paragraph" w:customStyle="1" w:styleId="67">
    <w:name w:val="纯文本1"/>
    <w:autoRedefine/>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68">
    <w:name w:val="样式4"/>
    <w:basedOn w:val="1"/>
    <w:autoRedefine/>
    <w:qFormat/>
    <w:uiPriority w:val="0"/>
    <w:pPr>
      <w:adjustRightInd w:val="0"/>
      <w:snapToGrid w:val="0"/>
      <w:jc w:val="center"/>
    </w:pPr>
    <w:rPr>
      <w:sz w:val="24"/>
    </w:rPr>
  </w:style>
  <w:style w:type="paragraph" w:customStyle="1" w:styleId="69">
    <w:name w:val="文本"/>
    <w:basedOn w:val="1"/>
    <w:autoRedefine/>
    <w:qFormat/>
    <w:uiPriority w:val="0"/>
    <w:pPr>
      <w:adjustRightInd w:val="0"/>
      <w:jc w:val="left"/>
      <w:textAlignment w:val="baseline"/>
    </w:pPr>
    <w:rPr>
      <w:rFonts w:ascii="宋体"/>
      <w:kern w:val="0"/>
      <w:sz w:val="28"/>
      <w:szCs w:val="20"/>
    </w:rPr>
  </w:style>
  <w:style w:type="paragraph" w:customStyle="1" w:styleId="70">
    <w:name w:val="中文报告书样式"/>
    <w:basedOn w:val="1"/>
    <w:autoRedefine/>
    <w:qFormat/>
    <w:uiPriority w:val="0"/>
    <w:pPr>
      <w:adjustRightInd w:val="0"/>
      <w:snapToGrid w:val="0"/>
      <w:spacing w:line="480" w:lineRule="atLeast"/>
      <w:ind w:firstLine="200" w:firstLineChars="200"/>
    </w:pPr>
    <w:rPr>
      <w:kern w:val="0"/>
      <w:szCs w:val="20"/>
    </w:rPr>
  </w:style>
  <w:style w:type="paragraph" w:customStyle="1" w:styleId="71">
    <w:name w:val="【表中文字】"/>
    <w:basedOn w:val="1"/>
    <w:link w:val="100"/>
    <w:autoRedefine/>
    <w:qFormat/>
    <w:uiPriority w:val="0"/>
    <w:pPr>
      <w:jc w:val="center"/>
    </w:pPr>
    <w:rPr>
      <w:sz w:val="20"/>
      <w:szCs w:val="20"/>
    </w:rPr>
  </w:style>
  <w:style w:type="paragraph" w:customStyle="1" w:styleId="72">
    <w:name w:val="【正文】"/>
    <w:basedOn w:val="1"/>
    <w:link w:val="97"/>
    <w:autoRedefine/>
    <w:qFormat/>
    <w:uiPriority w:val="0"/>
    <w:pPr>
      <w:ind w:firstLine="480"/>
    </w:pPr>
    <w:rPr>
      <w:sz w:val="24"/>
    </w:rPr>
  </w:style>
  <w:style w:type="paragraph" w:customStyle="1" w:styleId="73">
    <w:name w:val="表格内容"/>
    <w:autoRedefine/>
    <w:qFormat/>
    <w:uiPriority w:val="0"/>
    <w:pPr>
      <w:adjustRightInd w:val="0"/>
      <w:snapToGrid w:val="0"/>
      <w:spacing w:line="360" w:lineRule="exact"/>
      <w:jc w:val="center"/>
    </w:pPr>
    <w:rPr>
      <w:rFonts w:ascii="Times New Roman" w:hAnsi="Times New Roman" w:eastAsia="宋体" w:cs="Times New Roman"/>
      <w:color w:val="000000"/>
      <w:sz w:val="21"/>
      <w:szCs w:val="24"/>
      <w:lang w:val="en-US" w:eastAsia="zh-CN" w:bidi="ar-SA"/>
    </w:rPr>
  </w:style>
  <w:style w:type="paragraph" w:customStyle="1" w:styleId="74">
    <w:name w:val="正文12"/>
    <w:autoRedefine/>
    <w:qFormat/>
    <w:uiPriority w:val="0"/>
    <w:pPr>
      <w:widowControl w:val="0"/>
      <w:adjustRightInd w:val="0"/>
      <w:spacing w:line="360" w:lineRule="atLeast"/>
    </w:pPr>
    <w:rPr>
      <w:rFonts w:ascii="宋体" w:hAnsi="Times New Roman" w:eastAsia="宋体" w:cs="Times New Roman"/>
      <w:sz w:val="24"/>
      <w:lang w:val="en-US" w:eastAsia="zh-CN" w:bidi="ar-SA"/>
    </w:rPr>
  </w:style>
  <w:style w:type="paragraph" w:customStyle="1" w:styleId="75">
    <w:name w:val="段落1"/>
    <w:basedOn w:val="1"/>
    <w:autoRedefine/>
    <w:qFormat/>
    <w:uiPriority w:val="0"/>
    <w:pPr>
      <w:spacing w:before="120" w:after="120" w:line="440" w:lineRule="exact"/>
      <w:ind w:firstLine="200" w:firstLineChars="200"/>
    </w:pPr>
    <w:rPr>
      <w:spacing w:val="6"/>
      <w:sz w:val="24"/>
    </w:rPr>
  </w:style>
  <w:style w:type="paragraph" w:customStyle="1" w:styleId="76">
    <w:name w:val="表头"/>
    <w:basedOn w:val="25"/>
    <w:next w:val="20"/>
    <w:autoRedefine/>
    <w:qFormat/>
    <w:uiPriority w:val="0"/>
    <w:rPr>
      <w:rFonts w:eastAsia="黑体"/>
      <w:szCs w:val="28"/>
    </w:rPr>
  </w:style>
  <w:style w:type="paragraph" w:customStyle="1" w:styleId="77">
    <w:name w:val="表1"/>
    <w:basedOn w:val="1"/>
    <w:next w:val="1"/>
    <w:autoRedefine/>
    <w:qFormat/>
    <w:uiPriority w:val="0"/>
    <w:pPr>
      <w:adjustRightInd w:val="0"/>
      <w:spacing w:before="120" w:after="120" w:line="320" w:lineRule="atLeast"/>
      <w:jc w:val="center"/>
      <w:textAlignment w:val="baseline"/>
    </w:pPr>
    <w:rPr>
      <w:rFonts w:eastAsia="黑体"/>
      <w:spacing w:val="10"/>
      <w:kern w:val="0"/>
      <w:szCs w:val="20"/>
    </w:rPr>
  </w:style>
  <w:style w:type="paragraph" w:customStyle="1" w:styleId="78">
    <w:name w:val="四级标题"/>
    <w:basedOn w:val="5"/>
    <w:next w:val="1"/>
    <w:autoRedefine/>
    <w:qFormat/>
    <w:uiPriority w:val="0"/>
    <w:pPr>
      <w:spacing w:before="0" w:after="0" w:line="480" w:lineRule="exact"/>
    </w:pPr>
    <w:rPr>
      <w:rFonts w:ascii="Times New Roman" w:hAnsi="Times New Roman"/>
      <w:color w:val="0070C0"/>
      <w:sz w:val="24"/>
    </w:rPr>
  </w:style>
  <w:style w:type="paragraph" w:customStyle="1" w:styleId="79">
    <w:name w:val="正文缩进1"/>
    <w:basedOn w:val="1"/>
    <w:next w:val="80"/>
    <w:autoRedefine/>
    <w:qFormat/>
    <w:uiPriority w:val="0"/>
    <w:pPr>
      <w:spacing w:line="520" w:lineRule="exact"/>
      <w:ind w:firstLine="624"/>
    </w:pPr>
    <w:rPr>
      <w:sz w:val="28"/>
    </w:rPr>
  </w:style>
  <w:style w:type="paragraph" w:customStyle="1" w:styleId="80">
    <w:name w:val="td1"/>
    <w:basedOn w:val="1"/>
    <w:next w:val="1"/>
    <w:autoRedefine/>
    <w:qFormat/>
    <w:uiPriority w:val="0"/>
    <w:pPr>
      <w:widowControl/>
      <w:spacing w:before="280" w:after="280" w:line="300" w:lineRule="atLeast"/>
      <w:ind w:firstLine="200"/>
    </w:pPr>
    <w:rPr>
      <w:color w:val="000000"/>
      <w:sz w:val="18"/>
    </w:rPr>
  </w:style>
  <w:style w:type="paragraph" w:customStyle="1" w:styleId="81">
    <w:name w:val="表格正文"/>
    <w:basedOn w:val="1"/>
    <w:autoRedefine/>
    <w:qFormat/>
    <w:uiPriority w:val="0"/>
    <w:pPr>
      <w:spacing w:line="320" w:lineRule="exact"/>
      <w:jc w:val="center"/>
    </w:pPr>
    <w:rPr>
      <w:rFonts w:cs="宋体"/>
    </w:rPr>
  </w:style>
  <w:style w:type="paragraph" w:customStyle="1" w:styleId="82">
    <w:name w:val="xl27"/>
    <w:basedOn w:val="1"/>
    <w:autoRedefine/>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83">
    <w:name w:val="普通(网站)2"/>
    <w:basedOn w:val="1"/>
    <w:autoRedefine/>
    <w:qFormat/>
    <w:uiPriority w:val="0"/>
    <w:pPr>
      <w:widowControl/>
      <w:spacing w:before="100" w:beforeAutospacing="1" w:after="100" w:afterAutospacing="1"/>
      <w:jc w:val="left"/>
    </w:pPr>
    <w:rPr>
      <w:rFonts w:ascii="宋体" w:hAnsi="宋体"/>
      <w:sz w:val="24"/>
      <w:szCs w:val="20"/>
    </w:rPr>
  </w:style>
  <w:style w:type="paragraph" w:customStyle="1" w:styleId="84">
    <w:name w:val="表头1"/>
    <w:basedOn w:val="76"/>
    <w:autoRedefine/>
    <w:qFormat/>
    <w:uiPriority w:val="0"/>
  </w:style>
  <w:style w:type="paragraph" w:customStyle="1" w:styleId="85">
    <w:name w:val="表中文字（工大）"/>
    <w:basedOn w:val="1"/>
    <w:autoRedefine/>
    <w:qFormat/>
    <w:uiPriority w:val="0"/>
    <w:pPr>
      <w:spacing w:line="440" w:lineRule="exact"/>
      <w:jc w:val="center"/>
    </w:pPr>
    <w:rPr>
      <w:szCs w:val="20"/>
    </w:rPr>
  </w:style>
  <w:style w:type="paragraph" w:customStyle="1" w:styleId="86">
    <w:name w:val="正文样式1"/>
    <w:basedOn w:val="1"/>
    <w:autoRedefine/>
    <w:qFormat/>
    <w:uiPriority w:val="0"/>
    <w:pPr>
      <w:adjustRightInd w:val="0"/>
      <w:spacing w:line="288" w:lineRule="auto"/>
      <w:ind w:firstLine="360" w:firstLineChars="150"/>
      <w:textAlignment w:val="baseline"/>
    </w:pPr>
    <w:rPr>
      <w:kern w:val="0"/>
      <w:sz w:val="24"/>
    </w:rPr>
  </w:style>
  <w:style w:type="paragraph" w:customStyle="1" w:styleId="87">
    <w:name w:val="表格文字"/>
    <w:basedOn w:val="76"/>
    <w:autoRedefine/>
    <w:qFormat/>
    <w:uiPriority w:val="0"/>
    <w:pPr>
      <w:adjustRightInd w:val="0"/>
      <w:snapToGrid w:val="0"/>
      <w:ind w:left="-76" w:leftChars="-33" w:hanging="17" w:hangingChars="8"/>
    </w:pPr>
    <w:rPr>
      <w:rFonts w:hAnsi="宋体"/>
      <w:kern w:val="0"/>
      <w:szCs w:val="20"/>
    </w:rPr>
  </w:style>
  <w:style w:type="paragraph" w:customStyle="1" w:styleId="88">
    <w:name w:val="报告书正文"/>
    <w:basedOn w:val="1"/>
    <w:autoRedefine/>
    <w:qFormat/>
    <w:uiPriority w:val="0"/>
    <w:pPr>
      <w:adjustRightInd w:val="0"/>
      <w:snapToGrid w:val="0"/>
      <w:spacing w:line="360" w:lineRule="auto"/>
      <w:ind w:firstLine="425"/>
      <w:textAlignment w:val="baseline"/>
    </w:pPr>
    <w:rPr>
      <w:rFonts w:ascii="Arial" w:hAnsi="Arial"/>
      <w:sz w:val="24"/>
    </w:rPr>
  </w:style>
  <w:style w:type="paragraph" w:customStyle="1" w:styleId="89">
    <w:name w:val="内容列表"/>
    <w:basedOn w:val="1"/>
    <w:autoRedefine/>
    <w:qFormat/>
    <w:uiPriority w:val="0"/>
    <w:pPr>
      <w:ind w:firstLine="560" w:firstLineChars="200"/>
    </w:pPr>
    <w:rPr>
      <w:rFonts w:ascii="仿宋_GB2312" w:hAnsi="宋体" w:eastAsia="仿宋_GB2312"/>
      <w:color w:val="000000"/>
      <w:sz w:val="28"/>
    </w:rPr>
  </w:style>
  <w:style w:type="paragraph" w:customStyle="1" w:styleId="90">
    <w:name w:val="正文（首行缩进两字） Char"/>
    <w:basedOn w:val="1"/>
    <w:autoRedefine/>
    <w:qFormat/>
    <w:uiPriority w:val="0"/>
    <w:pPr>
      <w:widowControl/>
      <w:spacing w:line="360" w:lineRule="auto"/>
      <w:ind w:firstLine="420"/>
    </w:pPr>
    <w:rPr>
      <w:kern w:val="0"/>
      <w:sz w:val="24"/>
      <w:szCs w:val="20"/>
    </w:rPr>
  </w:style>
  <w:style w:type="paragraph" w:customStyle="1" w:styleId="91">
    <w:name w:val="【表头】"/>
    <w:basedOn w:val="1"/>
    <w:link w:val="104"/>
    <w:autoRedefine/>
    <w:qFormat/>
    <w:uiPriority w:val="0"/>
    <w:pPr>
      <w:spacing w:line="460" w:lineRule="exact"/>
      <w:jc w:val="center"/>
    </w:pPr>
    <w:rPr>
      <w:rFonts w:eastAsia="黑体"/>
      <w:sz w:val="24"/>
    </w:rPr>
  </w:style>
  <w:style w:type="paragraph" w:customStyle="1" w:styleId="92">
    <w:name w:val="表头和图片"/>
    <w:basedOn w:val="1"/>
    <w:next w:val="1"/>
    <w:autoRedefine/>
    <w:qFormat/>
    <w:uiPriority w:val="0"/>
    <w:pPr>
      <w:spacing w:line="520" w:lineRule="exact"/>
      <w:ind w:firstLine="880" w:firstLineChars="200"/>
      <w:jc w:val="center"/>
    </w:pPr>
    <w:rPr>
      <w:rFonts w:ascii="仿宋_GB2312" w:eastAsia="仿宋_GB2312"/>
      <w:b/>
      <w:sz w:val="24"/>
      <w:szCs w:val="28"/>
    </w:rPr>
  </w:style>
  <w:style w:type="paragraph" w:customStyle="1" w:styleId="93">
    <w:name w:val="【表中文字】-"/>
    <w:basedOn w:val="1"/>
    <w:autoRedefine/>
    <w:qFormat/>
    <w:uiPriority w:val="0"/>
    <w:pPr>
      <w:widowControl/>
      <w:jc w:val="center"/>
    </w:pPr>
    <w:rPr>
      <w:kern w:val="0"/>
      <w:sz w:val="20"/>
      <w:szCs w:val="20"/>
    </w:rPr>
  </w:style>
  <w:style w:type="paragraph" w:customStyle="1" w:styleId="94">
    <w:name w:val="WW-纯文本"/>
    <w:basedOn w:val="1"/>
    <w:autoRedefine/>
    <w:qFormat/>
    <w:uiPriority w:val="0"/>
    <w:pPr>
      <w:suppressAutoHyphens/>
      <w:spacing w:line="312" w:lineRule="atLeast"/>
      <w:textAlignment w:val="baseline"/>
    </w:pPr>
    <w:rPr>
      <w:rFonts w:ascii="宋体" w:hAnsi="宋体" w:eastAsia="楷体_GB2312" w:cs="Courier New"/>
      <w:kern w:val="0"/>
      <w:szCs w:val="21"/>
    </w:rPr>
  </w:style>
  <w:style w:type="paragraph" w:customStyle="1" w:styleId="95">
    <w:name w:val="样式"/>
    <w:autoRedefine/>
    <w:qFormat/>
    <w:uiPriority w:val="0"/>
    <w:pPr>
      <w:widowControl w:val="0"/>
      <w:autoSpaceDE w:val="0"/>
      <w:autoSpaceDN w:val="0"/>
      <w:adjustRightInd w:val="0"/>
    </w:pPr>
    <w:rPr>
      <w:rFonts w:ascii="宋体" w:hAnsi="宋体" w:eastAsia="宋体" w:cs="Times New Roman"/>
      <w:sz w:val="24"/>
      <w:szCs w:val="24"/>
      <w:lang w:val="en-US" w:eastAsia="zh-CN" w:bidi="ar-SA"/>
    </w:rPr>
  </w:style>
  <w:style w:type="paragraph" w:styleId="96">
    <w:name w:val="List Paragraph"/>
    <w:basedOn w:val="1"/>
    <w:autoRedefine/>
    <w:qFormat/>
    <w:uiPriority w:val="0"/>
    <w:pPr>
      <w:ind w:firstLine="420" w:firstLineChars="200"/>
    </w:pPr>
  </w:style>
  <w:style w:type="character" w:customStyle="1" w:styleId="97">
    <w:name w:val="【正文】 Char"/>
    <w:link w:val="72"/>
    <w:autoRedefine/>
    <w:qFormat/>
    <w:uiPriority w:val="0"/>
    <w:rPr>
      <w:kern w:val="2"/>
      <w:sz w:val="24"/>
      <w:szCs w:val="24"/>
    </w:rPr>
  </w:style>
  <w:style w:type="paragraph" w:customStyle="1" w:styleId="98">
    <w:name w:val="TOC 标题1"/>
    <w:basedOn w:val="3"/>
    <w:next w:val="1"/>
    <w:autoRedefine/>
    <w:unhideWhenUsed/>
    <w:qFormat/>
    <w:uiPriority w:val="39"/>
    <w:pPr>
      <w:keepLines/>
      <w:widowControl/>
      <w:overflowPunct/>
      <w:snapToGrid/>
      <w:spacing w:before="240" w:after="0"/>
      <w:ind w:left="0" w:firstLine="0"/>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99">
    <w:name w:val="正文文本首行缩进 2 字符"/>
    <w:basedOn w:val="44"/>
    <w:link w:val="28"/>
    <w:autoRedefine/>
    <w:qFormat/>
    <w:uiPriority w:val="0"/>
    <w:rPr>
      <w:rFonts w:ascii="Calibri" w:hAnsi="Calibri" w:eastAsia="宋体" w:cs="Calibri"/>
      <w:kern w:val="2"/>
      <w:sz w:val="21"/>
      <w:szCs w:val="24"/>
    </w:rPr>
  </w:style>
  <w:style w:type="character" w:customStyle="1" w:styleId="100">
    <w:name w:val="【表中文字】 Char"/>
    <w:link w:val="71"/>
    <w:autoRedefine/>
    <w:qFormat/>
    <w:uiPriority w:val="0"/>
    <w:rPr>
      <w:kern w:val="2"/>
    </w:rPr>
  </w:style>
  <w:style w:type="paragraph" w:customStyle="1" w:styleId="101">
    <w:name w:val="表内字"/>
    <w:autoRedefine/>
    <w:qFormat/>
    <w:uiPriority w:val="0"/>
    <w:pPr>
      <w:spacing w:line="312" w:lineRule="auto"/>
      <w:jc w:val="center"/>
    </w:pPr>
    <w:rPr>
      <w:rFonts w:ascii="Times New Roman" w:hAnsi="Times New Roman" w:eastAsia="宋体" w:cs="Times New Roman"/>
      <w:color w:val="000000"/>
      <w:sz w:val="21"/>
      <w:lang w:val="en-US" w:eastAsia="zh-CN" w:bidi="ar-SA"/>
    </w:rPr>
  </w:style>
  <w:style w:type="character" w:customStyle="1" w:styleId="102">
    <w:name w:val="纯文本 字符"/>
    <w:link w:val="12"/>
    <w:autoRedefine/>
    <w:qFormat/>
    <w:uiPriority w:val="0"/>
    <w:rPr>
      <w:rFonts w:ascii="宋体" w:hAnsi="宋体"/>
      <w:color w:val="000000"/>
      <w:sz w:val="24"/>
      <w:szCs w:val="24"/>
    </w:rPr>
  </w:style>
  <w:style w:type="paragraph" w:customStyle="1" w:styleId="103">
    <w:name w:val="正文1"/>
    <w:basedOn w:val="1"/>
    <w:autoRedefine/>
    <w:qFormat/>
    <w:uiPriority w:val="0"/>
    <w:pPr>
      <w:adjustRightInd w:val="0"/>
      <w:spacing w:line="410" w:lineRule="atLeast"/>
      <w:textAlignment w:val="baseline"/>
    </w:pPr>
    <w:rPr>
      <w:rFonts w:ascii="宋体" w:hAnsi="Calibri"/>
      <w:kern w:val="0"/>
      <w:sz w:val="24"/>
      <w:szCs w:val="22"/>
    </w:rPr>
  </w:style>
  <w:style w:type="character" w:customStyle="1" w:styleId="104">
    <w:name w:val="【表头】 Char"/>
    <w:link w:val="91"/>
    <w:autoRedefine/>
    <w:qFormat/>
    <w:uiPriority w:val="0"/>
    <w:rPr>
      <w:rFonts w:eastAsia="黑体"/>
      <w:kern w:val="2"/>
      <w:sz w:val="24"/>
      <w:szCs w:val="24"/>
    </w:rPr>
  </w:style>
  <w:style w:type="paragraph" w:customStyle="1" w:styleId="105">
    <w:name w:val="样式 Times New Roman 五号 居中1"/>
    <w:basedOn w:val="1"/>
    <w:autoRedefine/>
    <w:qFormat/>
    <w:uiPriority w:val="0"/>
    <w:pPr>
      <w:jc w:val="center"/>
    </w:pPr>
    <w:rPr>
      <w:rFonts w:hAnsi="Calibri" w:cs="宋体"/>
    </w:rPr>
  </w:style>
  <w:style w:type="paragraph" w:customStyle="1" w:styleId="106">
    <w:name w:val="Table Paragraph"/>
    <w:basedOn w:val="1"/>
    <w:autoRedefine/>
    <w:qFormat/>
    <w:uiPriority w:val="0"/>
    <w:pPr>
      <w:autoSpaceDE w:val="0"/>
      <w:autoSpaceDN w:val="0"/>
      <w:jc w:val="center"/>
    </w:pPr>
    <w:rPr>
      <w:rFonts w:hint="eastAsia" w:ascii="仿宋" w:hAnsi="仿宋" w:eastAsia="仿宋"/>
      <w:kern w:val="0"/>
      <w:sz w:val="22"/>
      <w:szCs w:val="22"/>
    </w:rPr>
  </w:style>
  <w:style w:type="character" w:customStyle="1" w:styleId="107">
    <w:name w:val="NormalCharacter"/>
    <w:autoRedefine/>
    <w:semiHidden/>
    <w:qFormat/>
    <w:uiPriority w:val="0"/>
    <w:rPr>
      <w:rFonts w:ascii="Times New Roman" w:hAnsi="Times New Roman" w:eastAsia="宋体" w:cs="Times New Roman"/>
      <w:kern w:val="2"/>
      <w:sz w:val="21"/>
      <w:szCs w:val="24"/>
      <w:lang w:val="en-US" w:eastAsia="zh-CN" w:bidi="ar-SA"/>
    </w:rPr>
  </w:style>
  <w:style w:type="paragraph" w:customStyle="1" w:styleId="108">
    <w:name w:val="正文 New New"/>
    <w:autoRedefine/>
    <w:qFormat/>
    <w:uiPriority w:val="0"/>
    <w:pPr>
      <w:widowControl w:val="0"/>
      <w:jc w:val="both"/>
    </w:pPr>
    <w:rPr>
      <w:rFonts w:ascii="Calibri" w:hAnsi="Calibri" w:eastAsia="宋体" w:cs="Times New Roman"/>
      <w:kern w:val="2"/>
      <w:sz w:val="21"/>
      <w:szCs w:val="24"/>
      <w:lang w:val="en-US" w:eastAsia="zh-CN" w:bidi="ar-SA"/>
    </w:rPr>
  </w:style>
  <w:style w:type="paragraph" w:customStyle="1" w:styleId="109">
    <w:name w:val="a正文"/>
    <w:basedOn w:val="65"/>
    <w:autoRedefine/>
    <w:qFormat/>
    <w:uiPriority w:val="0"/>
    <w:pPr>
      <w:spacing w:line="520" w:lineRule="exact"/>
      <w:ind w:firstLine="200"/>
    </w:pPr>
  </w:style>
  <w:style w:type="paragraph" w:customStyle="1" w:styleId="110">
    <w:name w:val="表中的文字"/>
    <w:basedOn w:val="25"/>
    <w:autoRedefine/>
    <w:qFormat/>
    <w:uiPriority w:val="0"/>
    <w:pPr>
      <w:spacing w:before="0" w:after="0"/>
      <w:outlineLvl w:val="9"/>
    </w:pPr>
    <w:rPr>
      <w:rFonts w:ascii="Times New Roman" w:hAnsi="Times New Roman"/>
      <w:b w:val="0"/>
      <w:sz w:val="21"/>
      <w:szCs w:val="21"/>
    </w:rPr>
  </w:style>
  <w:style w:type="paragraph" w:customStyle="1" w:styleId="111">
    <w:name w:val="表格内文字"/>
    <w:basedOn w:val="1"/>
    <w:next w:val="1"/>
    <w:autoRedefine/>
    <w:qFormat/>
    <w:uiPriority w:val="0"/>
    <w:pPr>
      <w:widowControl/>
      <w:tabs>
        <w:tab w:val="left" w:pos="3345"/>
      </w:tabs>
      <w:adjustRightInd w:val="0"/>
      <w:snapToGrid w:val="0"/>
      <w:jc w:val="center"/>
    </w:pPr>
    <w:rPr>
      <w:iCs/>
      <w:kern w:val="0"/>
      <w:szCs w:val="18"/>
    </w:rPr>
  </w:style>
  <w:style w:type="paragraph" w:customStyle="1" w:styleId="112">
    <w:name w:val="表中文字"/>
    <w:basedOn w:val="1"/>
    <w:autoRedefine/>
    <w:qFormat/>
    <w:uiPriority w:val="0"/>
    <w:pPr>
      <w:jc w:val="center"/>
    </w:pPr>
  </w:style>
  <w:style w:type="paragraph" w:customStyle="1" w:styleId="113">
    <w:name w:val="Char Char Char Char Char Char Char2"/>
    <w:basedOn w:val="1"/>
    <w:autoRedefine/>
    <w:qFormat/>
    <w:uiPriority w:val="0"/>
    <w:pPr>
      <w:snapToGrid w:val="0"/>
      <w:spacing w:line="360" w:lineRule="auto"/>
      <w:ind w:firstLine="529" w:firstLineChars="200"/>
    </w:pPr>
  </w:style>
  <w:style w:type="paragraph" w:customStyle="1" w:styleId="114">
    <w:name w:val="⑩JMFY编制单位和编制人员 标题"/>
    <w:basedOn w:val="1"/>
    <w:autoRedefine/>
    <w:qFormat/>
    <w:uiPriority w:val="0"/>
    <w:pPr>
      <w:spacing w:line="360" w:lineRule="auto"/>
      <w:jc w:val="center"/>
    </w:pPr>
    <w:rPr>
      <w:b/>
      <w:sz w:val="36"/>
    </w:rPr>
  </w:style>
  <w:style w:type="paragraph" w:customStyle="1" w:styleId="115">
    <w:name w:val="①JM正文 加粗"/>
    <w:basedOn w:val="1"/>
    <w:next w:val="1"/>
    <w:autoRedefine/>
    <w:qFormat/>
    <w:uiPriority w:val="0"/>
    <w:rPr>
      <w:b/>
      <w:kern w:val="0"/>
      <w:sz w:val="24"/>
      <w:szCs w:val="20"/>
    </w:rPr>
  </w:style>
  <w:style w:type="paragraph" w:customStyle="1" w:styleId="116">
    <w:name w:val="①JM表格小标题"/>
    <w:basedOn w:val="1"/>
    <w:next w:val="1"/>
    <w:autoRedefine/>
    <w:qFormat/>
    <w:uiPriority w:val="0"/>
    <w:pPr>
      <w:jc w:val="center"/>
    </w:pPr>
    <w:rPr>
      <w:b/>
      <w:kern w:val="0"/>
      <w:szCs w:val="18"/>
    </w:rPr>
  </w:style>
  <w:style w:type="paragraph" w:customStyle="1" w:styleId="117">
    <w:name w:val="①JM表格 居中"/>
    <w:basedOn w:val="1"/>
    <w:next w:val="1"/>
    <w:autoRedefine/>
    <w:qFormat/>
    <w:uiPriority w:val="0"/>
    <w:pPr>
      <w:wordWrap w:val="0"/>
      <w:jc w:val="center"/>
    </w:pPr>
  </w:style>
  <w:style w:type="paragraph" w:customStyle="1" w:styleId="118">
    <w:name w:val="②JM附件"/>
    <w:basedOn w:val="1"/>
    <w:next w:val="1"/>
    <w:autoRedefine/>
    <w:qFormat/>
    <w:uiPriority w:val="0"/>
    <w:pPr>
      <w:outlineLvl w:val="1"/>
    </w:pPr>
    <w:rPr>
      <w:rFonts w:hint="eastAsia"/>
      <w:b/>
      <w:bCs/>
      <w:sz w:val="32"/>
      <w:szCs w:val="32"/>
    </w:rPr>
  </w:style>
  <w:style w:type="paragraph" w:customStyle="1" w:styleId="119">
    <w:name w:val="表头-------------"/>
    <w:basedOn w:val="1"/>
    <w:autoRedefine/>
    <w:qFormat/>
    <w:uiPriority w:val="0"/>
    <w:pPr>
      <w:spacing w:line="460" w:lineRule="exact"/>
      <w:jc w:val="center"/>
    </w:pPr>
    <w:rPr>
      <w:rFonts w:eastAsia="黑体" w:cs="宋体"/>
      <w:kern w:val="0"/>
      <w:szCs w:val="20"/>
    </w:rPr>
  </w:style>
  <w:style w:type="paragraph" w:customStyle="1" w:styleId="120">
    <w:name w:val="样式 正文首行缩进 + 首行缩进:  2 字符1"/>
    <w:basedOn w:val="1"/>
    <w:next w:val="19"/>
    <w:autoRedefine/>
    <w:qFormat/>
    <w:uiPriority w:val="0"/>
    <w:pPr>
      <w:spacing w:line="360" w:lineRule="auto"/>
      <w:ind w:firstLine="480" w:firstLineChars="200"/>
    </w:pPr>
    <w:rPr>
      <w:sz w:val="24"/>
    </w:rPr>
  </w:style>
  <w:style w:type="table" w:customStyle="1" w:styleId="121">
    <w:name w:val="[表格样式]"/>
    <w:basedOn w:val="29"/>
    <w:autoRedefine/>
    <w:qFormat/>
    <w:uiPriority w:val="99"/>
    <w:pPr>
      <w:adjustRightInd w:val="0"/>
      <w:snapToGrid w:val="0"/>
      <w:jc w:val="center"/>
    </w:pPr>
    <w:rPr>
      <w:snapToGrid w:val="0"/>
    </w:rPr>
    <w:tblPr>
      <w:tblBorders>
        <w:top w:val="single" w:color="auto" w:sz="12" w:space="0"/>
        <w:bottom w:val="single" w:color="auto" w:sz="12" w:space="0"/>
        <w:insideH w:val="single" w:color="auto" w:sz="4" w:space="0"/>
        <w:insideV w:val="single" w:color="auto" w:sz="4" w:space="0"/>
      </w:tblBorders>
    </w:tblPr>
    <w:tcPr>
      <w:vAlign w:val="center"/>
    </w:tcPr>
  </w:style>
  <w:style w:type="paragraph" w:customStyle="1" w:styleId="122">
    <w:name w:val="JM正文 表格 居中 加粗 仿宋"/>
    <w:basedOn w:val="1"/>
    <w:next w:val="123"/>
    <w:autoRedefine/>
    <w:qFormat/>
    <w:uiPriority w:val="0"/>
    <w:pPr>
      <w:jc w:val="center"/>
    </w:pPr>
    <w:rPr>
      <w:rFonts w:eastAsia="仿宋"/>
      <w:b/>
    </w:rPr>
  </w:style>
  <w:style w:type="paragraph" w:customStyle="1" w:styleId="123">
    <w:name w:val="JM正文 表格 左齐 缩进"/>
    <w:basedOn w:val="1"/>
    <w:autoRedefine/>
    <w:qFormat/>
    <w:uiPriority w:val="0"/>
    <w:pPr>
      <w:ind w:firstLine="720" w:firstLineChars="200"/>
      <w:jc w:val="left"/>
    </w:pPr>
  </w:style>
  <w:style w:type="paragraph" w:customStyle="1" w:styleId="124">
    <w:name w:val="JM正文 表格 居中 仿宋"/>
    <w:basedOn w:val="122"/>
    <w:next w:val="1"/>
    <w:autoRedefine/>
    <w:qFormat/>
    <w:uiPriority w:val="0"/>
    <w:rPr>
      <w:b w:val="0"/>
    </w:rPr>
  </w:style>
  <w:style w:type="character" w:customStyle="1" w:styleId="125">
    <w:name w:val="【正文】 Char1"/>
    <w:autoRedefine/>
    <w:qFormat/>
    <w:uiPriority w:val="0"/>
    <w:rPr>
      <w:rFonts w:ascii="Times New Roman" w:hAnsi="Times New Roman" w:eastAsia="宋体"/>
      <w:sz w:val="24"/>
    </w:rPr>
  </w:style>
  <w:style w:type="paragraph" w:customStyle="1" w:styleId="126">
    <w:name w:val="C首行缩进正文"/>
    <w:basedOn w:val="72"/>
    <w:link w:val="127"/>
    <w:autoRedefine/>
    <w:qFormat/>
    <w:uiPriority w:val="0"/>
    <w:pPr>
      <w:spacing w:line="360" w:lineRule="auto"/>
      <w:ind w:firstLine="200" w:firstLineChars="200"/>
    </w:pPr>
    <w:rPr>
      <w:rFonts w:cs="宋体"/>
      <w:color w:val="000000" w:themeColor="text1"/>
      <w:sz w:val="21"/>
      <w14:textFill>
        <w14:solidFill>
          <w14:schemeClr w14:val="tx1"/>
        </w14:solidFill>
      </w14:textFill>
    </w:rPr>
  </w:style>
  <w:style w:type="character" w:customStyle="1" w:styleId="127">
    <w:name w:val="C首行缩进正文 字符"/>
    <w:basedOn w:val="97"/>
    <w:link w:val="126"/>
    <w:autoRedefine/>
    <w:qFormat/>
    <w:uiPriority w:val="0"/>
    <w:rPr>
      <w:rFonts w:cs="宋体"/>
      <w:color w:val="000000" w:themeColor="text1"/>
      <w:kern w:val="2"/>
      <w:sz w:val="21"/>
      <w:szCs w:val="24"/>
      <w14:textFill>
        <w14:solidFill>
          <w14:schemeClr w14:val="tx1"/>
        </w14:solidFill>
      </w14:textFill>
    </w:rPr>
  </w:style>
  <w:style w:type="paragraph" w:customStyle="1" w:styleId="128">
    <w:name w:val="2 表格内容"/>
    <w:basedOn w:val="1"/>
    <w:qFormat/>
    <w:uiPriority w:val="0"/>
    <w:pPr>
      <w:adjustRightInd w:val="0"/>
      <w:snapToGrid w:val="0"/>
      <w:spacing w:line="320" w:lineRule="exact"/>
      <w:jc w:val="center"/>
    </w:pPr>
    <w:rPr>
      <w:szCs w:val="21"/>
    </w:rPr>
  </w:style>
  <w:style w:type="paragraph" w:customStyle="1" w:styleId="129">
    <w:name w:val="！报告表正文"/>
    <w:basedOn w:val="72"/>
    <w:autoRedefine/>
    <w:qFormat/>
    <w:uiPriority w:val="0"/>
  </w:style>
  <w:style w:type="paragraph" w:customStyle="1" w:styleId="130">
    <w:name w:val="!报告表表格"/>
    <w:next w:val="129"/>
    <w:autoRedefine/>
    <w:qFormat/>
    <w:uiPriority w:val="0"/>
    <w:pPr>
      <w:jc w:val="center"/>
    </w:pPr>
    <w:rPr>
      <w:rFonts w:ascii="Calibri" w:hAnsi="Calibri" w:eastAsia="宋体" w:cs="Times New Roman"/>
      <w:sz w:val="21"/>
      <w:lang w:val="en-US" w:eastAsia="zh-CN" w:bidi="ar-SA"/>
    </w:rPr>
  </w:style>
  <w:style w:type="paragraph" w:customStyle="1" w:styleId="131">
    <w:name w:val="！表格标题"/>
    <w:basedOn w:val="129"/>
    <w:autoRedefine/>
    <w:qFormat/>
    <w:uiPriority w:val="0"/>
    <w:pPr>
      <w:spacing w:before="50" w:beforeLines="50"/>
      <w:ind w:firstLine="0"/>
      <w:jc w:val="center"/>
    </w:pPr>
    <w:rPr>
      <w:b/>
      <w:sz w:val="21"/>
    </w:rPr>
  </w:style>
  <w:style w:type="paragraph" w:customStyle="1" w:styleId="132">
    <w:name w:val="C【表中文字】-"/>
    <w:basedOn w:val="1"/>
    <w:autoRedefine/>
    <w:qFormat/>
    <w:uiPriority w:val="0"/>
    <w:pPr>
      <w:adjustRightInd w:val="0"/>
      <w:snapToGrid w:val="0"/>
      <w:jc w:val="center"/>
    </w:pPr>
    <w:rPr>
      <w:kern w:val="0"/>
      <w:sz w:val="18"/>
      <w:szCs w:val="20"/>
    </w:rPr>
  </w:style>
  <w:style w:type="paragraph" w:customStyle="1" w:styleId="133">
    <w:name w:val="C表两端"/>
    <w:basedOn w:val="1"/>
    <w:autoRedefine/>
    <w:qFormat/>
    <w:uiPriority w:val="0"/>
    <w:pPr>
      <w:adjustRightInd w:val="0"/>
      <w:snapToGrid w:val="0"/>
    </w:pPr>
    <w:rPr>
      <w:kern w:val="0"/>
      <w:sz w:val="18"/>
      <w:szCs w:val="20"/>
    </w:rPr>
  </w:style>
  <w:style w:type="paragraph" w:customStyle="1" w:styleId="134">
    <w:name w:val="C【表头】"/>
    <w:basedOn w:val="1"/>
    <w:autoRedefine/>
    <w:qFormat/>
    <w:uiPriority w:val="0"/>
    <w:pPr>
      <w:widowControl/>
      <w:adjustRightInd w:val="0"/>
      <w:snapToGrid w:val="0"/>
      <w:jc w:val="center"/>
    </w:pPr>
    <w:rPr>
      <w:rFonts w:eastAsia="黑体" w:cs="宋体"/>
      <w:kern w:val="0"/>
      <w:szCs w:val="20"/>
    </w:rPr>
  </w:style>
  <w:style w:type="paragraph" w:customStyle="1" w:styleId="135">
    <w:name w:val="C5 6"/>
    <w:basedOn w:val="1"/>
    <w:autoRedefine/>
    <w:qFormat/>
    <w:uiPriority w:val="0"/>
    <w:pPr>
      <w:adjustRightInd w:val="0"/>
      <w:snapToGrid w:val="0"/>
      <w:jc w:val="center"/>
      <w:textAlignment w:val="baseline"/>
    </w:pPr>
    <w:rPr>
      <w:kern w:val="0"/>
      <w:szCs w:val="20"/>
    </w:rPr>
  </w:style>
  <w:style w:type="paragraph" w:customStyle="1" w:styleId="136">
    <w:name w:val="WPSOffice手动目录 1"/>
    <w:autoRedefine/>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4.jpeg"/><Relationship Id="rId62" Type="http://schemas.openxmlformats.org/officeDocument/2006/relationships/image" Target="media/image43.jpeg"/><Relationship Id="rId61" Type="http://schemas.openxmlformats.org/officeDocument/2006/relationships/image" Target="media/image42.jpeg"/><Relationship Id="rId60" Type="http://schemas.openxmlformats.org/officeDocument/2006/relationships/image" Target="media/image41.jpeg"/><Relationship Id="rId6" Type="http://schemas.openxmlformats.org/officeDocument/2006/relationships/footer" Target="footer4.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jpeg"/><Relationship Id="rId54" Type="http://schemas.openxmlformats.org/officeDocument/2006/relationships/image" Target="media/image35.jpeg"/><Relationship Id="rId53" Type="http://schemas.openxmlformats.org/officeDocument/2006/relationships/image" Target="media/image34.jpeg"/><Relationship Id="rId52" Type="http://schemas.openxmlformats.org/officeDocument/2006/relationships/image" Target="media/image33.jpeg"/><Relationship Id="rId51" Type="http://schemas.openxmlformats.org/officeDocument/2006/relationships/image" Target="media/image32.jpeg"/><Relationship Id="rId50" Type="http://schemas.openxmlformats.org/officeDocument/2006/relationships/image" Target="media/image31.jpeg"/><Relationship Id="rId5" Type="http://schemas.openxmlformats.org/officeDocument/2006/relationships/footer" Target="footer3.xml"/><Relationship Id="rId49" Type="http://schemas.openxmlformats.org/officeDocument/2006/relationships/image" Target="media/image30.jpeg"/><Relationship Id="rId48" Type="http://schemas.openxmlformats.org/officeDocument/2006/relationships/image" Target="media/image29.png"/><Relationship Id="rId47" Type="http://schemas.openxmlformats.org/officeDocument/2006/relationships/image" Target="media/image28.jpeg"/><Relationship Id="rId46" Type="http://schemas.openxmlformats.org/officeDocument/2006/relationships/image" Target="media/image27.jpeg"/><Relationship Id="rId45" Type="http://schemas.openxmlformats.org/officeDocument/2006/relationships/image" Target="media/image26.jpeg"/><Relationship Id="rId44" Type="http://schemas.openxmlformats.org/officeDocument/2006/relationships/image" Target="media/image25.jpeg"/><Relationship Id="rId43" Type="http://schemas.openxmlformats.org/officeDocument/2006/relationships/image" Target="media/image24.jpeg"/><Relationship Id="rId42" Type="http://schemas.openxmlformats.org/officeDocument/2006/relationships/image" Target="media/image23.jpe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footer" Target="footer2.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oleObject" Target="embeddings/oleObject7.bin"/><Relationship Id="rId35" Type="http://schemas.openxmlformats.org/officeDocument/2006/relationships/image" Target="media/image17.wmf"/><Relationship Id="rId34" Type="http://schemas.openxmlformats.org/officeDocument/2006/relationships/oleObject" Target="embeddings/oleObject6.bin"/><Relationship Id="rId33" Type="http://schemas.openxmlformats.org/officeDocument/2006/relationships/image" Target="media/image16.wmf"/><Relationship Id="rId32" Type="http://schemas.openxmlformats.org/officeDocument/2006/relationships/oleObject" Target="embeddings/oleObject5.bin"/><Relationship Id="rId31" Type="http://schemas.openxmlformats.org/officeDocument/2006/relationships/image" Target="media/image15.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3.bin"/><Relationship Id="rId27" Type="http://schemas.openxmlformats.org/officeDocument/2006/relationships/image" Target="media/image13.wmf"/><Relationship Id="rId26" Type="http://schemas.openxmlformats.org/officeDocument/2006/relationships/oleObject" Target="embeddings/oleObject2.bin"/><Relationship Id="rId25" Type="http://schemas.openxmlformats.org/officeDocument/2006/relationships/image" Target="media/image12.wmf"/><Relationship Id="rId24" Type="http://schemas.openxmlformats.org/officeDocument/2006/relationships/oleObject" Target="embeddings/oleObject1.bin"/><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emf"/><Relationship Id="rId14" Type="http://schemas.openxmlformats.org/officeDocument/2006/relationships/package" Target="embeddings/Microsoft_Visio___1.vsdx"/><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206450-50E2-432B-A186-60DE938979AF}">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76</Pages>
  <Words>4775</Words>
  <Characters>27223</Characters>
  <Lines>226</Lines>
  <Paragraphs>63</Paragraphs>
  <TotalTime>31</TotalTime>
  <ScaleCrop>false</ScaleCrop>
  <LinksUpToDate>false</LinksUpToDate>
  <CharactersWithSpaces>31935</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2023-11-07T09:43:00Z</dcterms:created>
  <dc:creator>lhj</dc:creator>
  <cp:lastModifiedBy>麦兜</cp:lastModifiedBy>
  <cp:lastPrinted>2021-09-17T07:18:00Z</cp:lastPrinted>
  <dcterms:modified xsi:type="dcterms:W3CDTF">2024-01-03T06:07:58Z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EE4897CCB84246489F5F899C627166D7_13</vt:lpwstr>
  </property>
</Properties>
</file>