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bCs/>
          <w:sz w:val="36"/>
          <w:szCs w:val="36"/>
        </w:rPr>
      </w:pPr>
      <w:r>
        <w:rPr>
          <w:rFonts w:hint="eastAsia" w:ascii="仿宋_GB2312" w:eastAsia="仿宋_GB2312"/>
          <w:b/>
          <w:bCs/>
          <w:sz w:val="36"/>
          <w:szCs w:val="36"/>
          <w:highlight w:val="none"/>
        </w:rPr>
        <w:t>预算绩效工作开展情况说明</w:t>
      </w:r>
    </w:p>
    <w:p>
      <w:pPr>
        <w:ind w:firstLine="640" w:firstLineChars="200"/>
        <w:rPr>
          <w:rFonts w:hint="eastAsia" w:ascii="仿宋_GB2312" w:hAnsi="仿宋" w:eastAsia="仿宋_GB2312" w:cs="仿宋"/>
          <w:sz w:val="32"/>
          <w:szCs w:val="32"/>
        </w:rPr>
      </w:pPr>
      <w:r>
        <w:rPr>
          <w:rFonts w:hint="eastAsia" w:ascii="仿宋_GB2312" w:eastAsia="仿宋_GB2312"/>
          <w:sz w:val="32"/>
          <w:szCs w:val="32"/>
        </w:rPr>
        <w:t>根</w:t>
      </w:r>
      <w:r>
        <w:rPr>
          <w:rFonts w:hint="eastAsia" w:ascii="仿宋_GB2312" w:eastAsia="仿宋_GB2312"/>
          <w:spacing w:val="-6"/>
          <w:sz w:val="32"/>
          <w:szCs w:val="32"/>
        </w:rPr>
        <w:t>据省财政厅文件要求</w:t>
      </w:r>
      <w:r>
        <w:rPr>
          <w:rFonts w:hint="eastAsia" w:ascii="仿宋_GB2312" w:eastAsia="仿宋_GB2312"/>
          <w:spacing w:val="3"/>
          <w:sz w:val="32"/>
          <w:szCs w:val="32"/>
        </w:rPr>
        <w:t>和《双鸭山市财政局关于进一步加强财政同步监督工作的通知》文件精神，现</w:t>
      </w:r>
      <w:r>
        <w:rPr>
          <w:rFonts w:hint="eastAsia" w:ascii="仿宋_GB2312" w:hAnsi="微软雅黑" w:eastAsia="仿宋_GB2312"/>
          <w:color w:val="333333"/>
          <w:spacing w:val="10"/>
          <w:sz w:val="32"/>
          <w:szCs w:val="32"/>
        </w:rPr>
        <w:t>将</w:t>
      </w:r>
      <w:r>
        <w:rPr>
          <w:rFonts w:hint="eastAsia" w:ascii="仿宋_GB2312" w:hAnsi="微软雅黑" w:eastAsia="仿宋_GB2312"/>
          <w:color w:val="333333"/>
          <w:spacing w:val="10"/>
          <w:sz w:val="32"/>
          <w:szCs w:val="32"/>
          <w:lang w:eastAsia="zh-CN"/>
        </w:rPr>
        <w:t>双鸭山市</w:t>
      </w:r>
      <w:r>
        <w:rPr>
          <w:rFonts w:hint="eastAsia" w:ascii="仿宋_GB2312" w:hAnsi="微软雅黑" w:eastAsia="仿宋_GB2312"/>
          <w:color w:val="333333"/>
          <w:spacing w:val="13"/>
          <w:sz w:val="32"/>
          <w:szCs w:val="32"/>
        </w:rPr>
        <w:t>201</w:t>
      </w:r>
      <w:r>
        <w:rPr>
          <w:rFonts w:hint="eastAsia" w:ascii="仿宋_GB2312" w:hAnsi="微软雅黑" w:eastAsia="仿宋_GB2312"/>
          <w:color w:val="333333"/>
          <w:spacing w:val="13"/>
          <w:sz w:val="32"/>
          <w:szCs w:val="32"/>
          <w:lang w:val="en-US" w:eastAsia="zh-CN"/>
        </w:rPr>
        <w:t>6</w:t>
      </w:r>
      <w:r>
        <w:rPr>
          <w:rFonts w:hint="eastAsia" w:ascii="仿宋_GB2312" w:hAnsi="微软雅黑" w:eastAsia="仿宋_GB2312"/>
          <w:color w:val="333333"/>
          <w:spacing w:val="6"/>
          <w:sz w:val="32"/>
          <w:szCs w:val="32"/>
        </w:rPr>
        <w:t>年度预算绩效工作</w:t>
      </w:r>
      <w:r>
        <w:rPr>
          <w:rFonts w:hint="eastAsia" w:ascii="仿宋_GB2312" w:hAnsi="微软雅黑" w:eastAsia="仿宋_GB2312"/>
          <w:color w:val="333333"/>
          <w:spacing w:val="6"/>
          <w:sz w:val="32"/>
          <w:szCs w:val="32"/>
          <w:lang w:eastAsia="zh-CN"/>
        </w:rPr>
        <w:t>开展情况说明</w:t>
      </w:r>
      <w:r>
        <w:rPr>
          <w:rFonts w:hint="eastAsia" w:ascii="仿宋_GB2312" w:hAnsi="微软雅黑" w:eastAsia="仿宋_GB2312"/>
          <w:color w:val="333333"/>
          <w:spacing w:val="6"/>
          <w:sz w:val="32"/>
          <w:szCs w:val="32"/>
        </w:rPr>
        <w:t>如下</w:t>
      </w:r>
      <w:r>
        <w:rPr>
          <w:rFonts w:hint="eastAsia" w:ascii="仿宋_GB2312" w:hAnsi="微软雅黑" w:eastAsia="仿宋_GB2312"/>
          <w:color w:val="333333"/>
          <w:spacing w:val="6"/>
          <w:sz w:val="32"/>
          <w:szCs w:val="32"/>
          <w:lang w:eastAsia="zh-CN"/>
        </w:rPr>
        <w:t>：</w:t>
      </w:r>
    </w:p>
    <w:p>
      <w:pPr>
        <w:widowControl/>
        <w:shd w:val="clear" w:color="auto" w:fill="FFFFFF"/>
        <w:spacing w:line="560" w:lineRule="exact"/>
        <w:ind w:firstLine="643" w:firstLineChars="200"/>
        <w:rPr>
          <w:rFonts w:hint="eastAsia" w:ascii="仿宋_GB2312" w:eastAsia="仿宋_GB2312" w:cs="宋体"/>
          <w:b/>
          <w:kern w:val="0"/>
          <w:sz w:val="32"/>
          <w:szCs w:val="32"/>
        </w:rPr>
      </w:pPr>
      <w:r>
        <w:rPr>
          <w:rFonts w:hint="eastAsia" w:ascii="仿宋_GB2312" w:eastAsia="仿宋_GB2312" w:cs="宋体"/>
          <w:b/>
          <w:kern w:val="0"/>
          <w:sz w:val="32"/>
          <w:szCs w:val="32"/>
        </w:rPr>
        <w:t>一、绩效评价工作推进情况</w:t>
      </w:r>
    </w:p>
    <w:p>
      <w:pPr>
        <w:pStyle w:val="4"/>
        <w:shd w:val="clear" w:color="auto" w:fill="FFFFFF"/>
        <w:spacing w:before="0" w:beforeAutospacing="0" w:after="0" w:afterAutospacing="0" w:line="360" w:lineRule="auto"/>
        <w:ind w:firstLine="627" w:firstLineChars="196"/>
        <w:rPr>
          <w:rFonts w:hint="eastAsia" w:ascii="仿宋_GB2312" w:eastAsia="仿宋_GB2312"/>
          <w:sz w:val="32"/>
          <w:szCs w:val="32"/>
        </w:rPr>
      </w:pPr>
      <w:r>
        <w:rPr>
          <w:rFonts w:hint="eastAsia" w:ascii="仿宋_GB2312" w:eastAsia="仿宋_GB2312"/>
          <w:sz w:val="32"/>
          <w:szCs w:val="32"/>
        </w:rPr>
        <w:t>双鸭山市财政局高度重视绩效评价工作，在年初成立了以局长为组长，分管局长为副组长，绩效评价科及相关业务科室为成员的双鸭山市预算绩效管理工作领导小组，全面加强预算绩效管理工作。同时按照领导小组要求，制定完善了一系列管理制度、办法和实施方案。</w:t>
      </w:r>
      <w:r>
        <w:rPr>
          <w:rFonts w:hint="eastAsia" w:ascii="仿宋_GB2312" w:eastAsia="仿宋_GB2312"/>
          <w:color w:val="333333"/>
          <w:sz w:val="32"/>
          <w:szCs w:val="32"/>
        </w:rPr>
        <w:t>如《双鸭山市预算绩效目标管理办法》、《年度双鸭山市财政支出绩效评价工作实施方案》、《双鸭山市财政绩效评价管理工作内部协调机制》等多项规章制度，</w:t>
      </w:r>
      <w:r>
        <w:rPr>
          <w:rFonts w:hint="eastAsia" w:ascii="仿宋_GB2312" w:hAnsi="仿宋" w:eastAsia="仿宋_GB2312" w:cs="仿宋"/>
          <w:sz w:val="32"/>
          <w:szCs w:val="32"/>
        </w:rPr>
        <w:t>年初经局党组调整分工，绩效评价科归 金鑫局长分管。按照领导的指示精神，和局监督科配合对我市专项资金的户数达到20%以上进行绩效评价，经过和个支出科室研究，决定对我市49家单位开展绩效评价工作。</w:t>
      </w:r>
      <w:r>
        <w:rPr>
          <w:rFonts w:hint="eastAsia" w:ascii="仿宋_GB2312" w:eastAsia="仿宋_GB2312"/>
          <w:color w:val="333333"/>
          <w:sz w:val="32"/>
          <w:szCs w:val="32"/>
        </w:rPr>
        <w:t>另外积极</w:t>
      </w:r>
      <w:r>
        <w:rPr>
          <w:rFonts w:hint="eastAsia" w:ascii="仿宋_GB2312" w:eastAsia="仿宋_GB2312"/>
          <w:sz w:val="32"/>
          <w:szCs w:val="32"/>
        </w:rPr>
        <w:t>加强和省绩效评价处的沟通联系。通过网络对我市预算绩效管理工作动态信息等方式向省厅进行汇报，创造良好的绩效氛围。</w:t>
      </w:r>
    </w:p>
    <w:p>
      <w:pPr>
        <w:widowControl/>
        <w:shd w:val="clear" w:color="auto" w:fill="FFFFFF"/>
        <w:spacing w:line="560" w:lineRule="exact"/>
        <w:ind w:firstLine="643" w:firstLineChars="200"/>
        <w:rPr>
          <w:rFonts w:hint="eastAsia" w:ascii="仿宋_GB2312" w:hAnsi="宋体" w:eastAsia="仿宋_GB2312" w:cs="宋体"/>
          <w:b/>
          <w:kern w:val="0"/>
          <w:sz w:val="32"/>
          <w:szCs w:val="32"/>
        </w:rPr>
      </w:pPr>
      <w:r>
        <w:rPr>
          <w:rFonts w:hint="eastAsia" w:ascii="仿宋_GB2312" w:eastAsia="仿宋_GB2312" w:cs="宋体"/>
          <w:b/>
          <w:kern w:val="0"/>
          <w:sz w:val="32"/>
          <w:szCs w:val="32"/>
        </w:rPr>
        <w:t>二、财政支出绩效评价工作基本情况及主要成效</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具体检查情况如下：虽然我市建立了专家库，但是我局经济比较困难，所以我市绩效工作没有聘请专家和第三方机构开展这项工作，只是和监督检查科及项目评审科抽调一些工作人员开展绩效评价工作。</w:t>
      </w:r>
    </w:p>
    <w:p>
      <w:pPr>
        <w:widowControl/>
        <w:shd w:val="clear" w:color="auto" w:fill="FFFFFF"/>
        <w:spacing w:line="560" w:lineRule="exact"/>
        <w:ind w:firstLine="641"/>
        <w:rPr>
          <w:rFonts w:hint="eastAsia" w:ascii="仿宋_GB2312" w:eastAsia="仿宋_GB2312"/>
          <w:kern w:val="0"/>
          <w:sz w:val="32"/>
          <w:szCs w:val="32"/>
        </w:rPr>
      </w:pPr>
      <w:r>
        <w:rPr>
          <w:rFonts w:hint="eastAsia" w:ascii="仿宋_GB2312" w:hAnsi="宋体" w:eastAsia="仿宋_GB2312" w:cs="宋体"/>
          <w:kern w:val="0"/>
          <w:sz w:val="32"/>
          <w:szCs w:val="32"/>
        </w:rPr>
        <w:t>按照</w:t>
      </w:r>
      <w:r>
        <w:rPr>
          <w:rFonts w:hint="eastAsia" w:ascii="仿宋_GB2312" w:eastAsia="仿宋_GB2312"/>
          <w:kern w:val="0"/>
          <w:sz w:val="32"/>
          <w:szCs w:val="32"/>
        </w:rPr>
        <w:t>“</w:t>
      </w:r>
      <w:r>
        <w:rPr>
          <w:rFonts w:hint="eastAsia" w:ascii="仿宋_GB2312" w:hAnsi="宋体" w:eastAsia="仿宋_GB2312" w:cs="宋体"/>
          <w:kern w:val="0"/>
          <w:sz w:val="32"/>
          <w:szCs w:val="32"/>
        </w:rPr>
        <w:t>资金量较大、代表性较强、社会关注度高</w:t>
      </w:r>
      <w:r>
        <w:rPr>
          <w:rFonts w:hint="eastAsia" w:ascii="仿宋_GB2312" w:eastAsia="仿宋_GB2312"/>
          <w:kern w:val="0"/>
          <w:sz w:val="32"/>
          <w:szCs w:val="32"/>
        </w:rPr>
        <w:t>”</w:t>
      </w:r>
      <w:r>
        <w:rPr>
          <w:rFonts w:hint="eastAsia" w:ascii="仿宋_GB2312" w:hAnsi="宋体" w:eastAsia="仿宋_GB2312" w:cs="宋体"/>
          <w:kern w:val="0"/>
          <w:sz w:val="32"/>
          <w:szCs w:val="32"/>
        </w:rPr>
        <w:t>的原则，从本级预算安排及省专项安排资金中选择节水增粮、退耕还林、城镇居民基本医疗保险等49个项目开展支出绩效评价工作，总计预计评价资金11.883万元。实际评价金额11.883万元，从评价结果看，</w:t>
      </w:r>
      <w:r>
        <w:rPr>
          <w:rFonts w:hint="eastAsia" w:ascii="仿宋_GB2312" w:eastAsia="仿宋_GB2312"/>
          <w:kern w:val="0"/>
          <w:sz w:val="32"/>
          <w:szCs w:val="32"/>
        </w:rPr>
        <w:t>35</w:t>
      </w:r>
      <w:r>
        <w:rPr>
          <w:rFonts w:hint="eastAsia" w:ascii="仿宋_GB2312" w:hAnsi="宋体" w:eastAsia="仿宋_GB2312" w:cs="宋体"/>
          <w:kern w:val="0"/>
          <w:sz w:val="32"/>
          <w:szCs w:val="32"/>
        </w:rPr>
        <w:t>个评价项目平均得分</w:t>
      </w:r>
      <w:r>
        <w:rPr>
          <w:rFonts w:hint="eastAsia" w:ascii="仿宋_GB2312" w:eastAsia="仿宋_GB2312"/>
          <w:kern w:val="0"/>
          <w:sz w:val="32"/>
          <w:szCs w:val="32"/>
        </w:rPr>
        <w:t>94</w:t>
      </w:r>
      <w:r>
        <w:rPr>
          <w:rFonts w:hint="eastAsia" w:ascii="仿宋_GB2312" w:hAnsi="宋体" w:eastAsia="仿宋_GB2312" w:cs="宋体"/>
          <w:kern w:val="0"/>
          <w:sz w:val="32"/>
          <w:szCs w:val="32"/>
        </w:rPr>
        <w:t>分，最高得分</w:t>
      </w:r>
      <w:r>
        <w:rPr>
          <w:rFonts w:hint="eastAsia" w:ascii="仿宋_GB2312" w:eastAsia="仿宋_GB2312"/>
          <w:kern w:val="0"/>
          <w:sz w:val="32"/>
          <w:szCs w:val="32"/>
        </w:rPr>
        <w:t>99.5</w:t>
      </w:r>
      <w:r>
        <w:rPr>
          <w:rFonts w:hint="eastAsia" w:ascii="仿宋_GB2312" w:hAnsi="宋体" w:eastAsia="仿宋_GB2312" w:cs="宋体"/>
          <w:kern w:val="0"/>
          <w:sz w:val="32"/>
          <w:szCs w:val="32"/>
        </w:rPr>
        <w:t>分，最低得分</w:t>
      </w:r>
      <w:r>
        <w:rPr>
          <w:rFonts w:hint="eastAsia" w:ascii="仿宋_GB2312" w:eastAsia="仿宋_GB2312"/>
          <w:kern w:val="0"/>
          <w:sz w:val="32"/>
          <w:szCs w:val="32"/>
        </w:rPr>
        <w:t>87</w:t>
      </w:r>
      <w:r>
        <w:rPr>
          <w:rFonts w:hint="eastAsia" w:ascii="仿宋_GB2312" w:hAnsi="宋体" w:eastAsia="仿宋_GB2312" w:cs="宋体"/>
          <w:kern w:val="0"/>
          <w:sz w:val="32"/>
          <w:szCs w:val="32"/>
        </w:rPr>
        <w:t>分</w:t>
      </w:r>
      <w:r>
        <w:rPr>
          <w:rFonts w:hint="eastAsia" w:ascii="仿宋_GB2312" w:eastAsia="仿宋_GB2312" w:cs="宋体"/>
          <w:kern w:val="0"/>
          <w:sz w:val="32"/>
          <w:szCs w:val="32"/>
        </w:rPr>
        <w:t>。被评价项目总体绩效目标明确，决策依据充分，资金分配科学合理，项目管理较规范，项目完成良好，基本达到了预期效果。</w:t>
      </w:r>
    </w:p>
    <w:p>
      <w:pPr>
        <w:widowControl/>
        <w:shd w:val="clear" w:color="auto" w:fill="FFFFFF"/>
        <w:tabs>
          <w:tab w:val="left" w:pos="640"/>
        </w:tabs>
        <w:spacing w:line="560" w:lineRule="exact"/>
        <w:ind w:firstLine="643" w:firstLineChars="200"/>
        <w:rPr>
          <w:rFonts w:hint="eastAsia" w:ascii="仿宋_GB2312" w:eastAsia="仿宋_GB2312"/>
          <w:b/>
          <w:kern w:val="0"/>
          <w:sz w:val="32"/>
          <w:szCs w:val="32"/>
        </w:rPr>
      </w:pPr>
      <w:r>
        <w:rPr>
          <w:rFonts w:hint="eastAsia" w:ascii="仿宋_GB2312" w:eastAsia="仿宋_GB2312"/>
          <w:b/>
          <w:kern w:val="0"/>
          <w:sz w:val="32"/>
          <w:szCs w:val="32"/>
        </w:rPr>
        <w:t>（二）部门支出绩效评价</w:t>
      </w:r>
    </w:p>
    <w:p>
      <w:pPr>
        <w:widowControl/>
        <w:shd w:val="clear" w:color="auto" w:fill="FFFFFF"/>
        <w:snapToGrid w:val="0"/>
        <w:spacing w:line="5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按每个评价组至少评价一个</w:t>
      </w:r>
      <w:r>
        <w:rPr>
          <w:rFonts w:hint="eastAsia" w:ascii="仿宋_GB2312" w:eastAsia="仿宋_GB2312"/>
          <w:color w:val="0D0D0D"/>
          <w:kern w:val="0"/>
          <w:sz w:val="32"/>
          <w:szCs w:val="32"/>
        </w:rPr>
        <w:t>部门（单位）</w:t>
      </w:r>
      <w:r>
        <w:rPr>
          <w:rFonts w:hint="eastAsia" w:ascii="仿宋_GB2312" w:eastAsia="仿宋_GB2312"/>
          <w:kern w:val="0"/>
          <w:sz w:val="32"/>
          <w:szCs w:val="32"/>
        </w:rPr>
        <w:t>的原则，选择市公安局、林业局、公路管理处等15个部门（单位）开展部门支出绩效评价，评价财政资金5000多万元，涵盖被评价部门（单位）的基本支出和项目支出在内的所有财政资金使用绩效情况。从评价结果看，各个部门平均得分94分，最高得分99分，最低得分85.9分。被评价部门总体情况良好，预算编制质量较好，预算信息公开符合要求；预算执行进度良好，年末基本无结转结余；财务制度健全，会计核算总体规范、准确；项目在实施过程中严格执行有关制度规定，基本达到了预期效果。</w:t>
      </w:r>
    </w:p>
    <w:p>
      <w:pPr>
        <w:widowControl/>
        <w:shd w:val="clear" w:color="auto" w:fill="FFFFFF"/>
        <w:spacing w:line="560" w:lineRule="exact"/>
        <w:ind w:firstLine="643" w:firstLineChars="200"/>
        <w:rPr>
          <w:rFonts w:hint="eastAsia" w:ascii="仿宋_GB2312" w:hAnsi="宋体" w:eastAsia="仿宋_GB2312" w:cs="宋体"/>
          <w:b/>
          <w:kern w:val="0"/>
          <w:sz w:val="32"/>
          <w:szCs w:val="32"/>
        </w:rPr>
      </w:pPr>
      <w:r>
        <w:rPr>
          <w:rFonts w:hint="eastAsia" w:ascii="仿宋_GB2312" w:eastAsia="仿宋_GB2312" w:cs="宋体"/>
          <w:b/>
          <w:kern w:val="0"/>
          <w:sz w:val="32"/>
          <w:szCs w:val="32"/>
        </w:rPr>
        <w:t>三、存在的主要问题及整改措施</w:t>
      </w:r>
    </w:p>
    <w:p>
      <w:pPr>
        <w:widowControl/>
        <w:shd w:val="clear" w:color="auto" w:fill="FFFFFF"/>
        <w:tabs>
          <w:tab w:val="left" w:pos="640"/>
        </w:tabs>
        <w:spacing w:line="560" w:lineRule="exact"/>
        <w:ind w:firstLine="643" w:firstLineChars="200"/>
        <w:rPr>
          <w:rFonts w:hint="eastAsia" w:ascii="仿宋_GB2312" w:eastAsia="仿宋_GB2312"/>
          <w:b/>
          <w:kern w:val="0"/>
          <w:sz w:val="32"/>
          <w:szCs w:val="32"/>
        </w:rPr>
      </w:pPr>
      <w:r>
        <w:rPr>
          <w:rFonts w:hint="eastAsia" w:ascii="仿宋_GB2312" w:eastAsia="仿宋_GB2312"/>
          <w:b/>
          <w:kern w:val="0"/>
          <w:sz w:val="32"/>
          <w:szCs w:val="32"/>
        </w:rPr>
        <w:t>（一）存在的主要问题。</w:t>
      </w:r>
    </w:p>
    <w:p>
      <w:pPr>
        <w:widowControl/>
        <w:shd w:val="clear" w:color="auto" w:fill="FFFFFF"/>
        <w:tabs>
          <w:tab w:val="left" w:pos="640"/>
        </w:tabs>
        <w:spacing w:line="560" w:lineRule="exact"/>
        <w:ind w:firstLine="630" w:firstLineChars="196"/>
        <w:rPr>
          <w:rFonts w:hint="eastAsia" w:ascii="仿宋_GB2312" w:eastAsia="仿宋_GB2312"/>
          <w:kern w:val="0"/>
          <w:sz w:val="32"/>
          <w:szCs w:val="32"/>
        </w:rPr>
      </w:pPr>
      <w:r>
        <w:rPr>
          <w:rFonts w:hint="eastAsia" w:ascii="仿宋_GB2312" w:eastAsia="仿宋_GB2312"/>
          <w:b/>
          <w:kern w:val="0"/>
          <w:sz w:val="32"/>
          <w:szCs w:val="32"/>
        </w:rPr>
        <w:t>项目支出绩效评价存在的主</w:t>
      </w:r>
      <w:bookmarkStart w:id="0" w:name="_GoBack"/>
      <w:bookmarkEnd w:id="0"/>
      <w:r>
        <w:rPr>
          <w:rFonts w:hint="eastAsia" w:ascii="仿宋_GB2312" w:eastAsia="仿宋_GB2312"/>
          <w:b/>
          <w:kern w:val="0"/>
          <w:sz w:val="32"/>
          <w:szCs w:val="32"/>
        </w:rPr>
        <w:t>要问题：</w:t>
      </w:r>
      <w:r>
        <w:rPr>
          <w:rFonts w:hint="eastAsia" w:ascii="仿宋_GB2312" w:eastAsia="仿宋_GB2312"/>
          <w:kern w:val="0"/>
          <w:sz w:val="32"/>
          <w:szCs w:val="32"/>
        </w:rPr>
        <w:t>一是项目预算的准确性不高，如</w:t>
      </w:r>
      <w:r>
        <w:rPr>
          <w:rFonts w:hint="eastAsia" w:ascii="仿宋_GB2312" w:eastAsia="仿宋_GB2312"/>
          <w:color w:val="0D0D0D"/>
          <w:kern w:val="0"/>
          <w:sz w:val="32"/>
          <w:szCs w:val="32"/>
        </w:rPr>
        <w:t>部分项目年初按照分类固定标准进行预算，实际使用中多数乡镇存在较大缺口，三是</w:t>
      </w:r>
      <w:r>
        <w:rPr>
          <w:rFonts w:hint="eastAsia" w:ascii="仿宋_GB2312" w:eastAsia="仿宋_GB2312"/>
          <w:kern w:val="0"/>
          <w:sz w:val="32"/>
          <w:szCs w:val="32"/>
        </w:rPr>
        <w:t>项目管理不到位。部分项目</w:t>
      </w:r>
      <w:r>
        <w:rPr>
          <w:rFonts w:hint="eastAsia" w:ascii="仿宋_GB2312" w:eastAsia="仿宋_GB2312"/>
          <w:color w:val="0D0D0D"/>
          <w:kern w:val="0"/>
          <w:sz w:val="32"/>
          <w:szCs w:val="32"/>
        </w:rPr>
        <w:t>由于收集的基础资料和信息不完整、不准确</w:t>
      </w:r>
      <w:r>
        <w:rPr>
          <w:rFonts w:hint="eastAsia" w:ascii="仿宋_GB2312" w:eastAsia="仿宋_GB2312"/>
          <w:color w:val="0D0D0D"/>
          <w:kern w:val="0"/>
          <w:sz w:val="32"/>
          <w:szCs w:val="32"/>
          <w:lang w:val="zh-CN"/>
        </w:rPr>
        <w:t>，导致对部分受益人的补贴直发失败</w:t>
      </w:r>
      <w:r>
        <w:rPr>
          <w:rFonts w:hint="eastAsia" w:ascii="仿宋_GB2312" w:eastAsia="仿宋_GB2312"/>
          <w:color w:val="0D0D0D"/>
          <w:kern w:val="0"/>
          <w:sz w:val="32"/>
          <w:szCs w:val="32"/>
        </w:rPr>
        <w:t>，导致群众满意度不高。</w:t>
      </w:r>
    </w:p>
    <w:p>
      <w:pPr>
        <w:widowControl/>
        <w:shd w:val="clear" w:color="auto" w:fill="FFFFFF"/>
        <w:snapToGrid w:val="0"/>
        <w:spacing w:line="560" w:lineRule="exact"/>
        <w:ind w:firstLine="630" w:firstLineChars="196"/>
        <w:rPr>
          <w:rFonts w:hint="eastAsia" w:ascii="仿宋_GB2312" w:eastAsia="仿宋_GB2312"/>
          <w:kern w:val="0"/>
          <w:sz w:val="32"/>
          <w:szCs w:val="32"/>
        </w:rPr>
      </w:pPr>
      <w:r>
        <w:rPr>
          <w:rFonts w:hint="eastAsia" w:ascii="仿宋_GB2312" w:eastAsia="仿宋_GB2312"/>
          <w:b/>
          <w:kern w:val="0"/>
          <w:sz w:val="32"/>
          <w:szCs w:val="32"/>
        </w:rPr>
        <w:t>部门支出绩效评价存在的主要问题：</w:t>
      </w:r>
      <w:r>
        <w:rPr>
          <w:rFonts w:hint="eastAsia" w:ascii="仿宋_GB2312" w:eastAsia="仿宋_GB2312"/>
          <w:kern w:val="0"/>
          <w:sz w:val="32"/>
          <w:szCs w:val="32"/>
        </w:rPr>
        <w:t>一是财务管理不规范。存在</w:t>
      </w:r>
      <w:r>
        <w:rPr>
          <w:rFonts w:hint="eastAsia" w:ascii="仿宋_GB2312" w:eastAsia="仿宋_GB2312"/>
          <w:color w:val="000000"/>
          <w:kern w:val="0"/>
          <w:sz w:val="32"/>
          <w:szCs w:val="32"/>
          <w:shd w:val="clear" w:color="auto" w:fill="FFFFFF"/>
          <w:lang w:val="zh-CN"/>
        </w:rPr>
        <w:t>账务处理和项目核算不够准确、接待费开支不规范、</w:t>
      </w:r>
      <w:r>
        <w:rPr>
          <w:rFonts w:hint="eastAsia" w:ascii="仿宋_GB2312" w:eastAsia="仿宋_GB2312"/>
          <w:kern w:val="0"/>
          <w:sz w:val="32"/>
          <w:szCs w:val="32"/>
          <w:lang w:val="zh-CN"/>
        </w:rPr>
        <w:t>项目经费使用上未做到专款专用、使用现金发放人员补贴的问题</w:t>
      </w:r>
      <w:r>
        <w:rPr>
          <w:rFonts w:hint="eastAsia" w:ascii="仿宋_GB2312" w:eastAsia="仿宋_GB2312"/>
          <w:kern w:val="0"/>
          <w:sz w:val="32"/>
          <w:szCs w:val="32"/>
        </w:rPr>
        <w:t>。二</w:t>
      </w:r>
      <w:r>
        <w:rPr>
          <w:rFonts w:hint="eastAsia" w:ascii="仿宋_GB2312" w:eastAsia="仿宋_GB2312"/>
          <w:color w:val="0D0D0D"/>
          <w:kern w:val="0"/>
          <w:sz w:val="32"/>
          <w:szCs w:val="32"/>
        </w:rPr>
        <w:t>是</w:t>
      </w:r>
      <w:r>
        <w:rPr>
          <w:rFonts w:hint="eastAsia" w:ascii="仿宋_GB2312" w:eastAsia="仿宋_GB2312"/>
          <w:kern w:val="0"/>
          <w:sz w:val="32"/>
          <w:szCs w:val="32"/>
        </w:rPr>
        <w:t>预算执行进度慢。存在</w:t>
      </w:r>
      <w:r>
        <w:rPr>
          <w:rFonts w:hint="eastAsia" w:ascii="仿宋_GB2312" w:eastAsia="仿宋_GB2312"/>
          <w:color w:val="000000"/>
          <w:kern w:val="0"/>
          <w:sz w:val="32"/>
          <w:szCs w:val="32"/>
          <w:shd w:val="clear" w:color="auto" w:fill="FFFFFF"/>
          <w:lang w:val="zh-CN"/>
        </w:rPr>
        <w:t>部分项目资金申报不及时，</w:t>
      </w:r>
      <w:r>
        <w:rPr>
          <w:rFonts w:hint="eastAsia" w:ascii="仿宋_GB2312" w:eastAsia="仿宋_GB2312"/>
          <w:kern w:val="0"/>
          <w:sz w:val="32"/>
          <w:szCs w:val="32"/>
        </w:rPr>
        <w:t xml:space="preserve">项目实施进度偏慢，报账不及时，补贴资金未及时兑现到农户的现象。 </w:t>
      </w:r>
    </w:p>
    <w:p>
      <w:pPr>
        <w:widowControl/>
        <w:shd w:val="clear" w:color="auto" w:fill="FFFFFF"/>
        <w:tabs>
          <w:tab w:val="left" w:pos="640"/>
        </w:tabs>
        <w:spacing w:line="560" w:lineRule="exact"/>
        <w:rPr>
          <w:rFonts w:hint="eastAsia" w:ascii="仿宋_GB2312" w:eastAsia="仿宋_GB2312"/>
          <w:kern w:val="0"/>
          <w:sz w:val="32"/>
          <w:szCs w:val="32"/>
        </w:rPr>
      </w:pPr>
    </w:p>
    <w:p>
      <w:pPr>
        <w:widowControl/>
        <w:shd w:val="clear" w:color="auto" w:fill="FFFFFF"/>
        <w:tabs>
          <w:tab w:val="left" w:pos="640"/>
        </w:tabs>
        <w:spacing w:line="560" w:lineRule="exact"/>
        <w:rPr>
          <w:rFonts w:hint="eastAsia" w:ascii="仿宋_GB2312" w:eastAsia="仿宋_GB2312"/>
          <w:kern w:val="0"/>
          <w:sz w:val="32"/>
          <w:szCs w:val="32"/>
        </w:rPr>
      </w:pPr>
    </w:p>
    <w:p>
      <w:pPr>
        <w:widowControl/>
        <w:shd w:val="clear" w:color="auto" w:fill="FFFFFF"/>
        <w:tabs>
          <w:tab w:val="left" w:pos="640"/>
        </w:tabs>
        <w:spacing w:line="560" w:lineRule="exact"/>
        <w:rPr>
          <w:rFonts w:hint="eastAsia" w:ascii="仿宋_GB2312" w:eastAsia="仿宋_GB2312"/>
          <w:kern w:val="0"/>
          <w:sz w:val="32"/>
          <w:szCs w:val="32"/>
        </w:rPr>
      </w:pPr>
    </w:p>
    <w:p>
      <w:pPr>
        <w:widowControl/>
        <w:shd w:val="clear" w:color="auto" w:fill="FFFFFF"/>
        <w:tabs>
          <w:tab w:val="left" w:pos="640"/>
        </w:tabs>
        <w:spacing w:line="560" w:lineRule="exact"/>
        <w:rPr>
          <w:rFonts w:hint="eastAsia" w:ascii="仿宋_GB2312" w:eastAsia="仿宋_GB2312"/>
          <w:kern w:val="0"/>
          <w:sz w:val="32"/>
          <w:szCs w:val="32"/>
        </w:rPr>
      </w:pPr>
    </w:p>
    <w:p>
      <w:pPr>
        <w:widowControl/>
        <w:shd w:val="clear" w:color="auto" w:fill="FFFFFF"/>
        <w:tabs>
          <w:tab w:val="left" w:pos="640"/>
        </w:tabs>
        <w:spacing w:line="560" w:lineRule="exact"/>
        <w:rPr>
          <w:rFonts w:hint="eastAsia" w:ascii="仿宋_GB2312" w:eastAsia="仿宋_GB2312"/>
          <w:kern w:val="0"/>
          <w:sz w:val="32"/>
          <w:szCs w:val="32"/>
        </w:rPr>
      </w:pPr>
    </w:p>
    <w:p>
      <w:pPr>
        <w:widowControl/>
        <w:shd w:val="clear" w:color="auto" w:fill="FFFFFF"/>
        <w:tabs>
          <w:tab w:val="left" w:pos="640"/>
        </w:tabs>
        <w:spacing w:line="560" w:lineRule="exact"/>
        <w:rPr>
          <w:rFonts w:hint="eastAsia" w:ascii="仿宋_GB2312" w:eastAsia="仿宋_GB2312"/>
          <w:kern w:val="0"/>
          <w:sz w:val="32"/>
          <w:szCs w:val="32"/>
        </w:rPr>
      </w:pPr>
    </w:p>
    <w:p>
      <w:pPr>
        <w:widowControl/>
        <w:shd w:val="clear" w:color="auto" w:fill="FFFFFF"/>
        <w:tabs>
          <w:tab w:val="left" w:pos="640"/>
        </w:tabs>
        <w:spacing w:line="560" w:lineRule="exact"/>
        <w:rPr>
          <w:rFonts w:hint="eastAsia" w:ascii="仿宋_GB2312" w:eastAsia="仿宋_GB2312"/>
          <w:kern w:val="0"/>
          <w:sz w:val="32"/>
          <w:szCs w:val="32"/>
        </w:rPr>
      </w:pPr>
    </w:p>
    <w:p>
      <w:pPr>
        <w:widowControl/>
        <w:shd w:val="clear" w:color="auto" w:fill="FFFFFF"/>
        <w:tabs>
          <w:tab w:val="left" w:pos="640"/>
        </w:tabs>
        <w:spacing w:line="560" w:lineRule="exact"/>
        <w:rPr>
          <w:rFonts w:hint="eastAsia" w:ascii="仿宋_GB2312" w:eastAsia="仿宋_GB2312"/>
          <w:kern w:val="0"/>
          <w:sz w:val="32"/>
          <w:szCs w:val="32"/>
        </w:rPr>
      </w:pPr>
    </w:p>
    <w:p>
      <w:pPr>
        <w:widowControl/>
        <w:shd w:val="clear" w:color="auto" w:fill="FFFFFF"/>
        <w:tabs>
          <w:tab w:val="left" w:pos="640"/>
        </w:tabs>
        <w:spacing w:line="560" w:lineRule="exact"/>
        <w:rPr>
          <w:rFonts w:hint="eastAsia" w:ascii="仿宋_GB2312" w:eastAsia="仿宋_GB2312"/>
          <w:kern w:val="0"/>
          <w:sz w:val="32"/>
          <w:szCs w:val="32"/>
        </w:rPr>
      </w:pPr>
    </w:p>
    <w:p>
      <w:pPr>
        <w:widowControl/>
        <w:shd w:val="clear" w:color="auto" w:fill="FFFFFF"/>
        <w:tabs>
          <w:tab w:val="left" w:pos="640"/>
        </w:tabs>
        <w:spacing w:line="560" w:lineRule="exact"/>
        <w:rPr>
          <w:rFonts w:hint="eastAsia" w:ascii="仿宋_GB2312" w:eastAsia="仿宋_GB2312"/>
          <w:kern w:val="0"/>
          <w:sz w:val="32"/>
          <w:szCs w:val="32"/>
        </w:rPr>
      </w:pPr>
    </w:p>
    <w:p>
      <w:pPr>
        <w:widowControl/>
        <w:shd w:val="clear" w:color="auto" w:fill="FFFFFF"/>
        <w:tabs>
          <w:tab w:val="left" w:pos="640"/>
        </w:tabs>
        <w:spacing w:line="560" w:lineRule="exact"/>
        <w:rPr>
          <w:rFonts w:hint="eastAsia" w:ascii="仿宋_GB2312" w:eastAsia="仿宋_GB2312"/>
          <w:kern w:val="0"/>
          <w:sz w:val="32"/>
          <w:szCs w:val="32"/>
        </w:rPr>
      </w:pPr>
    </w:p>
    <w:p>
      <w:pPr>
        <w:widowControl/>
        <w:shd w:val="clear" w:color="auto" w:fill="FFFFFF"/>
        <w:tabs>
          <w:tab w:val="left" w:pos="640"/>
        </w:tabs>
        <w:spacing w:line="560" w:lineRule="exact"/>
        <w:ind w:firstLine="3360" w:firstLineChars="1050"/>
        <w:rPr>
          <w:rFonts w:hint="eastAsia" w:ascii="仿宋_GB2312" w:eastAsia="仿宋_GB2312"/>
          <w:kern w:val="0"/>
          <w:sz w:val="32"/>
          <w:szCs w:val="32"/>
        </w:rPr>
      </w:pPr>
    </w:p>
    <w:p>
      <w:pPr>
        <w:rPr>
          <w:rFonts w:hint="eastAsia"/>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017721"/>
    <w:rsid w:val="424B437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p0"/>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2017-11-03T09:39:33Z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