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caps w:val="0"/>
          <w:color w:val="333333"/>
          <w:spacing w:val="0"/>
          <w:sz w:val="18"/>
          <w:szCs w:val="1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caps w:val="0"/>
          <w:color w:val="333333"/>
          <w:spacing w:val="0"/>
          <w:sz w:val="44"/>
          <w:szCs w:val="44"/>
          <w:shd w:val="clear" w:fill="FFFFFF"/>
        </w:rPr>
      </w:pPr>
      <w:r>
        <w:rPr>
          <w:rFonts w:hint="default" w:ascii="方正小标宋简体" w:hAnsi="方正小标宋简体" w:eastAsia="方正小标宋简体" w:cs="方正小标宋简体"/>
          <w:b w:val="0"/>
          <w:bCs w:val="0"/>
          <w:i w:val="0"/>
          <w:caps w:val="0"/>
          <w:color w:val="333333"/>
          <w:spacing w:val="0"/>
          <w:sz w:val="44"/>
          <w:szCs w:val="44"/>
          <w:shd w:val="clear" w:fill="FFFFFF"/>
        </w:rPr>
        <w:t>2021年度双鸭山市民政局</w:t>
      </w:r>
      <w:r>
        <w:rPr>
          <w:rFonts w:hint="eastAsia" w:ascii="方正小标宋简体" w:hAnsi="方正小标宋简体" w:eastAsia="方正小标宋简体" w:cs="方正小标宋简体"/>
          <w:b w:val="0"/>
          <w:bCs w:val="0"/>
          <w:i w:val="0"/>
          <w:caps w:val="0"/>
          <w:color w:val="333333"/>
          <w:spacing w:val="0"/>
          <w:sz w:val="44"/>
          <w:szCs w:val="44"/>
          <w:shd w:val="clear" w:fill="FFFFFF"/>
        </w:rPr>
        <w:t>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caps w:val="0"/>
          <w:color w:val="333333"/>
          <w:spacing w:val="0"/>
          <w:sz w:val="44"/>
          <w:szCs w:val="44"/>
          <w:shd w:val="clear" w:fill="FFFFFF"/>
        </w:rPr>
        <w:t>公开工作年度报告</w:t>
      </w:r>
    </w:p>
    <w:p>
      <w:pPr>
        <w:widowControl/>
        <w:spacing w:after="100" w:afterAutospacing="1" w:line="640" w:lineRule="exact"/>
        <w:ind w:firstLine="640" w:firstLineChars="200"/>
        <w:rPr>
          <w:rFonts w:hint="eastAsia" w:ascii="仿宋_GB2312" w:hAnsi="仿宋_GB2312" w:eastAsia="仿宋_GB2312" w:cs="仿宋_GB2312"/>
          <w:sz w:val="32"/>
          <w:szCs w:val="32"/>
        </w:rPr>
      </w:pPr>
    </w:p>
    <w:p>
      <w:pPr>
        <w:widowControl/>
        <w:spacing w:after="100" w:afterAutospacing="1"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本年度报告按照新修订的《中华人民共和国政府信息公开条例》要求，由双鸭山市民政局办公室综合市民政局及所辖相关单位的政府信息公开工作情况，在全面总结民政202</w:t>
      </w: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rPr>
        <w:t>年政府信息公开工作、统计汇总政府信息公开主要数据指标基础上编制而成。本年度报告包括总体情况、主动公开政府信息情况、</w:t>
      </w:r>
      <w:r>
        <w:rPr>
          <w:rFonts w:hint="eastAsia" w:ascii="仿宋_GB2312" w:hAnsi="仿宋_GB2312" w:eastAsia="仿宋_GB2312" w:cs="仿宋_GB2312"/>
          <w:kern w:val="0"/>
          <w:sz w:val="32"/>
          <w:szCs w:val="32"/>
        </w:rPr>
        <w:t>收到和处理政府信息公开申请情况</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政府信息公开行政复议、行政诉讼情况、存在的主要问题及改进情况</w:t>
      </w:r>
      <w:r>
        <w:rPr>
          <w:rFonts w:hint="eastAsia" w:ascii="仿宋_GB2312" w:hAnsi="仿宋_GB2312" w:eastAsia="仿宋_GB2312" w:cs="仿宋_GB2312"/>
          <w:sz w:val="32"/>
          <w:szCs w:val="32"/>
        </w:rPr>
        <w:t>以及其他需要报告情况和政府信息公开相关数据统计表等。本年度报告所列数据统计期限自202</w:t>
      </w: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rPr>
        <w:t>年1月1日起至202</w:t>
      </w: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rPr>
        <w:t>年12月31日止。本年度报告内容可以通过“双鸭山市人民政府”网站-政府信息公开-年度报告栏目（http://www.shuangyashan.gov.cn/NewCMS/index/html/zwgkx/index.jsp）中查阅下载或直接与双鸭山市民政局办公室联系（</w:t>
      </w:r>
      <w:r>
        <w:rPr>
          <w:rFonts w:hint="eastAsia" w:ascii="仿宋_GB2312" w:hAnsi="仿宋_GB2312" w:eastAsia="仿宋_GB2312" w:cs="仿宋_GB2312"/>
          <w:kern w:val="0"/>
          <w:sz w:val="32"/>
          <w:szCs w:val="32"/>
        </w:rPr>
        <w:t>地址：双鸭山市尖山区</w:t>
      </w:r>
      <w:r>
        <w:rPr>
          <w:rFonts w:hint="default" w:ascii="仿宋_GB2312" w:hAnsi="仿宋_GB2312" w:eastAsia="仿宋_GB2312" w:cs="仿宋_GB2312"/>
          <w:kern w:val="0"/>
          <w:sz w:val="32"/>
          <w:szCs w:val="32"/>
        </w:rPr>
        <w:t>银苑街66号居家和社区养老服务中心</w:t>
      </w:r>
      <w:r>
        <w:rPr>
          <w:rFonts w:hint="eastAsia" w:ascii="仿宋_GB2312" w:hAnsi="仿宋_GB2312" w:eastAsia="仿宋_GB2312" w:cs="仿宋_GB2312"/>
          <w:kern w:val="0"/>
          <w:sz w:val="32"/>
          <w:szCs w:val="32"/>
        </w:rPr>
        <w:t>，邮编：155100，</w:t>
      </w:r>
      <w:r>
        <w:rPr>
          <w:rFonts w:hint="eastAsia" w:ascii="仿宋_GB2312" w:hAnsi="仿宋_GB2312" w:eastAsia="仿宋_GB2312" w:cs="仿宋_GB2312"/>
          <w:sz w:val="32"/>
          <w:szCs w:val="32"/>
        </w:rPr>
        <w:t>电话：0469-</w:t>
      </w:r>
      <w:r>
        <w:rPr>
          <w:rFonts w:hint="default" w:ascii="仿宋_GB2312" w:hAnsi="仿宋_GB2312" w:eastAsia="仿宋_GB2312" w:cs="仿宋_GB2312"/>
          <w:sz w:val="32"/>
          <w:szCs w:val="32"/>
        </w:rPr>
        <w:t>6699006</w:t>
      </w:r>
      <w:r>
        <w:rPr>
          <w:rFonts w:hint="eastAsia" w:ascii="仿宋_GB2312" w:hAnsi="仿宋_GB2312" w:eastAsia="仿宋_GB2312" w:cs="仿宋_GB2312"/>
          <w:sz w:val="32"/>
          <w:szCs w:val="32"/>
        </w:rPr>
        <w:t>，电子邮箱：bgs0469@163.com，负责人：曹瑞雪）。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caps w:val="0"/>
          <w:color w:val="333333"/>
          <w:spacing w:val="0"/>
          <w:sz w:val="44"/>
          <w:szCs w:val="4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8"/>
          <w:szCs w:val="1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val="0"/>
          <w:i w:val="0"/>
          <w:caps w:val="0"/>
          <w:color w:val="333333"/>
          <w:spacing w:val="0"/>
          <w:sz w:val="32"/>
          <w:szCs w:val="32"/>
        </w:rPr>
      </w:pPr>
      <w:r>
        <w:rPr>
          <w:rFonts w:hint="eastAsia" w:ascii="黑体" w:hAnsi="黑体" w:eastAsia="黑体" w:cs="黑体"/>
          <w:b w:val="0"/>
          <w:bCs w:val="0"/>
          <w:i w:val="0"/>
          <w:caps w:val="0"/>
          <w:color w:val="333333"/>
          <w:spacing w:val="0"/>
          <w:sz w:val="32"/>
          <w:szCs w:val="32"/>
          <w:shd w:val="clear" w:fill="FFFFFF"/>
        </w:rPr>
        <w:t>一、总体情况</w:t>
      </w:r>
    </w:p>
    <w:p>
      <w:pPr>
        <w:widowControl/>
        <w:spacing w:line="432" w:lineRule="auto"/>
        <w:ind w:firstLine="480"/>
        <w:rPr>
          <w:rFonts w:hint="eastAsia" w:ascii="仿宋_GB2312" w:eastAsia="仿宋_GB2312"/>
          <w:sz w:val="32"/>
          <w:szCs w:val="32"/>
        </w:rPr>
      </w:pPr>
      <w:r>
        <w:rPr>
          <w:rFonts w:hint="eastAsia" w:ascii="仿宋_GB2312" w:eastAsia="仿宋_GB2312"/>
          <w:sz w:val="32"/>
          <w:szCs w:val="32"/>
        </w:rPr>
        <w:t>2021年，双鸭山市</w:t>
      </w:r>
      <w:r>
        <w:rPr>
          <w:rFonts w:hint="eastAsia" w:ascii="仿宋_GB2312" w:eastAsia="仿宋_GB2312"/>
          <w:sz w:val="32"/>
          <w:szCs w:val="32"/>
          <w:lang w:val="en-US" w:eastAsia="zh-CN"/>
        </w:rPr>
        <w:t>民政</w:t>
      </w:r>
      <w:r>
        <w:rPr>
          <w:rFonts w:hint="eastAsia" w:ascii="仿宋_GB2312" w:eastAsia="仿宋_GB2312"/>
          <w:sz w:val="32"/>
          <w:szCs w:val="32"/>
        </w:rPr>
        <w:t>局认真贯彻落实《双鸭山市人民政府办公室关于印发双鸭山市2021年政务公开工作实施方案的通知》要求，把全面推进政务公开作为维护群众合法权益</w:t>
      </w:r>
      <w:r>
        <w:rPr>
          <w:rFonts w:hint="eastAsia" w:ascii="仿宋_GB2312" w:eastAsia="仿宋_GB2312"/>
          <w:sz w:val="32"/>
          <w:szCs w:val="32"/>
          <w:lang w:val="en-US" w:eastAsia="zh-CN"/>
        </w:rPr>
        <w:t>的有力措施，在</w:t>
      </w:r>
      <w:r>
        <w:rPr>
          <w:rFonts w:hint="eastAsia" w:ascii="仿宋_GB2312" w:hAnsi="宋体" w:eastAsia="仿宋_GB2312" w:cs="宋体"/>
          <w:color w:val="333333"/>
          <w:kern w:val="0"/>
          <w:sz w:val="32"/>
          <w:szCs w:val="32"/>
        </w:rPr>
        <w:t>社会组织办理、社会救助、婚姻登记</w:t>
      </w:r>
      <w:r>
        <w:rPr>
          <w:rFonts w:hint="eastAsia" w:ascii="仿宋_GB2312" w:hAnsi="宋体" w:eastAsia="仿宋_GB2312" w:cs="宋体"/>
          <w:color w:val="333333"/>
          <w:kern w:val="0"/>
          <w:sz w:val="32"/>
          <w:szCs w:val="32"/>
          <w:lang w:val="en-US" w:eastAsia="zh-CN"/>
        </w:rPr>
        <w:t>等方</w:t>
      </w:r>
      <w:r>
        <w:rPr>
          <w:rFonts w:hint="eastAsia" w:ascii="仿宋_GB2312" w:eastAsia="仿宋_GB2312"/>
          <w:sz w:val="32"/>
          <w:szCs w:val="32"/>
        </w:rPr>
        <w:t>面推进</w:t>
      </w:r>
      <w:r>
        <w:rPr>
          <w:rFonts w:hint="eastAsia" w:ascii="仿宋_GB2312" w:eastAsia="仿宋_GB2312"/>
          <w:sz w:val="32"/>
          <w:szCs w:val="32"/>
          <w:lang w:val="en-US" w:eastAsia="zh-CN"/>
        </w:rPr>
        <w:t>民政</w:t>
      </w:r>
      <w:r>
        <w:rPr>
          <w:rFonts w:hint="eastAsia" w:ascii="仿宋_GB2312" w:eastAsia="仿宋_GB2312"/>
          <w:sz w:val="32"/>
          <w:szCs w:val="32"/>
        </w:rPr>
        <w:t>系统</w:t>
      </w:r>
      <w:r>
        <w:rPr>
          <w:rFonts w:hint="eastAsia" w:ascii="仿宋_GB2312" w:eastAsia="仿宋_GB2312"/>
          <w:sz w:val="32"/>
          <w:szCs w:val="32"/>
          <w:lang w:val="en-US" w:eastAsia="zh-CN"/>
        </w:rPr>
        <w:t>信息公开</w:t>
      </w:r>
      <w:r>
        <w:rPr>
          <w:rFonts w:hint="eastAsia" w:ascii="仿宋_GB2312" w:eastAsia="仿宋_GB2312"/>
          <w:sz w:val="32"/>
          <w:szCs w:val="32"/>
        </w:rPr>
        <w:t>，实现以公开促落实、以公开整作风、以公开优环境。</w:t>
      </w:r>
    </w:p>
    <w:p>
      <w:pPr>
        <w:ind w:firstLine="640"/>
        <w:rPr>
          <w:rFonts w:hint="eastAsia" w:ascii="仿宋_GB2312" w:eastAsia="仿宋_GB2312"/>
          <w:sz w:val="32"/>
          <w:szCs w:val="32"/>
        </w:rPr>
      </w:pPr>
      <w:r>
        <w:rPr>
          <w:rFonts w:hint="eastAsia" w:ascii="楷体_GB2312" w:eastAsia="楷体_GB2312"/>
          <w:sz w:val="32"/>
          <w:szCs w:val="32"/>
        </w:rPr>
        <w:t>（一）积极推进信息主动公开。</w:t>
      </w:r>
      <w:r>
        <w:rPr>
          <w:rFonts w:hint="eastAsia" w:ascii="仿宋_GB2312" w:eastAsia="仿宋_GB2312"/>
          <w:sz w:val="32"/>
          <w:szCs w:val="32"/>
        </w:rPr>
        <w:t>坚持以公开为常态、不公开为例外的原则，依据政府信息公开条例有关规定和</w:t>
      </w:r>
      <w:r>
        <w:rPr>
          <w:rFonts w:hint="eastAsia" w:ascii="仿宋_GB2312" w:eastAsia="仿宋_GB2312"/>
          <w:sz w:val="32"/>
          <w:szCs w:val="32"/>
          <w:lang w:val="en-US" w:eastAsia="zh-CN"/>
        </w:rPr>
        <w:t>民政系统</w:t>
      </w:r>
      <w:r>
        <w:rPr>
          <w:rFonts w:hint="eastAsia" w:ascii="仿宋_GB2312" w:eastAsia="仿宋_GB2312"/>
          <w:sz w:val="32"/>
          <w:szCs w:val="32"/>
        </w:rPr>
        <w:t>工作实际，进一步完善了政府信息公开目录，确定主动公开范围，共发布各类公开信息</w:t>
      </w:r>
      <w:r>
        <w:rPr>
          <w:rFonts w:hint="eastAsia" w:ascii="仿宋_GB2312" w:eastAsia="仿宋_GB2312"/>
          <w:sz w:val="32"/>
          <w:szCs w:val="32"/>
          <w:lang w:val="en-US" w:eastAsia="zh-CN"/>
        </w:rPr>
        <w:t>10</w:t>
      </w:r>
      <w:r>
        <w:rPr>
          <w:rFonts w:hint="eastAsia" w:ascii="仿宋_GB2312" w:eastAsia="仿宋_GB2312"/>
          <w:sz w:val="32"/>
          <w:szCs w:val="32"/>
        </w:rPr>
        <w:t>余条。同时，对常规公开之外的所有事项，及时召开专题会议进行研究，进一步拓宽主动公开范围，推行阳光行政。</w:t>
      </w:r>
    </w:p>
    <w:p>
      <w:pPr>
        <w:ind w:firstLine="640"/>
        <w:rPr>
          <w:rFonts w:hint="eastAsia" w:ascii="仿宋_GB2312" w:eastAsia="仿宋_GB2312"/>
          <w:sz w:val="32"/>
          <w:szCs w:val="32"/>
        </w:rPr>
      </w:pPr>
      <w:r>
        <w:rPr>
          <w:rFonts w:hint="eastAsia" w:ascii="楷体_GB2312" w:eastAsia="楷体_GB2312"/>
          <w:sz w:val="32"/>
          <w:szCs w:val="32"/>
        </w:rPr>
        <w:t>（二）全力推进依申请公开。</w:t>
      </w:r>
      <w:r>
        <w:rPr>
          <w:rFonts w:hint="eastAsia" w:ascii="仿宋_GB2312" w:eastAsia="仿宋_GB2312"/>
          <w:sz w:val="32"/>
          <w:szCs w:val="32"/>
        </w:rPr>
        <w:t>为进一步深化和规范依申请公开工作，在年初工作会议上对此项工作作出部署，并将之纳入年度工作目标责任考核。为保障工作开展，调整充实了政务公开工作领导小组，领导小组下设办公室，负责全局政务信息公开工作的综合协调。建立接办分离机制，形成了一把手亲自抓，分管领导具体抓，各部门分工负责的依申请公开工作机制。</w:t>
      </w:r>
    </w:p>
    <w:p>
      <w:pPr>
        <w:ind w:firstLine="640"/>
        <w:rPr>
          <w:rFonts w:hint="eastAsia" w:ascii="仿宋_GB2312" w:eastAsia="仿宋_GB2312"/>
          <w:sz w:val="32"/>
          <w:szCs w:val="32"/>
        </w:rPr>
      </w:pPr>
      <w:r>
        <w:rPr>
          <w:rFonts w:hint="eastAsia" w:ascii="楷体_GB2312" w:eastAsia="楷体_GB2312"/>
          <w:sz w:val="32"/>
          <w:szCs w:val="32"/>
        </w:rPr>
        <w:t>（三）全面规范加强信息管理。</w:t>
      </w:r>
      <w:r>
        <w:rPr>
          <w:rFonts w:hint="eastAsia" w:ascii="仿宋_GB2312" w:eastAsia="仿宋_GB2312"/>
          <w:sz w:val="32"/>
          <w:szCs w:val="32"/>
        </w:rPr>
        <w:t>为确保信息公开工作的落实，我局制定了信息公开工作实施方案，建立了信息发布登记制度，坚持“一事一审”，确保信息发布做到“先审查、后公开”。各类信息做到分类清晰、体系完善、全面系统，做到一目了然。</w:t>
      </w:r>
    </w:p>
    <w:p>
      <w:pPr>
        <w:ind w:firstLine="640"/>
        <w:rPr>
          <w:rFonts w:hint="eastAsia" w:ascii="仿宋_GB2312" w:eastAsia="仿宋_GB2312"/>
          <w:sz w:val="32"/>
          <w:szCs w:val="32"/>
        </w:rPr>
      </w:pPr>
      <w:r>
        <w:rPr>
          <w:rFonts w:hint="eastAsia" w:ascii="楷体_GB2312" w:eastAsia="楷体_GB2312"/>
          <w:sz w:val="32"/>
          <w:szCs w:val="32"/>
        </w:rPr>
        <w:t>（四）细化常态化公开措施。</w:t>
      </w:r>
      <w:r>
        <w:rPr>
          <w:rFonts w:hint="eastAsia" w:ascii="仿宋_GB2312" w:eastAsia="仿宋_GB2312"/>
          <w:sz w:val="32"/>
          <w:szCs w:val="32"/>
        </w:rPr>
        <w:t>定期做好网站信息自检自查，及时更新完善网站信息，特别是做好</w:t>
      </w:r>
      <w:r>
        <w:rPr>
          <w:rFonts w:hint="eastAsia" w:ascii="仿宋_GB2312" w:eastAsia="仿宋_GB2312"/>
          <w:sz w:val="32"/>
          <w:szCs w:val="32"/>
          <w:lang w:val="en-US" w:eastAsia="zh-CN"/>
        </w:rPr>
        <w:t>社会救助</w:t>
      </w:r>
      <w:r>
        <w:rPr>
          <w:rFonts w:hint="eastAsia" w:ascii="仿宋_GB2312" w:eastAsia="仿宋_GB2312"/>
          <w:sz w:val="32"/>
          <w:szCs w:val="32"/>
        </w:rPr>
        <w:t>、</w:t>
      </w:r>
      <w:r>
        <w:rPr>
          <w:rFonts w:hint="eastAsia" w:ascii="仿宋_GB2312" w:eastAsia="仿宋_GB2312"/>
          <w:sz w:val="32"/>
          <w:szCs w:val="32"/>
          <w:lang w:val="en-US" w:eastAsia="zh-CN"/>
        </w:rPr>
        <w:t>社会福利、</w:t>
      </w:r>
      <w:r>
        <w:rPr>
          <w:rFonts w:hint="eastAsia" w:ascii="仿宋_GB2312" w:eastAsia="仿宋_GB2312"/>
          <w:sz w:val="32"/>
          <w:szCs w:val="32"/>
        </w:rPr>
        <w:t>政策解读信息公开工作，有效解决了公开内容不全面、信息更新不及时的问题。严格按照“谁制作、谁公开，谁获取、谁公开，谁主办、谁负责”的原则，确保公开信息的合法性、真实性，依法、及时、准确地公开本部门本单位制作或获取的政府信息。</w:t>
      </w:r>
    </w:p>
    <w:p>
      <w:pPr>
        <w:ind w:firstLine="640"/>
        <w:rPr>
          <w:rFonts w:hint="eastAsia" w:ascii="仿宋_GB2312" w:eastAsia="仿宋_GB2312"/>
          <w:sz w:val="32"/>
          <w:szCs w:val="32"/>
        </w:rPr>
      </w:pPr>
      <w:r>
        <w:rPr>
          <w:rFonts w:hint="eastAsia" w:ascii="楷体_GB2312" w:eastAsia="楷体_GB2312"/>
          <w:sz w:val="32"/>
          <w:szCs w:val="32"/>
        </w:rPr>
        <w:t>（五）开展监督检查。</w:t>
      </w:r>
      <w:r>
        <w:rPr>
          <w:rFonts w:hint="eastAsia" w:ascii="仿宋_GB2312" w:eastAsia="仿宋_GB2312"/>
          <w:sz w:val="32"/>
          <w:szCs w:val="32"/>
        </w:rPr>
        <w:t>抓实检查督办，采取定期与随机相结合的形式，对各部门主动公开信息情况进行检查，并要求各部门强化自查。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val="0"/>
          <w:i w:val="0"/>
          <w:caps w:val="0"/>
          <w:color w:val="333333"/>
          <w:spacing w:val="0"/>
          <w:sz w:val="32"/>
          <w:szCs w:val="32"/>
        </w:rPr>
      </w:pPr>
      <w:r>
        <w:rPr>
          <w:rFonts w:hint="eastAsia" w:ascii="黑体" w:hAnsi="黑体" w:eastAsia="黑体" w:cs="黑体"/>
          <w:b w:val="0"/>
          <w:bCs w:val="0"/>
          <w:i w:val="0"/>
          <w:caps w:val="0"/>
          <w:color w:val="333333"/>
          <w:spacing w:val="0"/>
          <w:sz w:val="32"/>
          <w:szCs w:val="32"/>
          <w:shd w:val="clear" w:fill="FFFFFF"/>
        </w:rPr>
        <w:t>二、主动公开政府信息情况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caps w:val="0"/>
          <w:color w:val="333333"/>
          <w:spacing w:val="0"/>
          <w:sz w:val="18"/>
          <w:szCs w:val="18"/>
        </w:rPr>
      </w:pPr>
    </w:p>
    <w:tbl>
      <w:tblPr>
        <w:tblStyle w:val="5"/>
        <w:tblW w:w="9735" w:type="dxa"/>
        <w:jc w:val="center"/>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430"/>
        <w:gridCol w:w="2430"/>
        <w:gridCol w:w="2430"/>
        <w:gridCol w:w="2445"/>
      </w:tblGrid>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PrEx>
        <w:trPr>
          <w:trHeight w:val="345" w:hRule="atLeast"/>
          <w:jc w:val="center"/>
        </w:trPr>
        <w:tc>
          <w:tcPr>
            <w:tcW w:w="9735"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9"/>
                <w:szCs w:val="19"/>
              </w:rPr>
              <w:t>第二十条第（一）项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9"/>
                <w:szCs w:val="19"/>
              </w:rPr>
              <w:t>信息内容</w:t>
            </w:r>
          </w:p>
        </w:tc>
        <w:tc>
          <w:tcPr>
            <w:tcW w:w="243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9"/>
                <w:szCs w:val="19"/>
              </w:rPr>
              <w:t>本年</w:t>
            </w:r>
            <w:r>
              <w:rPr>
                <w:rFonts w:hint="eastAsia" w:ascii="宋体" w:hAnsi="宋体" w:eastAsia="宋体" w:cs="宋体"/>
                <w:i w:val="0"/>
                <w:caps w:val="0"/>
                <w:color w:val="333333"/>
                <w:spacing w:val="0"/>
                <w:sz w:val="19"/>
                <w:szCs w:val="19"/>
              </w:rPr>
              <w:t>制发件数</w:t>
            </w:r>
          </w:p>
        </w:tc>
        <w:tc>
          <w:tcPr>
            <w:tcW w:w="243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9"/>
                <w:szCs w:val="19"/>
              </w:rPr>
              <w:t>本年废止件数</w:t>
            </w:r>
          </w:p>
        </w:tc>
        <w:tc>
          <w:tcPr>
            <w:tcW w:w="243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9"/>
                <w:szCs w:val="19"/>
              </w:rPr>
              <w:t>现行有效件</w:t>
            </w:r>
            <w:r>
              <w:rPr>
                <w:rFonts w:hint="eastAsia" w:ascii="宋体" w:hAnsi="宋体" w:eastAsia="宋体" w:cs="宋体"/>
                <w:i w:val="0"/>
                <w:caps w:val="0"/>
                <w:color w:val="333333"/>
                <w:spacing w:val="0"/>
                <w:sz w:val="19"/>
                <w:szCs w:val="19"/>
              </w:rPr>
              <w:t>数</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sz w:val="19"/>
                <w:szCs w:val="19"/>
              </w:rPr>
              <w:t>规章</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sz w:val="19"/>
                <w:szCs w:val="19"/>
              </w:rPr>
              <w:t>行政规范性文件</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1</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1</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2</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9"/>
                <w:szCs w:val="19"/>
              </w:rPr>
              <w:t>第二十条第（五）项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9"/>
                <w:szCs w:val="19"/>
              </w:rPr>
              <w:t>信息内容</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9"/>
                <w:szCs w:val="19"/>
              </w:rPr>
              <w:t>本年处理决定数量</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sz w:val="19"/>
                <w:szCs w:val="19"/>
              </w:rPr>
              <w:t>行政许可</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6</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9"/>
                <w:szCs w:val="19"/>
              </w:rPr>
              <w:t>第二十条第（六）项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19"/>
                <w:szCs w:val="19"/>
              </w:rPr>
              <w:t>信息内容</w:t>
            </w:r>
          </w:p>
        </w:tc>
        <w:tc>
          <w:tcPr>
            <w:tcW w:w="7305" w:type="dxa"/>
            <w:gridSpan w:val="3"/>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19"/>
                <w:szCs w:val="19"/>
              </w:rPr>
              <w:t>本年处理决定数量</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sz w:val="19"/>
                <w:szCs w:val="19"/>
              </w:rPr>
              <w:t>行政处罚</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sz w:val="19"/>
                <w:szCs w:val="19"/>
              </w:rPr>
              <w:t>行政强制</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9"/>
                <w:szCs w:val="19"/>
              </w:rPr>
              <w:t>第二十条第（八）项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9"/>
                <w:szCs w:val="19"/>
              </w:rPr>
              <w:t>信息内容</w:t>
            </w:r>
          </w:p>
        </w:tc>
        <w:tc>
          <w:tcPr>
            <w:tcW w:w="7305" w:type="dxa"/>
            <w:gridSpan w:val="3"/>
            <w:tcBorders>
              <w:top w:val="nil"/>
              <w:left w:val="nil"/>
              <w:bottom w:val="single" w:color="auto" w:sz="6" w:space="0"/>
              <w:right w:val="single" w:color="000000"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9"/>
                <w:szCs w:val="19"/>
              </w:rPr>
              <w:t>本年收费金额（单位：万元）</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sz w:val="19"/>
                <w:szCs w:val="19"/>
              </w:rPr>
              <w:t>行政事业性收费</w:t>
            </w:r>
          </w:p>
        </w:tc>
        <w:tc>
          <w:tcPr>
            <w:tcW w:w="7305" w:type="dxa"/>
            <w:gridSpan w:val="3"/>
            <w:tcBorders>
              <w:top w:val="nil"/>
              <w:left w:val="nil"/>
              <w:bottom w:val="single" w:color="auto" w:sz="6" w:space="0"/>
              <w:right w:val="single" w:color="000000"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caps w:val="0"/>
          <w:color w:val="333333"/>
          <w:spacing w:val="0"/>
          <w:sz w:val="18"/>
          <w:szCs w:val="1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left"/>
        <w:rPr>
          <w:rFonts w:hint="eastAsia" w:ascii="黑体" w:hAnsi="黑体" w:eastAsia="黑体" w:cs="黑体"/>
          <w:b w:val="0"/>
          <w:bCs w:val="0"/>
          <w:i w:val="0"/>
          <w:caps w:val="0"/>
          <w:color w:val="333333"/>
          <w:spacing w:val="0"/>
          <w:sz w:val="32"/>
          <w:szCs w:val="32"/>
        </w:rPr>
      </w:pPr>
      <w:r>
        <w:rPr>
          <w:rFonts w:hint="eastAsia" w:ascii="黑体" w:hAnsi="黑体" w:eastAsia="黑体" w:cs="黑体"/>
          <w:b w:val="0"/>
          <w:bCs w:val="0"/>
          <w:i w:val="0"/>
          <w:caps w:val="0"/>
          <w:color w:val="333333"/>
          <w:spacing w:val="0"/>
          <w:sz w:val="32"/>
          <w:szCs w:val="32"/>
          <w:shd w:val="clear" w:fill="FFFFFF"/>
        </w:rPr>
        <w:t>三、收到和处理政府信息公开申请情况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caps w:val="0"/>
          <w:color w:val="333333"/>
          <w:spacing w:val="0"/>
          <w:sz w:val="18"/>
          <w:szCs w:val="18"/>
        </w:rPr>
      </w:pPr>
    </w:p>
    <w:tbl>
      <w:tblPr>
        <w:tblStyle w:val="5"/>
        <w:tblW w:w="9750" w:type="dxa"/>
        <w:jc w:val="center"/>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60"/>
        <w:gridCol w:w="941"/>
        <w:gridCol w:w="3205"/>
        <w:gridCol w:w="692"/>
        <w:gridCol w:w="692"/>
        <w:gridCol w:w="692"/>
        <w:gridCol w:w="692"/>
        <w:gridCol w:w="692"/>
        <w:gridCol w:w="692"/>
        <w:gridCol w:w="692"/>
      </w:tblGrid>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4906" w:type="dxa"/>
            <w:gridSpan w:val="3"/>
            <w:vMerge w:val="restart"/>
            <w:tcBorders>
              <w:top w:val="single" w:color="auto" w:sz="6" w:space="0"/>
              <w:left w:val="single" w:color="auto" w:sz="6" w:space="0"/>
              <w:bottom w:val="outset"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caps w:val="0"/>
                <w:color w:val="333333"/>
                <w:spacing w:val="0"/>
                <w:sz w:val="19"/>
                <w:szCs w:val="19"/>
              </w:rPr>
              <w:t>（本列数据的勾稽关系为：第一项加第二项之和，等于第三项加第四项之和）</w:t>
            </w:r>
          </w:p>
        </w:tc>
        <w:tc>
          <w:tcPr>
            <w:tcW w:w="4844" w:type="dxa"/>
            <w:gridSpan w:val="7"/>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rPr>
              <w:t>申请人情况</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06" w:type="dxa"/>
            <w:gridSpan w:val="3"/>
            <w:vMerge w:val="continue"/>
            <w:tcBorders>
              <w:top w:val="single" w:color="auto" w:sz="6" w:space="0"/>
              <w:left w:val="single" w:color="auto" w:sz="6" w:space="0"/>
              <w:bottom w:val="outset"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微软雅黑" w:hAnsi="微软雅黑" w:eastAsia="微软雅黑" w:cs="微软雅黑"/>
                <w:i w:val="0"/>
                <w:caps w:val="0"/>
                <w:color w:val="333333"/>
                <w:spacing w:val="0"/>
                <w:sz w:val="18"/>
                <w:szCs w:val="18"/>
              </w:rPr>
            </w:pPr>
          </w:p>
        </w:tc>
        <w:tc>
          <w:tcPr>
            <w:tcW w:w="692" w:type="dxa"/>
            <w:vMerge w:val="restart"/>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rPr>
              <w:t>自然人</w:t>
            </w:r>
          </w:p>
        </w:tc>
        <w:tc>
          <w:tcPr>
            <w:tcW w:w="3460" w:type="dxa"/>
            <w:gridSpan w:val="5"/>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rPr>
              <w:t>法人或其他组织</w:t>
            </w:r>
          </w:p>
        </w:tc>
        <w:tc>
          <w:tcPr>
            <w:tcW w:w="692" w:type="dxa"/>
            <w:vMerge w:val="restart"/>
            <w:tcBorders>
              <w:top w:val="single"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rPr>
              <w:t>总计</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06" w:type="dxa"/>
            <w:gridSpan w:val="3"/>
            <w:vMerge w:val="continue"/>
            <w:tcBorders>
              <w:top w:val="single" w:color="auto" w:sz="6" w:space="0"/>
              <w:left w:val="single" w:color="auto" w:sz="6" w:space="0"/>
              <w:bottom w:val="outset"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微软雅黑" w:hAnsi="微软雅黑" w:eastAsia="微软雅黑" w:cs="微软雅黑"/>
                <w:i w:val="0"/>
                <w:caps w:val="0"/>
                <w:color w:val="333333"/>
                <w:spacing w:val="0"/>
                <w:sz w:val="18"/>
                <w:szCs w:val="18"/>
              </w:rPr>
            </w:pPr>
          </w:p>
        </w:tc>
        <w:tc>
          <w:tcPr>
            <w:tcW w:w="692"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rPr>
              <w:t>商业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rPr>
              <w:t>企业</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rPr>
              <w:t>科研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rPr>
              <w:t>机构</w:t>
            </w:r>
          </w:p>
        </w:tc>
        <w:tc>
          <w:tcPr>
            <w:tcW w:w="692"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rPr>
              <w:t>社会公益组织</w:t>
            </w:r>
          </w:p>
        </w:tc>
        <w:tc>
          <w:tcPr>
            <w:tcW w:w="692"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rPr>
              <w:t>法律服务机构</w:t>
            </w:r>
          </w:p>
        </w:tc>
        <w:tc>
          <w:tcPr>
            <w:tcW w:w="692"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rPr>
              <w:t>其他</w:t>
            </w:r>
          </w:p>
        </w:tc>
        <w:tc>
          <w:tcPr>
            <w:tcW w:w="692" w:type="dxa"/>
            <w:vMerge w:val="continue"/>
            <w:tcBorders>
              <w:top w:val="single"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4906"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一、本年新收政府信息公开申请数量</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06"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二、上年结转政府信息公开申请数量</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restart"/>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三、本年度办理结果</w:t>
            </w:r>
          </w:p>
        </w:tc>
        <w:tc>
          <w:tcPr>
            <w:tcW w:w="4146"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（一）予以公开</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4146"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（二）部分公开</w:t>
            </w:r>
            <w:r>
              <w:rPr>
                <w:rFonts w:hint="eastAsia" w:ascii="楷体" w:hAnsi="楷体" w:eastAsia="楷体" w:cs="楷体"/>
                <w:i w:val="0"/>
                <w:caps w:val="0"/>
                <w:color w:val="333333"/>
                <w:spacing w:val="0"/>
                <w:sz w:val="19"/>
                <w:szCs w:val="19"/>
              </w:rPr>
              <w:t>（区分处理的，只计这一情形，不计其他情形）</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p>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 xml:space="preserve"> 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（三）不予公开</w:t>
            </w: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color w:val="C00000"/>
              </w:rPr>
            </w:pPr>
            <w:r>
              <w:rPr>
                <w:sz w:val="19"/>
                <w:szCs w:val="19"/>
              </w:rPr>
              <w:t>1.属于国家秘密</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color w:val="C00000"/>
              </w:rPr>
            </w:pPr>
            <w:r>
              <w:rPr>
                <w:sz w:val="19"/>
                <w:szCs w:val="19"/>
              </w:rPr>
              <w:t>2.其他法律行政法规禁止公开</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color w:val="C00000"/>
              </w:rPr>
            </w:pPr>
            <w:r>
              <w:rPr>
                <w:sz w:val="19"/>
                <w:szCs w:val="19"/>
              </w:rPr>
              <w:t>3.危及“三安全一稳定”</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color w:val="C00000"/>
              </w:rPr>
            </w:pPr>
            <w:r>
              <w:rPr>
                <w:sz w:val="19"/>
                <w:szCs w:val="19"/>
              </w:rPr>
              <w:t>4.保护第三方合法权益</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color w:val="C00000"/>
              </w:rPr>
            </w:pPr>
            <w:r>
              <w:rPr>
                <w:sz w:val="19"/>
                <w:szCs w:val="19"/>
              </w:rPr>
              <w:t>5.属于三类内部事务信息</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color w:val="C00000"/>
              </w:rPr>
            </w:pPr>
            <w:r>
              <w:rPr>
                <w:sz w:val="19"/>
                <w:szCs w:val="19"/>
              </w:rPr>
              <w:t>6.属于四类过程性信息</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color w:val="C00000"/>
              </w:rPr>
            </w:pPr>
            <w:r>
              <w:rPr>
                <w:sz w:val="19"/>
                <w:szCs w:val="19"/>
              </w:rPr>
              <w:t>7.属于行政执法案卷</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color w:val="C00000"/>
              </w:rPr>
            </w:pPr>
            <w:r>
              <w:rPr>
                <w:sz w:val="19"/>
                <w:szCs w:val="19"/>
              </w:rPr>
              <w:t>8.属于行政查询事项</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（四）无法提供</w:t>
            </w: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color w:val="C00000"/>
              </w:rPr>
            </w:pPr>
            <w:r>
              <w:rPr>
                <w:sz w:val="19"/>
                <w:szCs w:val="19"/>
              </w:rPr>
              <w:t>1.本机关不掌握相关政府信息</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color w:val="C00000"/>
              </w:rPr>
            </w:pPr>
            <w:r>
              <w:rPr>
                <w:sz w:val="19"/>
                <w:szCs w:val="19"/>
              </w:rPr>
              <w:t>2.没有现成信息需要另行制作</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color w:val="C00000"/>
              </w:rPr>
            </w:pPr>
            <w:r>
              <w:rPr>
                <w:sz w:val="19"/>
                <w:szCs w:val="19"/>
              </w:rPr>
              <w:t>3.补正后申请内容仍不明确</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（五）不予处理</w:t>
            </w: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color w:val="C00000"/>
              </w:rPr>
            </w:pPr>
            <w:r>
              <w:rPr>
                <w:sz w:val="19"/>
                <w:szCs w:val="19"/>
              </w:rPr>
              <w:t>1.信访举报投诉类申请</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color w:val="C00000"/>
              </w:rPr>
            </w:pPr>
            <w:r>
              <w:rPr>
                <w:sz w:val="19"/>
                <w:szCs w:val="19"/>
              </w:rPr>
              <w:t>2.重复申请</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color w:val="C00000"/>
              </w:rPr>
            </w:pPr>
            <w:r>
              <w:rPr>
                <w:sz w:val="19"/>
                <w:szCs w:val="19"/>
              </w:rPr>
              <w:t>3.要求提供公开出版物</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color w:val="C00000"/>
              </w:rPr>
            </w:pPr>
            <w:r>
              <w:rPr>
                <w:sz w:val="19"/>
                <w:szCs w:val="19"/>
              </w:rPr>
              <w:t>4.无正当理由大量反复申请</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5" w:hRule="atLeast"/>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3205"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color w:val="C00000"/>
              </w:rPr>
            </w:pPr>
            <w:r>
              <w:rPr>
                <w:sz w:val="19"/>
                <w:szCs w:val="19"/>
              </w:rPr>
              <w:t>5.要求行政机关确认或重新出具已获取信息</w:t>
            </w:r>
          </w:p>
        </w:tc>
        <w:tc>
          <w:tcPr>
            <w:tcW w:w="692"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restart"/>
            <w:tcBorders>
              <w:top w:val="outset"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（六）其他处理</w:t>
            </w: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color w:val="C00000"/>
              </w:rPr>
            </w:pPr>
            <w:r>
              <w:rPr>
                <w:rFonts w:hint="eastAsia" w:ascii="宋体" w:hAnsi="宋体" w:eastAsia="宋体" w:cs="宋体"/>
                <w:sz w:val="19"/>
                <w:szCs w:val="19"/>
              </w:rPr>
              <w:t>1.申请人无正当理由逾期不补正、行政机关不再处理其政府信息公开申请</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continue"/>
            <w:tcBorders>
              <w:top w:val="outset"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color w:val="C00000"/>
              </w:rPr>
            </w:pPr>
            <w:r>
              <w:rPr>
                <w:rFonts w:hint="eastAsia" w:ascii="宋体" w:hAnsi="宋体" w:eastAsia="宋体" w:cs="宋体"/>
                <w:sz w:val="19"/>
                <w:szCs w:val="19"/>
              </w:rPr>
              <w:t>2.申请人逾期未按收费通知要求缴纳费用、行政机关不再处理其政府信息公开申请</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941" w:type="dxa"/>
            <w:vMerge w:val="continue"/>
            <w:tcBorders>
              <w:top w:val="outset"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color w:val="C00000"/>
              </w:rPr>
            </w:pPr>
            <w:r>
              <w:rPr>
                <w:rFonts w:hint="eastAsia" w:ascii="宋体" w:hAnsi="宋体" w:eastAsia="宋体" w:cs="宋体"/>
                <w:sz w:val="19"/>
                <w:szCs w:val="19"/>
              </w:rPr>
              <w:t>3.其他</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default" w:ascii="微软雅黑" w:hAnsi="微软雅黑" w:eastAsia="微软雅黑" w:cs="微软雅黑"/>
                <w:i w:val="0"/>
                <w:caps w:val="0"/>
                <w:color w:val="333333"/>
                <w:spacing w:val="0"/>
                <w:sz w:val="18"/>
                <w:szCs w:val="18"/>
              </w:rPr>
            </w:pPr>
          </w:p>
        </w:tc>
        <w:tc>
          <w:tcPr>
            <w:tcW w:w="4146"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（七）总计</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06"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四、结转下年度继续办理</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left"/>
        <w:rPr>
          <w:rFonts w:hint="eastAsia" w:ascii="黑体" w:hAnsi="黑体" w:eastAsia="黑体" w:cs="黑体"/>
          <w:b w:val="0"/>
          <w:bCs w:val="0"/>
          <w:i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left"/>
        <w:rPr>
          <w:rFonts w:hint="eastAsia" w:ascii="黑体" w:hAnsi="黑体" w:eastAsia="黑体" w:cs="黑体"/>
          <w:b w:val="0"/>
          <w:bCs w:val="0"/>
          <w:i w:val="0"/>
          <w:caps w:val="0"/>
          <w:color w:val="333333"/>
          <w:spacing w:val="0"/>
          <w:sz w:val="32"/>
          <w:szCs w:val="32"/>
          <w:shd w:val="clear" w:fill="FFFFFF"/>
        </w:rPr>
      </w:pPr>
      <w:r>
        <w:rPr>
          <w:rFonts w:hint="eastAsia" w:ascii="黑体" w:hAnsi="黑体" w:eastAsia="黑体" w:cs="黑体"/>
          <w:b w:val="0"/>
          <w:bCs w:val="0"/>
          <w:i w:val="0"/>
          <w:caps w:val="0"/>
          <w:color w:val="333333"/>
          <w:spacing w:val="0"/>
          <w:sz w:val="32"/>
          <w:szCs w:val="32"/>
          <w:shd w:val="clear" w:fill="FFFFFF"/>
        </w:rPr>
        <w:t>四、政府信息公开行政复议、行政诉讼情况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8"/>
          <w:szCs w:val="18"/>
        </w:rPr>
      </w:pPr>
    </w:p>
    <w:tbl>
      <w:tblPr>
        <w:tblStyle w:val="5"/>
        <w:tblW w:w="9750" w:type="dxa"/>
        <w:jc w:val="center"/>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50"/>
        <w:gridCol w:w="650"/>
        <w:gridCol w:w="650"/>
        <w:gridCol w:w="650"/>
        <w:gridCol w:w="650"/>
        <w:gridCol w:w="650"/>
        <w:gridCol w:w="650"/>
        <w:gridCol w:w="650"/>
        <w:gridCol w:w="650"/>
        <w:gridCol w:w="650"/>
        <w:gridCol w:w="650"/>
        <w:gridCol w:w="650"/>
        <w:gridCol w:w="650"/>
        <w:gridCol w:w="650"/>
        <w:gridCol w:w="650"/>
      </w:tblGrid>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321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333333"/>
                <w:spacing w:val="0"/>
                <w:sz w:val="19"/>
                <w:szCs w:val="19"/>
              </w:rPr>
              <w:t>行政复议</w:t>
            </w:r>
          </w:p>
        </w:tc>
        <w:tc>
          <w:tcPr>
            <w:tcW w:w="6435" w:type="dxa"/>
            <w:gridSpan w:val="10"/>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333333"/>
                <w:spacing w:val="0"/>
                <w:sz w:val="19"/>
                <w:szCs w:val="19"/>
              </w:rPr>
              <w:t>行政诉讼</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4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333333"/>
                <w:spacing w:val="0"/>
                <w:sz w:val="19"/>
                <w:szCs w:val="19"/>
              </w:rPr>
              <w:t>结果维持</w:t>
            </w:r>
          </w:p>
        </w:tc>
        <w:tc>
          <w:tcPr>
            <w:tcW w:w="64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333333"/>
                <w:spacing w:val="0"/>
                <w:sz w:val="19"/>
                <w:szCs w:val="19"/>
              </w:rPr>
              <w:t>结果</w:t>
            </w:r>
            <w:r>
              <w:rPr>
                <w:rFonts w:hint="default" w:ascii="微软雅黑" w:hAnsi="微软雅黑" w:eastAsia="微软雅黑" w:cs="微软雅黑"/>
                <w:i w:val="0"/>
                <w:caps w:val="0"/>
                <w:color w:val="333333"/>
                <w:spacing w:val="0"/>
                <w:sz w:val="19"/>
                <w:szCs w:val="19"/>
              </w:rPr>
              <w:br w:type="textWrapping"/>
            </w:r>
            <w:r>
              <w:rPr>
                <w:rFonts w:hint="eastAsia" w:ascii="宋体" w:hAnsi="宋体" w:eastAsia="宋体" w:cs="宋体"/>
                <w:i w:val="0"/>
                <w:caps w:val="0"/>
                <w:color w:val="333333"/>
                <w:spacing w:val="0"/>
                <w:sz w:val="19"/>
                <w:szCs w:val="19"/>
              </w:rPr>
              <w:t>纠正</w:t>
            </w:r>
          </w:p>
        </w:tc>
        <w:tc>
          <w:tcPr>
            <w:tcW w:w="64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333333"/>
                <w:spacing w:val="0"/>
                <w:sz w:val="19"/>
                <w:szCs w:val="19"/>
              </w:rPr>
              <w:t>其他</w:t>
            </w:r>
            <w:r>
              <w:rPr>
                <w:rFonts w:hint="default" w:ascii="微软雅黑" w:hAnsi="微软雅黑" w:eastAsia="微软雅黑" w:cs="微软雅黑"/>
                <w:i w:val="0"/>
                <w:caps w:val="0"/>
                <w:color w:val="333333"/>
                <w:spacing w:val="0"/>
                <w:sz w:val="19"/>
                <w:szCs w:val="19"/>
              </w:rPr>
              <w:br w:type="textWrapping"/>
            </w:r>
            <w:r>
              <w:rPr>
                <w:rFonts w:hint="eastAsia" w:ascii="宋体" w:hAnsi="宋体" w:eastAsia="宋体" w:cs="宋体"/>
                <w:i w:val="0"/>
                <w:caps w:val="0"/>
                <w:color w:val="333333"/>
                <w:spacing w:val="0"/>
                <w:sz w:val="19"/>
                <w:szCs w:val="19"/>
              </w:rPr>
              <w:t>结果</w:t>
            </w:r>
          </w:p>
        </w:tc>
        <w:tc>
          <w:tcPr>
            <w:tcW w:w="64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333333"/>
                <w:spacing w:val="0"/>
                <w:sz w:val="19"/>
                <w:szCs w:val="19"/>
              </w:rPr>
              <w:t>尚未</w:t>
            </w:r>
            <w:r>
              <w:rPr>
                <w:rFonts w:hint="default" w:ascii="微软雅黑" w:hAnsi="微软雅黑" w:eastAsia="微软雅黑" w:cs="微软雅黑"/>
                <w:i w:val="0"/>
                <w:caps w:val="0"/>
                <w:color w:val="333333"/>
                <w:spacing w:val="0"/>
                <w:sz w:val="19"/>
                <w:szCs w:val="19"/>
              </w:rPr>
              <w:br w:type="textWrapping"/>
            </w:r>
            <w:r>
              <w:rPr>
                <w:rFonts w:hint="eastAsia" w:ascii="宋体" w:hAnsi="宋体" w:eastAsia="宋体" w:cs="宋体"/>
                <w:i w:val="0"/>
                <w:caps w:val="0"/>
                <w:color w:val="333333"/>
                <w:spacing w:val="0"/>
                <w:sz w:val="19"/>
                <w:szCs w:val="19"/>
              </w:rPr>
              <w:t>审结</w:t>
            </w:r>
          </w:p>
        </w:tc>
        <w:tc>
          <w:tcPr>
            <w:tcW w:w="64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333333"/>
                <w:spacing w:val="0"/>
                <w:sz w:val="19"/>
                <w:szCs w:val="19"/>
              </w:rPr>
              <w:t>总计</w:t>
            </w:r>
          </w:p>
        </w:tc>
        <w:tc>
          <w:tcPr>
            <w:tcW w:w="321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333333"/>
                <w:spacing w:val="0"/>
                <w:sz w:val="19"/>
                <w:szCs w:val="19"/>
              </w:rPr>
              <w:t>未经复议直接起诉</w:t>
            </w:r>
          </w:p>
        </w:tc>
        <w:tc>
          <w:tcPr>
            <w:tcW w:w="321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333333"/>
                <w:spacing w:val="0"/>
                <w:sz w:val="19"/>
                <w:szCs w:val="19"/>
              </w:rPr>
              <w:t>复议后起诉</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微软雅黑" w:hAnsi="微软雅黑" w:eastAsia="微软雅黑" w:cs="微软雅黑"/>
                <w:i w:val="0"/>
                <w:caps w:val="0"/>
                <w:color w:val="333333"/>
                <w:spacing w:val="0"/>
                <w:sz w:val="18"/>
                <w:szCs w:val="18"/>
              </w:rPr>
            </w:pPr>
          </w:p>
        </w:tc>
        <w:tc>
          <w:tcPr>
            <w:tcW w:w="6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微软雅黑" w:hAnsi="微软雅黑" w:eastAsia="微软雅黑" w:cs="微软雅黑"/>
                <w:i w:val="0"/>
                <w:caps w:val="0"/>
                <w:color w:val="333333"/>
                <w:spacing w:val="0"/>
                <w:sz w:val="18"/>
                <w:szCs w:val="18"/>
              </w:rPr>
            </w:pPr>
          </w:p>
        </w:tc>
        <w:tc>
          <w:tcPr>
            <w:tcW w:w="64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微软雅黑" w:hAnsi="微软雅黑" w:eastAsia="微软雅黑" w:cs="微软雅黑"/>
                <w:i w:val="0"/>
                <w:caps w:val="0"/>
                <w:color w:val="333333"/>
                <w:spacing w:val="0"/>
                <w:sz w:val="18"/>
                <w:szCs w:val="18"/>
              </w:rPr>
            </w:pPr>
          </w:p>
        </w:tc>
        <w:tc>
          <w:tcPr>
            <w:tcW w:w="64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微软雅黑" w:hAnsi="微软雅黑" w:eastAsia="微软雅黑" w:cs="微软雅黑"/>
                <w:i w:val="0"/>
                <w:caps w:val="0"/>
                <w:color w:val="333333"/>
                <w:spacing w:val="0"/>
                <w:sz w:val="18"/>
                <w:szCs w:val="18"/>
              </w:rPr>
            </w:pPr>
          </w:p>
        </w:tc>
        <w:tc>
          <w:tcPr>
            <w:tcW w:w="64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微软雅黑" w:hAnsi="微软雅黑" w:eastAsia="微软雅黑" w:cs="微软雅黑"/>
                <w:i w:val="0"/>
                <w:caps w:val="0"/>
                <w:color w:val="333333"/>
                <w:spacing w:val="0"/>
                <w:sz w:val="18"/>
                <w:szCs w:val="18"/>
              </w:rPr>
            </w:pPr>
          </w:p>
        </w:tc>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333333"/>
                <w:spacing w:val="0"/>
                <w:sz w:val="19"/>
                <w:szCs w:val="19"/>
              </w:rPr>
              <w:t>结果</w:t>
            </w:r>
            <w:r>
              <w:rPr>
                <w:rFonts w:hint="default" w:ascii="微软雅黑" w:hAnsi="微软雅黑" w:eastAsia="微软雅黑" w:cs="微软雅黑"/>
                <w:i w:val="0"/>
                <w:caps w:val="0"/>
                <w:color w:val="333333"/>
                <w:spacing w:val="0"/>
                <w:sz w:val="19"/>
                <w:szCs w:val="19"/>
              </w:rPr>
              <w:br w:type="textWrapping"/>
            </w:r>
            <w:r>
              <w:rPr>
                <w:rFonts w:hint="eastAsia" w:ascii="宋体" w:hAnsi="宋体" w:eastAsia="宋体" w:cs="宋体"/>
                <w:i w:val="0"/>
                <w:caps w:val="0"/>
                <w:color w:val="333333"/>
                <w:spacing w:val="0"/>
                <w:sz w:val="19"/>
                <w:szCs w:val="19"/>
              </w:rPr>
              <w:t>维持</w:t>
            </w:r>
          </w:p>
        </w:tc>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333333"/>
                <w:spacing w:val="0"/>
                <w:sz w:val="19"/>
                <w:szCs w:val="19"/>
              </w:rPr>
              <w:t>结果</w:t>
            </w:r>
            <w:r>
              <w:rPr>
                <w:rFonts w:hint="default" w:ascii="微软雅黑" w:hAnsi="微软雅黑" w:eastAsia="微软雅黑" w:cs="微软雅黑"/>
                <w:i w:val="0"/>
                <w:caps w:val="0"/>
                <w:color w:val="333333"/>
                <w:spacing w:val="0"/>
                <w:sz w:val="19"/>
                <w:szCs w:val="19"/>
              </w:rPr>
              <w:br w:type="textWrapping"/>
            </w:r>
            <w:r>
              <w:rPr>
                <w:rFonts w:hint="eastAsia" w:ascii="宋体" w:hAnsi="宋体" w:eastAsia="宋体" w:cs="宋体"/>
                <w:i w:val="0"/>
                <w:caps w:val="0"/>
                <w:color w:val="333333"/>
                <w:spacing w:val="0"/>
                <w:sz w:val="19"/>
                <w:szCs w:val="19"/>
              </w:rPr>
              <w:t>纠正</w:t>
            </w: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333333"/>
                <w:spacing w:val="0"/>
                <w:sz w:val="19"/>
                <w:szCs w:val="19"/>
              </w:rPr>
              <w:t>其他</w:t>
            </w:r>
            <w:r>
              <w:rPr>
                <w:rFonts w:hint="default" w:ascii="微软雅黑" w:hAnsi="微软雅黑" w:eastAsia="微软雅黑" w:cs="微软雅黑"/>
                <w:i w:val="0"/>
                <w:caps w:val="0"/>
                <w:color w:val="333333"/>
                <w:spacing w:val="0"/>
                <w:sz w:val="19"/>
                <w:szCs w:val="19"/>
              </w:rPr>
              <w:br w:type="textWrapping"/>
            </w:r>
            <w:r>
              <w:rPr>
                <w:rFonts w:hint="eastAsia" w:ascii="宋体" w:hAnsi="宋体" w:eastAsia="宋体" w:cs="宋体"/>
                <w:i w:val="0"/>
                <w:caps w:val="0"/>
                <w:color w:val="333333"/>
                <w:spacing w:val="0"/>
                <w:sz w:val="19"/>
                <w:szCs w:val="19"/>
              </w:rPr>
              <w:t>结果</w:t>
            </w: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333333"/>
                <w:spacing w:val="0"/>
                <w:sz w:val="19"/>
                <w:szCs w:val="19"/>
              </w:rPr>
              <w:t>尚未</w:t>
            </w:r>
            <w:r>
              <w:rPr>
                <w:rFonts w:hint="default" w:ascii="微软雅黑" w:hAnsi="微软雅黑" w:eastAsia="微软雅黑" w:cs="微软雅黑"/>
                <w:i w:val="0"/>
                <w:caps w:val="0"/>
                <w:color w:val="333333"/>
                <w:spacing w:val="0"/>
                <w:sz w:val="19"/>
                <w:szCs w:val="19"/>
              </w:rPr>
              <w:br w:type="textWrapping"/>
            </w:r>
            <w:r>
              <w:rPr>
                <w:rFonts w:hint="eastAsia" w:ascii="宋体" w:hAnsi="宋体" w:eastAsia="宋体" w:cs="宋体"/>
                <w:i w:val="0"/>
                <w:caps w:val="0"/>
                <w:color w:val="333333"/>
                <w:spacing w:val="0"/>
                <w:sz w:val="19"/>
                <w:szCs w:val="19"/>
              </w:rPr>
              <w:t>审结</w:t>
            </w: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19"/>
                <w:szCs w:val="19"/>
              </w:rPr>
              <w:t>总计</w:t>
            </w: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333333"/>
                <w:spacing w:val="0"/>
                <w:sz w:val="19"/>
                <w:szCs w:val="19"/>
              </w:rPr>
              <w:t>结果</w:t>
            </w:r>
            <w:r>
              <w:rPr>
                <w:rFonts w:hint="default" w:ascii="微软雅黑" w:hAnsi="微软雅黑" w:eastAsia="微软雅黑" w:cs="微软雅黑"/>
                <w:i w:val="0"/>
                <w:caps w:val="0"/>
                <w:color w:val="333333"/>
                <w:spacing w:val="0"/>
                <w:sz w:val="19"/>
                <w:szCs w:val="19"/>
              </w:rPr>
              <w:br w:type="textWrapping"/>
            </w:r>
            <w:r>
              <w:rPr>
                <w:rFonts w:hint="eastAsia" w:ascii="宋体" w:hAnsi="宋体" w:eastAsia="宋体" w:cs="宋体"/>
                <w:i w:val="0"/>
                <w:caps w:val="0"/>
                <w:color w:val="333333"/>
                <w:spacing w:val="0"/>
                <w:sz w:val="19"/>
                <w:szCs w:val="19"/>
              </w:rPr>
              <w:t>维持</w:t>
            </w: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333333"/>
                <w:spacing w:val="0"/>
                <w:sz w:val="19"/>
                <w:szCs w:val="19"/>
              </w:rPr>
              <w:t>结果</w:t>
            </w:r>
            <w:r>
              <w:rPr>
                <w:rFonts w:hint="default" w:ascii="微软雅黑" w:hAnsi="微软雅黑" w:eastAsia="微软雅黑" w:cs="微软雅黑"/>
                <w:i w:val="0"/>
                <w:caps w:val="0"/>
                <w:color w:val="333333"/>
                <w:spacing w:val="0"/>
                <w:sz w:val="19"/>
                <w:szCs w:val="19"/>
              </w:rPr>
              <w:br w:type="textWrapping"/>
            </w:r>
            <w:r>
              <w:rPr>
                <w:rFonts w:hint="eastAsia" w:ascii="宋体" w:hAnsi="宋体" w:eastAsia="宋体" w:cs="宋体"/>
                <w:i w:val="0"/>
                <w:caps w:val="0"/>
                <w:color w:val="333333"/>
                <w:spacing w:val="0"/>
                <w:sz w:val="19"/>
                <w:szCs w:val="19"/>
              </w:rPr>
              <w:t>纠正</w:t>
            </w: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19"/>
                <w:szCs w:val="19"/>
              </w:rPr>
              <w:t>其他</w:t>
            </w:r>
            <w:r>
              <w:rPr>
                <w:rFonts w:hint="default" w:ascii="微软雅黑" w:hAnsi="微软雅黑" w:eastAsia="微软雅黑" w:cs="微软雅黑"/>
                <w:i w:val="0"/>
                <w:caps w:val="0"/>
                <w:color w:val="000000"/>
                <w:spacing w:val="0"/>
                <w:sz w:val="19"/>
                <w:szCs w:val="19"/>
              </w:rPr>
              <w:br w:type="textWrapping"/>
            </w:r>
            <w:r>
              <w:rPr>
                <w:rFonts w:hint="eastAsia" w:ascii="宋体" w:hAnsi="宋体" w:eastAsia="宋体" w:cs="宋体"/>
                <w:i w:val="0"/>
                <w:caps w:val="0"/>
                <w:color w:val="000000"/>
                <w:spacing w:val="0"/>
                <w:sz w:val="19"/>
                <w:szCs w:val="19"/>
              </w:rPr>
              <w:t>结果</w:t>
            </w: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333333"/>
                <w:spacing w:val="0"/>
                <w:sz w:val="19"/>
                <w:szCs w:val="19"/>
              </w:rPr>
              <w:t>尚未</w:t>
            </w:r>
            <w:r>
              <w:rPr>
                <w:rFonts w:hint="default" w:ascii="微软雅黑" w:hAnsi="微软雅黑" w:eastAsia="微软雅黑" w:cs="微软雅黑"/>
                <w:i w:val="0"/>
                <w:caps w:val="0"/>
                <w:color w:val="333333"/>
                <w:spacing w:val="0"/>
                <w:sz w:val="19"/>
                <w:szCs w:val="19"/>
              </w:rPr>
              <w:br w:type="textWrapping"/>
            </w:r>
            <w:r>
              <w:rPr>
                <w:rFonts w:hint="eastAsia" w:ascii="宋体" w:hAnsi="宋体" w:eastAsia="宋体" w:cs="宋体"/>
                <w:i w:val="0"/>
                <w:caps w:val="0"/>
                <w:color w:val="333333"/>
                <w:spacing w:val="0"/>
                <w:sz w:val="19"/>
                <w:szCs w:val="19"/>
              </w:rPr>
              <w:t>审结</w:t>
            </w: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19"/>
                <w:szCs w:val="19"/>
              </w:rPr>
              <w:t>总计</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center"/>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sz w:val="18"/>
                <w:szCs w:val="18"/>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caps w:val="0"/>
          <w:color w:val="333333"/>
          <w:spacing w:val="0"/>
          <w:sz w:val="18"/>
          <w:szCs w:val="1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left"/>
        <w:rPr>
          <w:rFonts w:hint="eastAsia" w:ascii="黑体" w:hAnsi="黑体" w:eastAsia="黑体" w:cs="黑体"/>
          <w:b w:val="0"/>
          <w:bCs w:val="0"/>
          <w:i w:val="0"/>
          <w:caps w:val="0"/>
          <w:color w:val="333333"/>
          <w:spacing w:val="0"/>
          <w:sz w:val="32"/>
          <w:szCs w:val="32"/>
          <w:shd w:val="clear" w:fill="FFFFFF"/>
        </w:rPr>
      </w:pPr>
      <w:r>
        <w:rPr>
          <w:rFonts w:hint="eastAsia" w:ascii="黑体" w:hAnsi="黑体" w:eastAsia="黑体" w:cs="黑体"/>
          <w:b w:val="0"/>
          <w:bCs w:val="0"/>
          <w:i w:val="0"/>
          <w:caps w:val="0"/>
          <w:color w:val="333333"/>
          <w:spacing w:val="0"/>
          <w:sz w:val="32"/>
          <w:szCs w:val="32"/>
          <w:shd w:val="clear" w:fill="FFFFFF"/>
        </w:rPr>
        <w:t>五、存在的主要问题及改进情况</w:t>
      </w:r>
    </w:p>
    <w:p>
      <w:pPr>
        <w:widowControl/>
        <w:shd w:val="clear" w:color="auto" w:fill="FFFFFF"/>
        <w:ind w:firstLine="480"/>
        <w:rPr>
          <w:rFonts w:hint="eastAsia" w:ascii="黑体" w:eastAsia="黑体" w:cs="宋体"/>
          <w:color w:val="333333"/>
          <w:kern w:val="0"/>
          <w:sz w:val="32"/>
          <w:szCs w:val="32"/>
        </w:rPr>
      </w:pPr>
      <w:r>
        <w:rPr>
          <w:rFonts w:hint="eastAsia" w:ascii="仿宋_GB2312" w:eastAsia="仿宋_GB2312"/>
          <w:sz w:val="32"/>
          <w:szCs w:val="32"/>
        </w:rPr>
        <w:t>2021年，市</w:t>
      </w:r>
      <w:r>
        <w:rPr>
          <w:rFonts w:hint="eastAsia" w:ascii="仿宋_GB2312" w:eastAsia="仿宋_GB2312"/>
          <w:sz w:val="32"/>
          <w:szCs w:val="32"/>
          <w:lang w:val="en-US" w:eastAsia="zh-CN"/>
        </w:rPr>
        <w:t>民政</w:t>
      </w:r>
      <w:r>
        <w:rPr>
          <w:rFonts w:hint="eastAsia" w:ascii="仿宋_GB2312" w:eastAsia="仿宋_GB2312"/>
          <w:sz w:val="32"/>
          <w:szCs w:val="32"/>
        </w:rPr>
        <w:t xml:space="preserve">局政务公开工作虽然取得了一定的成效，但也存在一些不足之处：一是政务公开的时效性有待提高。二是政务公开干部队伍建设需进一步加强。三是一些干部职工对政务公开工作认识还不够到位。为此，在下一步工作中，我局将按照国家、省、市的政务公开工作部署，积极采取措施，进一步加强政务公开工作。   </w:t>
      </w:r>
    </w:p>
    <w:p>
      <w:pPr>
        <w:ind w:firstLine="640"/>
        <w:rPr>
          <w:rFonts w:hint="eastAsia" w:ascii="仿宋_GB2312" w:eastAsia="仿宋_GB2312"/>
          <w:sz w:val="32"/>
          <w:szCs w:val="32"/>
        </w:rPr>
      </w:pPr>
      <w:r>
        <w:rPr>
          <w:rFonts w:hint="eastAsia" w:ascii="楷体_GB2312" w:eastAsia="楷体_GB2312"/>
          <w:sz w:val="32"/>
          <w:szCs w:val="32"/>
        </w:rPr>
        <w:t>（一）积极主动公开信息。</w:t>
      </w:r>
      <w:r>
        <w:rPr>
          <w:rFonts w:hint="eastAsia" w:ascii="仿宋_GB2312" w:eastAsia="仿宋_GB2312"/>
          <w:sz w:val="32"/>
          <w:szCs w:val="32"/>
        </w:rPr>
        <w:t>将门户网站作为政务公开的重要平台，突出抓好以决策、执行、管理、服务、结果“五公开”为重点的主动公开工作。进一步明确公开范围和时限，保证网站信息供应，有效解决公开内容不全面、信息更新不及时的问题。加快推进“互联网+政务服务”工作，有效整合政务信息资源。</w:t>
      </w:r>
    </w:p>
    <w:p>
      <w:pPr>
        <w:ind w:firstLine="640"/>
        <w:rPr>
          <w:rFonts w:hint="eastAsia" w:ascii="仿宋_GB2312" w:eastAsia="仿宋_GB2312"/>
          <w:sz w:val="32"/>
          <w:szCs w:val="32"/>
        </w:rPr>
      </w:pPr>
      <w:r>
        <w:rPr>
          <w:rFonts w:hint="eastAsia" w:ascii="楷体_GB2312" w:eastAsia="楷体_GB2312"/>
          <w:sz w:val="32"/>
          <w:szCs w:val="32"/>
        </w:rPr>
        <w:t>（二）及时办理依申请公开。</w:t>
      </w:r>
      <w:r>
        <w:rPr>
          <w:rFonts w:hint="eastAsia" w:ascii="仿宋_GB2312" w:eastAsia="仿宋_GB2312"/>
          <w:sz w:val="32"/>
          <w:szCs w:val="32"/>
        </w:rPr>
        <w:t>坚持依法依规、规范高效做好依申请公开工作，严格落实“先审查、后公开”机制，严格按照法定时限作出答复，切实杜绝答复不及时、不规范和不按要求答复的问题。探索建立依申请公开向主动公开转化机制，将申请量大、重复性高、涉及范围广或需要社会广泛知晓的信息进行主动公开，认真对人民群众</w:t>
      </w:r>
      <w:bookmarkStart w:id="0" w:name="_GoBack"/>
      <w:bookmarkEnd w:id="0"/>
      <w:r>
        <w:rPr>
          <w:rFonts w:hint="eastAsia" w:ascii="仿宋_GB2312" w:eastAsia="仿宋_GB2312"/>
          <w:sz w:val="32"/>
          <w:szCs w:val="32"/>
        </w:rPr>
        <w:t>做好服务。</w:t>
      </w:r>
    </w:p>
    <w:p>
      <w:pPr>
        <w:ind w:firstLine="640"/>
        <w:rPr>
          <w:rFonts w:hint="default" w:ascii="仿宋_GB2312" w:eastAsia="仿宋_GB2312"/>
          <w:color w:val="C00000"/>
          <w:sz w:val="32"/>
          <w:szCs w:val="32"/>
        </w:rPr>
      </w:pPr>
      <w:r>
        <w:rPr>
          <w:rFonts w:hint="eastAsia" w:ascii="楷体_GB2312" w:eastAsia="楷体_GB2312"/>
          <w:sz w:val="32"/>
          <w:szCs w:val="32"/>
        </w:rPr>
        <w:t>（三）做好政策解读和舆情回应。</w:t>
      </w:r>
      <w:r>
        <w:rPr>
          <w:rFonts w:hint="eastAsia" w:ascii="仿宋_GB2312" w:eastAsia="仿宋_GB2312"/>
          <w:sz w:val="32"/>
          <w:szCs w:val="32"/>
        </w:rPr>
        <w:t>按照“谁起草、谁解读”的原则，坚持政策文件与解读方案、解读材料同步组织、同步审签、同步部署“三同步”，并同时在网站公开，主动做好政策宣传、解疑释惑和权威信息发布。办好</w:t>
      </w:r>
      <w:r>
        <w:rPr>
          <w:rFonts w:hint="eastAsia" w:ascii="仿宋_GB2312" w:eastAsia="仿宋_GB2312"/>
          <w:sz w:val="32"/>
          <w:szCs w:val="32"/>
          <w:lang w:val="en-US" w:eastAsia="zh-CN"/>
        </w:rPr>
        <w:t>网络问政平台回复</w:t>
      </w:r>
      <w:r>
        <w:rPr>
          <w:rFonts w:hint="eastAsia" w:ascii="仿宋_GB2312" w:eastAsia="仿宋_GB2312"/>
          <w:sz w:val="32"/>
          <w:szCs w:val="32"/>
        </w:rPr>
        <w:t>，及时回应社会关切，加强</w:t>
      </w:r>
      <w:r>
        <w:rPr>
          <w:rFonts w:hint="eastAsia" w:ascii="仿宋_GB2312" w:eastAsia="仿宋_GB2312"/>
          <w:sz w:val="32"/>
          <w:szCs w:val="32"/>
          <w:lang w:val="en-US" w:eastAsia="zh-CN"/>
        </w:rPr>
        <w:t>民政系统</w:t>
      </w:r>
      <w:r>
        <w:rPr>
          <w:rFonts w:hint="eastAsia" w:ascii="仿宋_GB2312" w:eastAsia="仿宋_GB2312"/>
          <w:sz w:val="32"/>
          <w:szCs w:val="32"/>
        </w:rPr>
        <w:t>舆情监测，切实提升政务舆情应对能力和水平。</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left"/>
        <w:rPr>
          <w:rFonts w:hint="eastAsia" w:ascii="黑体" w:hAnsi="黑体" w:eastAsia="黑体" w:cs="黑体"/>
          <w:b w:val="0"/>
          <w:bCs w:val="0"/>
          <w:i w:val="0"/>
          <w:caps w:val="0"/>
          <w:color w:val="333333"/>
          <w:spacing w:val="0"/>
          <w:sz w:val="32"/>
          <w:szCs w:val="32"/>
          <w:shd w:val="clear" w:fill="FFFFFF"/>
        </w:rPr>
      </w:pPr>
      <w:r>
        <w:rPr>
          <w:rFonts w:hint="eastAsia" w:ascii="黑体" w:hAnsi="黑体" w:eastAsia="黑体" w:cs="黑体"/>
          <w:b w:val="0"/>
          <w:bCs w:val="0"/>
          <w:i w:val="0"/>
          <w:caps w:val="0"/>
          <w:color w:val="333333"/>
          <w:spacing w:val="0"/>
          <w:sz w:val="32"/>
          <w:szCs w:val="32"/>
          <w:shd w:val="clear" w:fill="FFFFFF"/>
        </w:rPr>
        <w:t>其他需要报告的事项</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420" w:leftChars="0" w:right="0" w:righ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无其他需要报告的事项。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DC027"/>
    <w:multiLevelType w:val="singleLevel"/>
    <w:tmpl w:val="DFFDC02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07FBFE90"/>
    <w:rsid w:val="0DCC2564"/>
    <w:rsid w:val="13C50117"/>
    <w:rsid w:val="21566DAC"/>
    <w:rsid w:val="29895E3C"/>
    <w:rsid w:val="2CDFE217"/>
    <w:rsid w:val="2D4D2014"/>
    <w:rsid w:val="40BA4B7E"/>
    <w:rsid w:val="48DA7730"/>
    <w:rsid w:val="56646524"/>
    <w:rsid w:val="57F77D19"/>
    <w:rsid w:val="677DA842"/>
    <w:rsid w:val="6CF904F5"/>
    <w:rsid w:val="7B73DC12"/>
    <w:rsid w:val="7D7A98C4"/>
    <w:rsid w:val="7F1E7D85"/>
    <w:rsid w:val="7FBFFC8A"/>
    <w:rsid w:val="B5EF3AB4"/>
    <w:rsid w:val="CCED63A2"/>
    <w:rsid w:val="DFDF82E2"/>
    <w:rsid w:val="FEDB0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p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7">
    <w:name w:val="样式1"/>
    <w:basedOn w:val="1"/>
    <w:link w:val="8"/>
    <w:qFormat/>
    <w:uiPriority w:val="0"/>
    <w:rPr>
      <w:b/>
      <w:color w:val="548235" w:themeColor="accent6" w:themeShade="BF"/>
      <w:sz w:val="28"/>
    </w:rPr>
  </w:style>
  <w:style w:type="character" w:customStyle="1" w:styleId="8">
    <w:name w:val="样式1 Char"/>
    <w:basedOn w:val="6"/>
    <w:link w:val="7"/>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47</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2020-05-10T06:11:00Z</dcterms:created>
  <dc:creator>User274</dc:creator>
  <cp:lastModifiedBy>greatwall</cp:lastModifiedBy>
  <dcterms:modified xsi:type="dcterms:W3CDTF">2022-01-29T09:23:54Z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865F0FF689FD49DFBEF5C5F526BE0D56</vt:lpwstr>
  </property>
</Properties>
</file>