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简体" w:hAnsi="方正小标宋简体" w:eastAsia="方正小标宋简体" w:cs="方正小标宋简体"/>
          <w:b w:val="0"/>
          <w:bCs w:val="0"/>
          <w:i w:val="0"/>
          <w:caps w:val="0"/>
          <w:color w:val="333333"/>
          <w:spacing w:val="0"/>
          <w:sz w:val="44"/>
          <w:szCs w:val="44"/>
          <w:u w:val="none"/>
          <w:shd w:val="clear" w:fill="FFFFFF"/>
        </w:rPr>
      </w:pPr>
      <w:r>
        <w:rPr>
          <w:rFonts w:hint="eastAsia" w:ascii="方正小标宋简体" w:hAnsi="方正小标宋简体" w:eastAsia="方正小标宋简体" w:cs="方正小标宋简体"/>
          <w:b w:val="0"/>
          <w:bCs w:val="0"/>
          <w:i w:val="0"/>
          <w:caps w:val="0"/>
          <w:color w:val="333333"/>
          <w:spacing w:val="0"/>
          <w:sz w:val="44"/>
          <w:szCs w:val="44"/>
          <w:u w:val="none"/>
          <w:shd w:val="clear" w:fill="FFFFFF"/>
          <w:lang w:eastAsia="zh-CN"/>
        </w:rPr>
        <w:t>双鸭山市</w:t>
      </w:r>
      <w:r>
        <w:rPr>
          <w:rFonts w:hint="eastAsia" w:ascii="方正小标宋简体" w:hAnsi="方正小标宋简体" w:eastAsia="方正小标宋简体" w:cs="方正小标宋简体"/>
          <w:b w:val="0"/>
          <w:bCs w:val="0"/>
          <w:i w:val="0"/>
          <w:caps w:val="0"/>
          <w:color w:val="333333"/>
          <w:spacing w:val="0"/>
          <w:sz w:val="44"/>
          <w:szCs w:val="44"/>
          <w:u w:val="none"/>
          <w:shd w:val="clear" w:fill="FFFFFF"/>
        </w:rPr>
        <w:t>推动公立医院高质量发展实施方案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bCs w:val="0"/>
          <w:i w:val="0"/>
          <w:caps w:val="0"/>
          <w:color w:val="333333"/>
          <w:spacing w:val="0"/>
          <w:sz w:val="32"/>
          <w:szCs w:val="32"/>
          <w:u w:val="none"/>
          <w:shd w:val="clear" w:fill="FFFFFF"/>
          <w:lang w:eastAsia="zh-CN"/>
        </w:rPr>
      </w:pPr>
      <w:r>
        <w:rPr>
          <w:rFonts w:hint="eastAsia" w:ascii="仿宋_GB2312" w:hAnsi="仿宋_GB2312" w:eastAsia="仿宋_GB2312" w:cs="仿宋_GB2312"/>
          <w:b w:val="0"/>
          <w:bCs w:val="0"/>
          <w:i w:val="0"/>
          <w:caps w:val="0"/>
          <w:color w:val="333333"/>
          <w:spacing w:val="0"/>
          <w:sz w:val="32"/>
          <w:szCs w:val="32"/>
          <w:u w:val="none"/>
          <w:shd w:val="clear" w:fill="FFFFFF"/>
          <w:lang w:eastAsia="zh-CN"/>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fill="FFFFFF"/>
        </w:rPr>
      </w:pPr>
      <w:r>
        <w:rPr>
          <w:rFonts w:hint="eastAsia" w:ascii="仿宋_GB2312" w:hAnsi="仿宋_GB2312" w:eastAsia="仿宋_GB2312" w:cs="仿宋_GB2312"/>
          <w:i w:val="0"/>
          <w:caps w:val="0"/>
          <w:color w:val="333333"/>
          <w:spacing w:val="0"/>
          <w:sz w:val="32"/>
          <w:szCs w:val="32"/>
          <w:u w:val="none"/>
          <w:shd w:val="clear" w:fill="FFFFFF"/>
        </w:rPr>
        <w:t>为贯彻落实《</w:t>
      </w:r>
      <w:r>
        <w:rPr>
          <w:rFonts w:hint="eastAsia" w:ascii="仿宋_GB2312" w:hAnsi="仿宋_GB2312" w:eastAsia="仿宋_GB2312" w:cs="仿宋_GB2312"/>
          <w:i w:val="0"/>
          <w:caps w:val="0"/>
          <w:color w:val="333333"/>
          <w:spacing w:val="0"/>
          <w:sz w:val="32"/>
          <w:szCs w:val="32"/>
          <w:u w:val="none"/>
          <w:shd w:val="clear" w:fill="FFFFFF"/>
          <w:lang w:eastAsia="zh-CN"/>
        </w:rPr>
        <w:t>黑龙江省人民政府</w:t>
      </w:r>
      <w:r>
        <w:rPr>
          <w:rFonts w:hint="eastAsia" w:ascii="仿宋_GB2312" w:hAnsi="仿宋_GB2312" w:eastAsia="仿宋_GB2312" w:cs="仿宋_GB2312"/>
          <w:i w:val="0"/>
          <w:caps w:val="0"/>
          <w:color w:val="333333"/>
          <w:spacing w:val="0"/>
          <w:sz w:val="32"/>
          <w:szCs w:val="32"/>
          <w:u w:val="none"/>
          <w:shd w:val="clear" w:fill="FFFFFF"/>
        </w:rPr>
        <w:t>办公厅关于推动公立医院高质量发展的</w:t>
      </w:r>
      <w:r>
        <w:rPr>
          <w:rFonts w:hint="eastAsia" w:ascii="仿宋_GB2312" w:hAnsi="仿宋_GB2312" w:eastAsia="仿宋_GB2312" w:cs="仿宋_GB2312"/>
          <w:i w:val="0"/>
          <w:caps w:val="0"/>
          <w:color w:val="333333"/>
          <w:spacing w:val="0"/>
          <w:sz w:val="32"/>
          <w:szCs w:val="32"/>
          <w:u w:val="none"/>
          <w:shd w:val="clear" w:fill="FFFFFF"/>
          <w:lang w:eastAsia="zh-CN"/>
        </w:rPr>
        <w:t>实施</w:t>
      </w:r>
      <w:r>
        <w:rPr>
          <w:rFonts w:hint="eastAsia" w:ascii="仿宋_GB2312" w:hAnsi="仿宋_GB2312" w:eastAsia="仿宋_GB2312" w:cs="仿宋_GB2312"/>
          <w:i w:val="0"/>
          <w:caps w:val="0"/>
          <w:color w:val="333333"/>
          <w:spacing w:val="0"/>
          <w:sz w:val="32"/>
          <w:szCs w:val="32"/>
          <w:u w:val="none"/>
          <w:shd w:val="clear" w:fill="FFFFFF"/>
        </w:rPr>
        <w:t>意见》（</w:t>
      </w:r>
      <w:r>
        <w:rPr>
          <w:rFonts w:hint="eastAsia" w:ascii="仿宋_GB2312" w:hAnsi="仿宋_GB2312" w:eastAsia="仿宋_GB2312" w:cs="仿宋_GB2312"/>
          <w:i w:val="0"/>
          <w:caps w:val="0"/>
          <w:color w:val="333333"/>
          <w:spacing w:val="0"/>
          <w:sz w:val="32"/>
          <w:szCs w:val="32"/>
          <w:u w:val="none"/>
          <w:shd w:val="clear" w:fill="FFFFFF"/>
          <w:lang w:eastAsia="zh-CN"/>
        </w:rPr>
        <w:t>黑政</w:t>
      </w:r>
      <w:r>
        <w:rPr>
          <w:rFonts w:hint="eastAsia" w:ascii="仿宋_GB2312" w:hAnsi="仿宋_GB2312" w:eastAsia="仿宋_GB2312" w:cs="仿宋_GB2312"/>
          <w:i w:val="0"/>
          <w:caps w:val="0"/>
          <w:color w:val="333333"/>
          <w:spacing w:val="0"/>
          <w:sz w:val="32"/>
          <w:szCs w:val="32"/>
          <w:u w:val="none"/>
          <w:shd w:val="clear" w:fill="FFFFFF"/>
        </w:rPr>
        <w:t>办</w:t>
      </w:r>
      <w:r>
        <w:rPr>
          <w:rFonts w:hint="eastAsia" w:ascii="仿宋_GB2312" w:hAnsi="仿宋_GB2312" w:eastAsia="仿宋_GB2312" w:cs="仿宋_GB2312"/>
          <w:i w:val="0"/>
          <w:caps w:val="0"/>
          <w:color w:val="333333"/>
          <w:spacing w:val="0"/>
          <w:sz w:val="32"/>
          <w:szCs w:val="32"/>
          <w:u w:val="none"/>
          <w:shd w:val="clear" w:fill="FFFFFF"/>
          <w:lang w:eastAsia="zh-CN"/>
        </w:rPr>
        <w:t>规</w:t>
      </w:r>
      <w:r>
        <w:rPr>
          <w:rFonts w:hint="eastAsia" w:ascii="仿宋_GB2312" w:hAnsi="仿宋_GB2312" w:eastAsia="仿宋_GB2312" w:cs="仿宋_GB2312"/>
          <w:i w:val="0"/>
          <w:caps w:val="0"/>
          <w:color w:val="333333"/>
          <w:spacing w:val="0"/>
          <w:sz w:val="32"/>
          <w:szCs w:val="32"/>
          <w:u w:val="none"/>
          <w:shd w:val="clear" w:fill="FFFFFF"/>
        </w:rPr>
        <w:t>〔2021〕</w:t>
      </w:r>
      <w:r>
        <w:rPr>
          <w:rFonts w:hint="eastAsia" w:ascii="仿宋_GB2312" w:hAnsi="仿宋_GB2312" w:eastAsia="仿宋_GB2312" w:cs="仿宋_GB2312"/>
          <w:i w:val="0"/>
          <w:caps w:val="0"/>
          <w:color w:val="333333"/>
          <w:spacing w:val="0"/>
          <w:sz w:val="32"/>
          <w:szCs w:val="32"/>
          <w:u w:val="none"/>
          <w:shd w:val="clear" w:fill="FFFFFF"/>
          <w:lang w:val="en-US" w:eastAsia="zh-CN"/>
        </w:rPr>
        <w:t>37</w:t>
      </w:r>
      <w:r>
        <w:rPr>
          <w:rFonts w:hint="eastAsia" w:ascii="仿宋_GB2312" w:hAnsi="仿宋_GB2312" w:eastAsia="仿宋_GB2312" w:cs="仿宋_GB2312"/>
          <w:i w:val="0"/>
          <w:caps w:val="0"/>
          <w:color w:val="333333"/>
          <w:spacing w:val="0"/>
          <w:sz w:val="32"/>
          <w:szCs w:val="32"/>
          <w:u w:val="none"/>
          <w:shd w:val="clear" w:fill="FFFFFF"/>
        </w:rPr>
        <w:t>号），推动</w:t>
      </w:r>
      <w:r>
        <w:rPr>
          <w:rFonts w:hint="eastAsia" w:ascii="仿宋_GB2312" w:hAnsi="仿宋_GB2312" w:eastAsia="仿宋_GB2312" w:cs="仿宋_GB2312"/>
          <w:i w:val="0"/>
          <w:caps w:val="0"/>
          <w:color w:val="333333"/>
          <w:spacing w:val="0"/>
          <w:sz w:val="32"/>
          <w:szCs w:val="32"/>
          <w:u w:val="none"/>
          <w:shd w:val="clear" w:fill="FFFFFF"/>
          <w:lang w:eastAsia="zh-CN"/>
        </w:rPr>
        <w:t>全市</w:t>
      </w:r>
      <w:r>
        <w:rPr>
          <w:rFonts w:hint="eastAsia" w:ascii="仿宋_GB2312" w:hAnsi="仿宋_GB2312" w:eastAsia="仿宋_GB2312" w:cs="仿宋_GB2312"/>
          <w:i w:val="0"/>
          <w:caps w:val="0"/>
          <w:color w:val="333333"/>
          <w:spacing w:val="0"/>
          <w:sz w:val="32"/>
          <w:szCs w:val="32"/>
          <w:u w:val="none"/>
          <w:shd w:val="clear" w:fill="FFFFFF"/>
        </w:rPr>
        <w:t>公立医院高质量发展，更好满足人民群众日益增长的医疗卫生</w:t>
      </w:r>
      <w:r>
        <w:rPr>
          <w:rFonts w:hint="eastAsia" w:ascii="仿宋_GB2312" w:hAnsi="仿宋_GB2312" w:eastAsia="仿宋_GB2312" w:cs="仿宋_GB2312"/>
          <w:i w:val="0"/>
          <w:caps w:val="0"/>
          <w:color w:val="333333"/>
          <w:spacing w:val="0"/>
          <w:sz w:val="32"/>
          <w:szCs w:val="32"/>
          <w:u w:val="none"/>
          <w:shd w:val="clear" w:fill="FFFFFF"/>
          <w:lang w:eastAsia="zh-CN"/>
        </w:rPr>
        <w:t>服务</w:t>
      </w:r>
      <w:r>
        <w:rPr>
          <w:rFonts w:hint="eastAsia" w:ascii="仿宋_GB2312" w:hAnsi="仿宋_GB2312" w:eastAsia="仿宋_GB2312" w:cs="仿宋_GB2312"/>
          <w:i w:val="0"/>
          <w:caps w:val="0"/>
          <w:color w:val="333333"/>
          <w:spacing w:val="0"/>
          <w:sz w:val="32"/>
          <w:szCs w:val="32"/>
          <w:u w:val="none"/>
          <w:shd w:val="clear" w:fill="FFFFFF"/>
        </w:rPr>
        <w:t>需求，结合我</w:t>
      </w:r>
      <w:r>
        <w:rPr>
          <w:rFonts w:hint="eastAsia" w:ascii="仿宋_GB2312" w:hAnsi="仿宋_GB2312" w:eastAsia="仿宋_GB2312" w:cs="仿宋_GB2312"/>
          <w:i w:val="0"/>
          <w:caps w:val="0"/>
          <w:color w:val="333333"/>
          <w:spacing w:val="0"/>
          <w:sz w:val="32"/>
          <w:szCs w:val="32"/>
          <w:u w:val="none"/>
          <w:shd w:val="clear" w:fill="FFFFFF"/>
          <w:lang w:eastAsia="zh-CN"/>
        </w:rPr>
        <w:t>市</w:t>
      </w:r>
      <w:r>
        <w:rPr>
          <w:rFonts w:hint="eastAsia" w:ascii="仿宋_GB2312" w:hAnsi="仿宋_GB2312" w:eastAsia="仿宋_GB2312" w:cs="仿宋_GB2312"/>
          <w:i w:val="0"/>
          <w:caps w:val="0"/>
          <w:color w:val="333333"/>
          <w:spacing w:val="0"/>
          <w:sz w:val="32"/>
          <w:szCs w:val="32"/>
          <w:u w:val="none"/>
          <w:shd w:val="clear" w:fill="FFFFFF"/>
        </w:rPr>
        <w:t>实际，制定本实施方案。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i w:val="0"/>
          <w:caps w:val="0"/>
          <w:color w:val="333333"/>
          <w:spacing w:val="0"/>
          <w:sz w:val="32"/>
          <w:szCs w:val="32"/>
          <w:u w:val="none"/>
        </w:rPr>
      </w:pPr>
      <w:r>
        <w:rPr>
          <w:rFonts w:hint="eastAsia" w:ascii="黑体" w:hAnsi="黑体" w:eastAsia="黑体" w:cs="黑体"/>
          <w:i w:val="0"/>
          <w:caps w:val="0"/>
          <w:color w:val="333333"/>
          <w:spacing w:val="0"/>
          <w:sz w:val="32"/>
          <w:szCs w:val="32"/>
          <w:u w:val="none"/>
          <w:shd w:val="clear" w:fill="FFFFFF"/>
        </w:rPr>
        <w:t>一、总体要求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以习近平新时代中国特色社会主义思想为指导，深入贯彻党的十九大和十九届历次全会精神，坚持以人民健康为中心，加强公立医院主体地位，坚持政府主导、公益性主导、公立医院主导，坚持医防融合、平急结合、中西医并重，以建立现代医院管理制度为目标，坚持和加强党对公立医院的全面领导，聚焦构建新体系、引领新趋势、提升新效能、激活新动力、建设新文化，力争通过5年努力，推动公立医院发展方式从规模扩张转向提质增效，运行模式从粗放管理转向精细化管理，资源配置从注重物质要素转向更加注重人才技术要素，为更好提供优质高效医疗卫生服务、防范化解重大疫情风险和突发公共卫生风险、建设健康</w:t>
      </w:r>
      <w:r>
        <w:rPr>
          <w:rFonts w:hint="eastAsia" w:ascii="仿宋_GB2312" w:hAnsi="Times New Roman" w:eastAsia="仿宋_GB2312" w:cs="Times New Roman"/>
          <w:sz w:val="32"/>
          <w:szCs w:val="32"/>
          <w:u w:val="none"/>
          <w:lang w:eastAsia="zh-CN"/>
        </w:rPr>
        <w:t>双鸭山</w:t>
      </w:r>
      <w:r>
        <w:rPr>
          <w:rFonts w:hint="eastAsia" w:ascii="仿宋_GB2312" w:hAnsi="Times New Roman" w:eastAsia="仿宋_GB2312" w:cs="Times New Roman"/>
          <w:sz w:val="32"/>
          <w:szCs w:val="32"/>
          <w:u w:val="none"/>
        </w:rPr>
        <w:t>提供有力支撑。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auto"/>
          <w:spacing w:val="0"/>
          <w:sz w:val="32"/>
          <w:szCs w:val="32"/>
          <w:u w:val="none"/>
          <w:shd w:val="clear" w:fill="FFFFFF"/>
        </w:rPr>
      </w:pPr>
      <w:r>
        <w:rPr>
          <w:rFonts w:hint="eastAsia" w:ascii="黑体" w:hAnsi="黑体" w:eastAsia="黑体" w:cs="黑体"/>
          <w:b w:val="0"/>
          <w:bCs w:val="0"/>
          <w:i w:val="0"/>
          <w:caps w:val="0"/>
          <w:color w:val="auto"/>
          <w:spacing w:val="0"/>
          <w:sz w:val="32"/>
          <w:szCs w:val="32"/>
          <w:u w:val="none"/>
          <w:shd w:val="clear" w:fill="FFFFFF"/>
          <w:lang w:eastAsia="zh-CN"/>
        </w:rPr>
        <w:t>二、</w:t>
      </w:r>
      <w:r>
        <w:rPr>
          <w:rFonts w:hint="eastAsia" w:ascii="黑体" w:hAnsi="黑体" w:eastAsia="黑体" w:cs="黑体"/>
          <w:b w:val="0"/>
          <w:bCs w:val="0"/>
          <w:i w:val="0"/>
          <w:caps w:val="0"/>
          <w:color w:val="auto"/>
          <w:spacing w:val="0"/>
          <w:sz w:val="32"/>
          <w:szCs w:val="32"/>
          <w:u w:val="none"/>
          <w:shd w:val="clear" w:fill="FFFFFF"/>
        </w:rPr>
        <w:t>坚持和加强党的全面领导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u w:val="none"/>
        </w:rPr>
      </w:pPr>
      <w:r>
        <w:rPr>
          <w:rFonts w:hint="eastAsia" w:ascii="楷体_GB2312" w:hAnsi="楷体_GB2312" w:eastAsia="楷体_GB2312" w:cs="楷体_GB2312"/>
          <w:b w:val="0"/>
          <w:bCs/>
          <w:sz w:val="32"/>
          <w:szCs w:val="32"/>
          <w:u w:val="none"/>
          <w:lang w:val="en-US" w:eastAsia="zh-CN"/>
        </w:rPr>
        <w:t>（一）</w:t>
      </w:r>
      <w:r>
        <w:rPr>
          <w:rFonts w:hint="eastAsia" w:ascii="楷体_GB2312" w:hAnsi="楷体_GB2312" w:eastAsia="楷体_GB2312" w:cs="楷体_GB2312"/>
          <w:b w:val="0"/>
          <w:bCs/>
          <w:sz w:val="32"/>
          <w:szCs w:val="32"/>
          <w:u w:val="none"/>
        </w:rPr>
        <w:t>全面执行和落实党委</w:t>
      </w:r>
      <w:r>
        <w:rPr>
          <w:rFonts w:hint="eastAsia" w:ascii="楷体_GB2312" w:hAnsi="楷体_GB2312" w:eastAsia="楷体_GB2312" w:cs="楷体_GB2312"/>
          <w:b w:val="0"/>
          <w:bCs/>
          <w:sz w:val="32"/>
          <w:szCs w:val="32"/>
          <w:u w:val="none"/>
          <w:lang w:eastAsia="zh-CN"/>
        </w:rPr>
        <w:t>（党支部，下同）</w:t>
      </w:r>
      <w:r>
        <w:rPr>
          <w:rFonts w:hint="eastAsia" w:ascii="楷体_GB2312" w:hAnsi="楷体_GB2312" w:eastAsia="楷体_GB2312" w:cs="楷体_GB2312"/>
          <w:b w:val="0"/>
          <w:bCs/>
          <w:sz w:val="32"/>
          <w:szCs w:val="32"/>
          <w:u w:val="none"/>
        </w:rPr>
        <w:t>领导下的院长负责制</w:t>
      </w:r>
      <w:r>
        <w:rPr>
          <w:rFonts w:hint="eastAsia" w:ascii="楷体_GB2312" w:hAnsi="楷体_GB2312" w:eastAsia="楷体_GB2312" w:cs="楷体_GB2312"/>
          <w:b w:val="0"/>
          <w:bCs/>
          <w:sz w:val="32"/>
          <w:szCs w:val="32"/>
          <w:u w:val="none"/>
        </w:rPr>
        <w:t>。</w:t>
      </w:r>
      <w:r>
        <w:rPr>
          <w:rFonts w:hint="eastAsia" w:ascii="仿宋_GB2312" w:hAnsi="仿宋_GB2312" w:eastAsia="仿宋_GB2312" w:cs="仿宋_GB2312"/>
          <w:b w:val="0"/>
          <w:bCs/>
          <w:sz w:val="32"/>
          <w:szCs w:val="32"/>
          <w:u w:val="none"/>
        </w:rPr>
        <w:t>公立医院党委发挥把方向、管大局、作决策、促改革、保落实的领导作用，集体研究决定重大问题。健全完善院党委会和院长办公会议事决策制度，建立书记、院长定期沟通和党委领导下的院长负责制执行情况报告制度，着力构建党委统一领导、党政分工合作、协调运行的工作机制。在医院章程明确党建工作的内容和要求，明确党委研究决定重大问题的机制，把党的领导融入医院治理全过程各方面各环节，把党的建设各项要求落到实处。</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sz w:val="32"/>
          <w:szCs w:val="32"/>
          <w:u w:val="none"/>
        </w:rPr>
      </w:pPr>
      <w:r>
        <w:rPr>
          <w:rFonts w:hint="eastAsia" w:ascii="楷体_GB2312" w:hAnsi="楷体_GB2312" w:eastAsia="楷体_GB2312" w:cs="楷体_GB2312"/>
          <w:b w:val="0"/>
          <w:bCs/>
          <w:sz w:val="32"/>
          <w:szCs w:val="32"/>
          <w:u w:val="none"/>
        </w:rPr>
        <w:t>　　</w:t>
      </w:r>
      <w:r>
        <w:rPr>
          <w:rFonts w:hint="eastAsia" w:ascii="楷体_GB2312" w:hAnsi="楷体_GB2312" w:eastAsia="楷体_GB2312" w:cs="楷体_GB2312"/>
          <w:b w:val="0"/>
          <w:bCs/>
          <w:sz w:val="32"/>
          <w:szCs w:val="32"/>
          <w:u w:val="none"/>
          <w:lang w:val="en-US" w:eastAsia="zh-CN"/>
        </w:rPr>
        <w:t>（二）</w:t>
      </w:r>
      <w:r>
        <w:rPr>
          <w:rFonts w:hint="eastAsia" w:ascii="楷体_GB2312" w:hAnsi="楷体_GB2312" w:eastAsia="楷体_GB2312" w:cs="楷体_GB2312"/>
          <w:b w:val="0"/>
          <w:bCs/>
          <w:sz w:val="32"/>
          <w:szCs w:val="32"/>
          <w:u w:val="none"/>
        </w:rPr>
        <w:t>加强领导班子和干部人才队伍建设。</w:t>
      </w:r>
      <w:r>
        <w:rPr>
          <w:rFonts w:hint="eastAsia" w:ascii="仿宋_GB2312" w:hAnsi="仿宋_GB2312" w:eastAsia="仿宋_GB2312" w:cs="仿宋_GB2312"/>
          <w:b w:val="0"/>
          <w:bCs/>
          <w:sz w:val="32"/>
          <w:szCs w:val="32"/>
          <w:u w:val="none"/>
        </w:rPr>
        <w:t>选优配强医院领导班子成员特别是党委书记和院长。党委书记、院长分设的，党委书记一般不兼任行政领导职务，院长是中共党员的同时担任党委副书记。坚持党管干部原则，制定落实内部组织机构负责人选拔任用办法，健全干部培养教育、交流锻炼、监督约束制度。坚持党管人才原则，完善人才培养、使用和引进管理办法，建立院领导班子成员联系服务高层次人才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sz w:val="32"/>
          <w:szCs w:val="32"/>
          <w:u w:val="none"/>
        </w:rPr>
      </w:pPr>
      <w:r>
        <w:rPr>
          <w:rFonts w:hint="eastAsia" w:ascii="楷体_GB2312" w:hAnsi="楷体_GB2312" w:eastAsia="楷体_GB2312" w:cs="楷体_GB2312"/>
          <w:b w:val="0"/>
          <w:bCs/>
          <w:sz w:val="32"/>
          <w:szCs w:val="32"/>
          <w:u w:val="none"/>
        </w:rPr>
        <w:t>　　</w:t>
      </w:r>
      <w:r>
        <w:rPr>
          <w:rFonts w:hint="eastAsia" w:ascii="楷体_GB2312" w:hAnsi="楷体_GB2312" w:eastAsia="楷体_GB2312" w:cs="楷体_GB2312"/>
          <w:b w:val="0"/>
          <w:bCs/>
          <w:sz w:val="32"/>
          <w:szCs w:val="32"/>
          <w:u w:val="none"/>
          <w:lang w:val="en-US" w:eastAsia="zh-CN"/>
        </w:rPr>
        <w:t>（三）</w:t>
      </w:r>
      <w:r>
        <w:rPr>
          <w:rFonts w:hint="eastAsia" w:ascii="楷体_GB2312" w:hAnsi="楷体_GB2312" w:eastAsia="楷体_GB2312" w:cs="楷体_GB2312"/>
          <w:b w:val="0"/>
          <w:bCs/>
          <w:sz w:val="32"/>
          <w:szCs w:val="32"/>
          <w:u w:val="none"/>
        </w:rPr>
        <w:t>全面提升党组织和党员队伍建设质量。</w:t>
      </w:r>
      <w:r>
        <w:rPr>
          <w:rFonts w:hint="eastAsia" w:ascii="仿宋_GB2312" w:hAnsi="仿宋_GB2312" w:eastAsia="仿宋_GB2312" w:cs="仿宋_GB2312"/>
          <w:b w:val="0"/>
          <w:bCs/>
          <w:sz w:val="32"/>
          <w:szCs w:val="32"/>
          <w:u w:val="none"/>
        </w:rPr>
        <w:t>坚持应建尽建，推进党支部标准化规范化建设。建立党支部参与人才引进、队伍建设、职称职级晋升、绩效考核、薪酬分配、评奖评优等重大事项讨论决策的制度机制，把好政治关、医德医风关。实施党支部书记“双带头人”培育工程，建立健全党员和业务骨干“双培养”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eastAsia" w:ascii="仿宋_GB2312" w:hAnsi="仿宋_GB2312" w:eastAsia="仿宋_GB2312" w:cs="仿宋_GB2312"/>
          <w:b w:val="0"/>
          <w:bCs/>
          <w:sz w:val="32"/>
          <w:szCs w:val="32"/>
          <w:u w:val="none"/>
        </w:rPr>
      </w:pPr>
      <w:r>
        <w:rPr>
          <w:rFonts w:hint="eastAsia" w:ascii="楷体_GB2312" w:hAnsi="楷体_GB2312" w:eastAsia="楷体_GB2312" w:cs="楷体_GB2312"/>
          <w:b w:val="0"/>
          <w:bCs/>
          <w:sz w:val="32"/>
          <w:szCs w:val="32"/>
          <w:u w:val="none"/>
          <w:lang w:val="en-US" w:eastAsia="zh-CN"/>
        </w:rPr>
        <w:t>（四）</w:t>
      </w:r>
      <w:r>
        <w:rPr>
          <w:rFonts w:hint="eastAsia" w:ascii="楷体_GB2312" w:hAnsi="楷体_GB2312" w:eastAsia="楷体_GB2312" w:cs="楷体_GB2312"/>
          <w:b w:val="0"/>
          <w:bCs/>
          <w:sz w:val="32"/>
          <w:szCs w:val="32"/>
          <w:u w:val="none"/>
        </w:rPr>
        <w:t>落实公立医院党建主体责任。</w:t>
      </w:r>
      <w:r>
        <w:rPr>
          <w:rFonts w:hint="eastAsia" w:ascii="仿宋_GB2312" w:hAnsi="仿宋_GB2312" w:eastAsia="仿宋_GB2312" w:cs="仿宋_GB2312"/>
          <w:b w:val="0"/>
          <w:bCs/>
          <w:sz w:val="32"/>
          <w:szCs w:val="32"/>
          <w:u w:val="none"/>
        </w:rPr>
        <w:t>建立健全各级党委统一领导，组织部门牵头抓总，卫生健康部门具体负责，国有资产监督管理等部门齐抓共管，一级抓一级、层层抓落实的责任体系和工作格局。公立医院党委承担党建工作主体责任，党委书记是党建工作第一责任人，领导班子其他成员落实“一岗双责”。全面开展医院党组织书记抓基层党建述职评议考核，把党建工作成效纳入医院等级评定和巡视巡察工作内容，作为年度考核和干部选拔任用的重要依据，强化工作保障，配足建强党务工作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i w:val="0"/>
          <w:caps w:val="0"/>
          <w:color w:val="333333"/>
          <w:spacing w:val="0"/>
          <w:sz w:val="32"/>
          <w:szCs w:val="32"/>
          <w:u w:val="none"/>
          <w:lang w:eastAsia="zh-CN"/>
        </w:rPr>
      </w:pPr>
      <w:r>
        <w:rPr>
          <w:rFonts w:hint="eastAsia" w:ascii="黑体" w:hAnsi="黑体" w:eastAsia="黑体" w:cs="黑体"/>
          <w:i w:val="0"/>
          <w:caps w:val="0"/>
          <w:color w:val="333333"/>
          <w:spacing w:val="0"/>
          <w:sz w:val="32"/>
          <w:szCs w:val="32"/>
          <w:u w:val="none"/>
          <w:shd w:val="clear" w:fill="FFFFFF"/>
          <w:lang w:eastAsia="zh-CN"/>
        </w:rPr>
        <w:t>三</w:t>
      </w:r>
      <w:r>
        <w:rPr>
          <w:rFonts w:hint="eastAsia" w:ascii="黑体" w:hAnsi="黑体" w:eastAsia="黑体" w:cs="黑体"/>
          <w:i w:val="0"/>
          <w:caps w:val="0"/>
          <w:color w:val="333333"/>
          <w:spacing w:val="0"/>
          <w:sz w:val="32"/>
          <w:szCs w:val="32"/>
          <w:u w:val="none"/>
          <w:shd w:val="clear" w:fill="FFFFFF"/>
        </w:rPr>
        <w:t>、重点</w:t>
      </w:r>
      <w:r>
        <w:rPr>
          <w:rFonts w:hint="eastAsia" w:ascii="黑体" w:hAnsi="黑体" w:eastAsia="黑体" w:cs="黑体"/>
          <w:i w:val="0"/>
          <w:caps w:val="0"/>
          <w:color w:val="333333"/>
          <w:spacing w:val="0"/>
          <w:sz w:val="32"/>
          <w:szCs w:val="32"/>
          <w:u w:val="none"/>
          <w:shd w:val="clear" w:fill="FFFFFF"/>
          <w:lang w:eastAsia="zh-CN"/>
        </w:rPr>
        <w:t>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eastAsia" w:ascii="楷体_GB2312" w:hAnsi="楷体_GB2312" w:eastAsia="楷体_GB2312" w:cs="楷体_GB2312"/>
          <w:b w:val="0"/>
          <w:bCs/>
          <w:sz w:val="32"/>
          <w:szCs w:val="32"/>
          <w:u w:val="none"/>
        </w:rPr>
      </w:pPr>
      <w:r>
        <w:rPr>
          <w:rFonts w:hint="eastAsia" w:ascii="楷体_GB2312" w:hAnsi="楷体_GB2312" w:eastAsia="楷体_GB2312" w:cs="楷体_GB2312"/>
          <w:b w:val="0"/>
          <w:bCs/>
          <w:sz w:val="32"/>
          <w:szCs w:val="32"/>
          <w:u w:val="none"/>
          <w:lang w:val="en-US" w:eastAsia="zh-CN"/>
        </w:rPr>
        <w:t>（一）</w:t>
      </w:r>
      <w:r>
        <w:rPr>
          <w:rFonts w:hint="eastAsia" w:ascii="楷体_GB2312" w:hAnsi="楷体_GB2312" w:eastAsia="楷体_GB2312" w:cs="楷体_GB2312"/>
          <w:b w:val="0"/>
          <w:bCs/>
          <w:sz w:val="32"/>
          <w:szCs w:val="32"/>
          <w:u w:val="none"/>
        </w:rPr>
        <w:t>加强三级医院能力建设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支持实力强的三级公立医院在控制单体规模的基础上，适度建设发展多院区，发生重大疫情时迅速转换功能。</w:t>
      </w:r>
      <w:r>
        <w:rPr>
          <w:rFonts w:hint="eastAsia" w:ascii="仿宋_GB2312" w:hAnsi="仿宋_GB2312" w:eastAsia="仿宋_GB2312" w:cs="仿宋_GB2312"/>
          <w:b w:val="0"/>
          <w:bCs/>
          <w:color w:val="auto"/>
          <w:sz w:val="32"/>
          <w:szCs w:val="32"/>
          <w:u w:val="none"/>
        </w:rPr>
        <w:t>按照“一院多区”发展模式，</w:t>
      </w:r>
      <w:r>
        <w:rPr>
          <w:rFonts w:hint="eastAsia" w:ascii="仿宋_GB2312" w:hAnsi="仿宋_GB2312" w:eastAsia="仿宋_GB2312" w:cs="仿宋_GB2312"/>
          <w:b w:val="0"/>
          <w:bCs/>
          <w:color w:val="auto"/>
          <w:sz w:val="32"/>
          <w:szCs w:val="32"/>
          <w:u w:val="none"/>
        </w:rPr>
        <w:t>推动市</w:t>
      </w:r>
      <w:r>
        <w:rPr>
          <w:rFonts w:hint="eastAsia" w:ascii="仿宋_GB2312" w:hAnsi="仿宋_GB2312" w:eastAsia="仿宋_GB2312" w:cs="仿宋_GB2312"/>
          <w:b w:val="0"/>
          <w:bCs/>
          <w:color w:val="auto"/>
          <w:sz w:val="32"/>
          <w:szCs w:val="32"/>
          <w:u w:val="none"/>
          <w:lang w:eastAsia="zh-CN"/>
        </w:rPr>
        <w:t>人民医院</w:t>
      </w:r>
      <w:r>
        <w:rPr>
          <w:rFonts w:hint="eastAsia" w:ascii="仿宋_GB2312" w:hAnsi="仿宋_GB2312" w:eastAsia="仿宋_GB2312" w:cs="仿宋_GB2312"/>
          <w:b w:val="0"/>
          <w:bCs/>
          <w:color w:val="auto"/>
          <w:sz w:val="32"/>
          <w:szCs w:val="32"/>
          <w:u w:val="none"/>
        </w:rPr>
        <w:t>向</w:t>
      </w:r>
      <w:r>
        <w:rPr>
          <w:rFonts w:hint="eastAsia" w:ascii="仿宋_GB2312" w:hAnsi="仿宋_GB2312" w:eastAsia="仿宋_GB2312" w:cs="仿宋_GB2312"/>
          <w:b w:val="0"/>
          <w:bCs/>
          <w:color w:val="auto"/>
          <w:sz w:val="32"/>
          <w:szCs w:val="32"/>
          <w:u w:val="none"/>
          <w:lang w:eastAsia="zh-CN"/>
        </w:rPr>
        <w:t>宝山区、四方台区、岭东区</w:t>
      </w:r>
      <w:r>
        <w:rPr>
          <w:rFonts w:hint="eastAsia" w:ascii="仿宋_GB2312" w:hAnsi="仿宋_GB2312" w:eastAsia="仿宋_GB2312" w:cs="仿宋_GB2312"/>
          <w:b w:val="0"/>
          <w:bCs/>
          <w:color w:val="auto"/>
          <w:sz w:val="32"/>
          <w:szCs w:val="32"/>
          <w:u w:val="none"/>
        </w:rPr>
        <w:t>扩容</w:t>
      </w:r>
      <w:r>
        <w:rPr>
          <w:rFonts w:hint="eastAsia" w:ascii="仿宋_GB2312" w:hAnsi="仿宋_GB2312" w:eastAsia="仿宋_GB2312" w:cs="仿宋_GB2312"/>
          <w:b w:val="0"/>
          <w:bCs/>
          <w:color w:val="auto"/>
          <w:sz w:val="32"/>
          <w:szCs w:val="32"/>
          <w:u w:val="none"/>
          <w:lang w:eastAsia="zh-CN"/>
        </w:rPr>
        <w:t>，提升市、区级医院的医疗服务水平</w:t>
      </w: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继续加强市妇幼保健院能力建设，重点发展儿科、妇科、产科、新生儿科，充分发挥妇幼保健功能，为妇女儿童提供生命全周期的健康服务，成为全市妇产孕婴中心。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u w:val="none"/>
        </w:rPr>
      </w:pPr>
      <w:r>
        <w:rPr>
          <w:rFonts w:hint="eastAsia" w:ascii="仿宋_GB2312" w:eastAsia="仿宋_GB2312"/>
          <w:sz w:val="32"/>
          <w:szCs w:val="32"/>
          <w:u w:val="none"/>
        </w:rPr>
        <w:t>按照网格化布局管理，</w:t>
      </w:r>
      <w:r>
        <w:rPr>
          <w:rFonts w:hint="eastAsia" w:ascii="仿宋_GB2312" w:eastAsia="仿宋_GB2312"/>
          <w:sz w:val="32"/>
          <w:szCs w:val="32"/>
          <w:u w:val="none"/>
          <w:lang w:eastAsia="zh-CN"/>
        </w:rPr>
        <w:t>继续推进紧密型医联体建设，</w:t>
      </w:r>
      <w:r>
        <w:rPr>
          <w:rFonts w:hint="eastAsia" w:ascii="仿宋_GB2312" w:eastAsia="仿宋_GB2312"/>
          <w:sz w:val="32"/>
          <w:szCs w:val="32"/>
          <w:u w:val="none"/>
        </w:rPr>
        <w:t>组建由三级公立医院或代表辖区医疗水平的医院牵头，其他若干家医院、基层医疗卫生机构等为成员的紧密型城市</w:t>
      </w:r>
      <w:r>
        <w:rPr>
          <w:rFonts w:hint="eastAsia" w:ascii="仿宋_GB2312" w:eastAsia="仿宋_GB2312"/>
          <w:sz w:val="32"/>
          <w:szCs w:val="32"/>
          <w:u w:val="none"/>
          <w:lang w:eastAsia="zh-CN"/>
        </w:rPr>
        <w:t>医联体</w:t>
      </w:r>
      <w:r>
        <w:rPr>
          <w:rFonts w:hint="eastAsia" w:ascii="仿宋_GB2312" w:eastAsia="仿宋_GB2312"/>
          <w:sz w:val="32"/>
          <w:szCs w:val="32"/>
          <w:u w:val="none"/>
        </w:rPr>
        <w:t>，统筹负责网格内居民预防、治疗、康复、健康促进等一体化、连续性医疗服务。</w:t>
      </w:r>
      <w:r>
        <w:rPr>
          <w:rFonts w:hint="eastAsia" w:ascii="仿宋_GB2312" w:eastAsia="仿宋_GB2312"/>
          <w:sz w:val="32"/>
          <w:szCs w:val="32"/>
          <w:u w:val="none"/>
          <w:lang w:eastAsia="zh-CN"/>
        </w:rPr>
        <w:t>医联体</w:t>
      </w:r>
      <w:r>
        <w:rPr>
          <w:rFonts w:hint="eastAsia" w:ascii="仿宋_GB2312" w:eastAsia="仿宋_GB2312"/>
          <w:sz w:val="32"/>
          <w:szCs w:val="32"/>
          <w:u w:val="none"/>
        </w:rPr>
        <w:t>内各医院加强协作，结合实际建设优势专业专科，形成特色鲜明、专业互补、错位发展、有序竞争的发展格局，带动基层医疗卫生机构提升服务能力和管理水平。</w:t>
      </w:r>
      <w:r>
        <w:rPr>
          <w:rFonts w:hint="eastAsia" w:ascii="仿宋_GB2312" w:hAnsi="仿宋_GB2312" w:eastAsia="仿宋_GB2312" w:cs="仿宋_GB2312"/>
          <w:b w:val="0"/>
          <w:bCs/>
          <w:color w:val="auto"/>
          <w:sz w:val="32"/>
          <w:szCs w:val="32"/>
          <w:u w:val="none"/>
        </w:rPr>
        <w:t>到2025年，依托实体医院，至少建成1家互联网医院。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eastAsia" w:ascii="楷体_GB2312" w:hAnsi="楷体_GB2312" w:eastAsia="楷体_GB2312" w:cs="楷体_GB2312"/>
          <w:b w:val="0"/>
          <w:bCs/>
          <w:sz w:val="32"/>
          <w:szCs w:val="32"/>
          <w:u w:val="none"/>
          <w:lang w:eastAsia="zh-CN"/>
        </w:rPr>
      </w:pPr>
      <w:r>
        <w:rPr>
          <w:rFonts w:hint="eastAsia" w:ascii="楷体_GB2312" w:hAnsi="楷体_GB2312" w:eastAsia="楷体_GB2312" w:cs="楷体_GB2312"/>
          <w:b w:val="0"/>
          <w:bCs/>
          <w:sz w:val="32"/>
          <w:szCs w:val="32"/>
          <w:u w:val="none"/>
          <w:lang w:eastAsia="zh-CN"/>
        </w:rPr>
        <w:t>（二）发挥市级医院医疗救治主力军作用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提高市级医院技术水平，向区域内居民提供高水平的综合性或专科医疗服务，纵向形成以市带区（县）、市区一体的多元化发展模式。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进一步提高中医药服务能力，异地新建双鸭山市中医院，推动市中医院突出中医药特色优势，提升综合医疗服务水平，创建</w:t>
      </w:r>
      <w:r>
        <w:rPr>
          <w:rFonts w:hint="eastAsia" w:ascii="仿宋_GB2312" w:hAnsi="仿宋_GB2312" w:eastAsia="仿宋_GB2312" w:cs="仿宋_GB2312"/>
          <w:b w:val="0"/>
          <w:bCs/>
          <w:color w:val="auto"/>
          <w:sz w:val="32"/>
          <w:szCs w:val="32"/>
          <w:u w:val="none"/>
        </w:rPr>
        <w:t>三级</w:t>
      </w:r>
      <w:r>
        <w:rPr>
          <w:rFonts w:hint="eastAsia" w:ascii="仿宋_GB2312" w:hAnsi="仿宋_GB2312" w:eastAsia="仿宋_GB2312" w:cs="仿宋_GB2312"/>
          <w:b w:val="0"/>
          <w:bCs/>
          <w:color w:val="auto"/>
          <w:sz w:val="32"/>
          <w:szCs w:val="32"/>
          <w:u w:val="none"/>
          <w:lang w:eastAsia="zh-CN"/>
        </w:rPr>
        <w:t>甲等</w:t>
      </w:r>
      <w:r>
        <w:rPr>
          <w:rFonts w:hint="eastAsia" w:ascii="仿宋_GB2312" w:hAnsi="仿宋_GB2312" w:eastAsia="仿宋_GB2312" w:cs="仿宋_GB2312"/>
          <w:b w:val="0"/>
          <w:bCs/>
          <w:color w:val="auto"/>
          <w:sz w:val="32"/>
          <w:szCs w:val="32"/>
          <w:u w:val="none"/>
        </w:rPr>
        <w:t>中医医院</w:t>
      </w:r>
      <w:r>
        <w:rPr>
          <w:rFonts w:hint="eastAsia" w:ascii="仿宋_GB2312" w:hAnsi="仿宋_GB2312" w:eastAsia="仿宋_GB2312" w:cs="仿宋_GB2312"/>
          <w:b w:val="0"/>
          <w:bCs/>
          <w:color w:val="auto"/>
          <w:sz w:val="32"/>
          <w:szCs w:val="32"/>
          <w:u w:val="none"/>
          <w:lang w:eastAsia="zh-CN"/>
        </w:rPr>
        <w:t>。在</w:t>
      </w:r>
      <w:r>
        <w:rPr>
          <w:rFonts w:hint="eastAsia" w:ascii="仿宋_GB2312" w:hAnsi="仿宋_GB2312" w:eastAsia="仿宋_GB2312" w:cs="仿宋_GB2312"/>
          <w:b w:val="0"/>
          <w:bCs/>
          <w:color w:val="auto"/>
          <w:sz w:val="32"/>
          <w:szCs w:val="32"/>
          <w:u w:val="none"/>
          <w:lang w:val="en-US" w:eastAsia="zh-CN"/>
        </w:rPr>
        <w:t>医疗机构隶属关系、资产归属、法人地位、功能定位、财政投入渠道及职工身份保持不变，保证固定资产保值增值的前提下，探索由市中医院牵头，采取医院</w:t>
      </w:r>
      <w:r>
        <w:rPr>
          <w:rFonts w:hint="eastAsia" w:ascii="仿宋_GB2312" w:hAnsi="仿宋_GB2312" w:eastAsia="仿宋_GB2312" w:cs="仿宋_GB2312"/>
          <w:b w:val="0"/>
          <w:bCs/>
          <w:color w:val="auto"/>
          <w:sz w:val="32"/>
          <w:szCs w:val="32"/>
          <w:u w:val="none"/>
        </w:rPr>
        <w:t>托管</w:t>
      </w:r>
      <w:r>
        <w:rPr>
          <w:rFonts w:hint="eastAsia" w:ascii="仿宋_GB2312" w:hAnsi="仿宋_GB2312" w:eastAsia="仿宋_GB2312" w:cs="仿宋_GB2312"/>
          <w:b w:val="0"/>
          <w:bCs/>
          <w:color w:val="auto"/>
          <w:sz w:val="32"/>
          <w:szCs w:val="32"/>
          <w:u w:val="none"/>
          <w:lang w:val="en-US" w:eastAsia="zh-CN"/>
        </w:rPr>
        <w:t>模式，与集贤县中医院组建紧密型中医医联体，帮扶提升县级中医院医疗服务能力水平。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市传染病医院提高传染病救治水平，加强应对突发公共卫生事件应急能力建设。市口腔医院改建，做强口内、口外、修复专科，立足本市，辐射周边。市精神病防治院做优精神、做好心理、健全功能、健全网络，逐步实现由单纯精神医学向心理、康复、养老、睡眠等多元化专业格局转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eastAsia" w:ascii="楷体_GB2312" w:hAnsi="楷体_GB2312" w:eastAsia="楷体_GB2312" w:cs="楷体_GB2312"/>
          <w:b w:val="0"/>
          <w:bCs/>
          <w:sz w:val="32"/>
          <w:szCs w:val="32"/>
          <w:u w:val="none"/>
          <w:lang w:eastAsia="zh-CN"/>
        </w:rPr>
      </w:pPr>
      <w:r>
        <w:rPr>
          <w:rFonts w:hint="eastAsia" w:ascii="楷体_GB2312" w:hAnsi="楷体_GB2312" w:eastAsia="楷体_GB2312" w:cs="楷体_GB2312"/>
          <w:b w:val="0"/>
          <w:bCs/>
          <w:sz w:val="32"/>
          <w:szCs w:val="32"/>
          <w:u w:val="none"/>
          <w:lang w:eastAsia="zh-CN"/>
        </w:rPr>
        <w:t>（三）切实发挥县级医院在县域医共体中的龙头作用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u w:val="none"/>
        </w:rPr>
      </w:pPr>
      <w:r>
        <w:rPr>
          <w:rFonts w:hint="eastAsia" w:ascii="仿宋_GB2312" w:hAnsi="仿宋_GB2312" w:eastAsia="仿宋_GB2312" w:cs="仿宋_GB2312"/>
          <w:b w:val="0"/>
          <w:bCs/>
          <w:color w:val="auto"/>
          <w:sz w:val="32"/>
          <w:szCs w:val="32"/>
          <w:u w:val="none"/>
        </w:rPr>
        <w:t>持续推进以县</w:t>
      </w:r>
      <w:r>
        <w:rPr>
          <w:rFonts w:hint="eastAsia" w:ascii="仿宋_GB2312" w:hAnsi="仿宋_GB2312" w:eastAsia="仿宋_GB2312" w:cs="仿宋_GB2312"/>
          <w:b w:val="0"/>
          <w:bCs/>
          <w:color w:val="auto"/>
          <w:sz w:val="32"/>
          <w:szCs w:val="32"/>
          <w:u w:val="none"/>
          <w:lang w:eastAsia="zh-CN"/>
        </w:rPr>
        <w:t>人民</w:t>
      </w:r>
      <w:r>
        <w:rPr>
          <w:rFonts w:hint="eastAsia" w:ascii="仿宋_GB2312" w:hAnsi="仿宋_GB2312" w:eastAsia="仿宋_GB2312" w:cs="仿宋_GB2312"/>
          <w:b w:val="0"/>
          <w:bCs/>
          <w:color w:val="auto"/>
          <w:sz w:val="32"/>
          <w:szCs w:val="32"/>
          <w:u w:val="none"/>
        </w:rPr>
        <w:t>医院（</w:t>
      </w:r>
      <w:r>
        <w:rPr>
          <w:rFonts w:hint="eastAsia" w:ascii="仿宋_GB2312" w:hAnsi="仿宋_GB2312" w:eastAsia="仿宋_GB2312" w:cs="仿宋_GB2312"/>
          <w:b w:val="0"/>
          <w:bCs/>
          <w:color w:val="auto"/>
          <w:sz w:val="32"/>
          <w:szCs w:val="32"/>
          <w:u w:val="none"/>
          <w:lang w:eastAsia="zh-CN"/>
        </w:rPr>
        <w:t>或</w:t>
      </w:r>
      <w:r>
        <w:rPr>
          <w:rFonts w:hint="eastAsia" w:ascii="仿宋_GB2312" w:hAnsi="仿宋_GB2312" w:eastAsia="仿宋_GB2312" w:cs="仿宋_GB2312"/>
          <w:b w:val="0"/>
          <w:bCs/>
          <w:color w:val="auto"/>
          <w:sz w:val="32"/>
          <w:szCs w:val="32"/>
          <w:u w:val="none"/>
        </w:rPr>
        <w:t>中医医院）为龙头的紧密型县域医共体建设，</w:t>
      </w:r>
      <w:r>
        <w:rPr>
          <w:rFonts w:hint="eastAsia" w:ascii="仿宋_GB2312" w:hAnsi="Times New Roman" w:eastAsia="仿宋_GB2312" w:cs="Times New Roman"/>
          <w:color w:val="auto"/>
          <w:sz w:val="32"/>
          <w:szCs w:val="32"/>
          <w:u w:val="none"/>
        </w:rPr>
        <w:t>加强对乡镇卫生院、村卫生室的统筹管理，做实公共卫生服务。</w:t>
      </w:r>
      <w:r>
        <w:rPr>
          <w:rFonts w:hint="eastAsia" w:ascii="仿宋_GB2312" w:hAnsi="Times New Roman" w:eastAsia="仿宋_GB2312" w:cs="Times New Roman"/>
          <w:color w:val="auto"/>
          <w:sz w:val="32"/>
          <w:szCs w:val="32"/>
          <w:u w:val="none"/>
        </w:rPr>
        <w:t>依托县</w:t>
      </w:r>
      <w:r>
        <w:rPr>
          <w:rFonts w:hint="eastAsia" w:ascii="仿宋_GB2312" w:hAnsi="Times New Roman" w:eastAsia="仿宋_GB2312" w:cs="Times New Roman"/>
          <w:color w:val="auto"/>
          <w:sz w:val="32"/>
          <w:szCs w:val="32"/>
          <w:u w:val="none"/>
          <w:lang w:eastAsia="zh-CN"/>
        </w:rPr>
        <w:t>人民</w:t>
      </w:r>
      <w:r>
        <w:rPr>
          <w:rFonts w:hint="eastAsia" w:ascii="仿宋_GB2312" w:hAnsi="Times New Roman" w:eastAsia="仿宋_GB2312" w:cs="Times New Roman"/>
          <w:color w:val="auto"/>
          <w:sz w:val="32"/>
          <w:szCs w:val="32"/>
          <w:u w:val="none"/>
        </w:rPr>
        <w:t>医院，加强感染性疾病科和相对独立的传染病病区建设</w:t>
      </w:r>
      <w:r>
        <w:rPr>
          <w:rFonts w:hint="eastAsia" w:ascii="仿宋_GB2312" w:hAnsi="Times New Roman" w:eastAsia="仿宋_GB2312" w:cs="Times New Roman"/>
          <w:color w:val="auto"/>
          <w:sz w:val="32"/>
          <w:szCs w:val="32"/>
          <w:u w:val="none"/>
          <w:lang w:eastAsia="zh-CN"/>
        </w:rPr>
        <w:t>。</w:t>
      </w:r>
      <w:r>
        <w:rPr>
          <w:rFonts w:hint="eastAsia" w:ascii="仿宋_GB2312" w:hAnsi="Times New Roman" w:eastAsia="仿宋_GB2312" w:cs="Times New Roman"/>
          <w:color w:val="auto"/>
          <w:sz w:val="32"/>
          <w:szCs w:val="32"/>
          <w:u w:val="none"/>
        </w:rPr>
        <w:t>到2025年</w:t>
      </w:r>
      <w:r>
        <w:rPr>
          <w:rFonts w:hint="eastAsia" w:ascii="仿宋_GB2312" w:hAnsi="Times New Roman" w:eastAsia="仿宋_GB2312" w:cs="Times New Roman"/>
          <w:color w:val="auto"/>
          <w:sz w:val="32"/>
          <w:szCs w:val="32"/>
          <w:u w:val="none"/>
          <w:lang w:eastAsia="zh-CN"/>
        </w:rPr>
        <w:t>，宝清县人民</w:t>
      </w:r>
      <w:r>
        <w:rPr>
          <w:rFonts w:hint="eastAsia" w:ascii="仿宋_GB2312" w:hAnsi="Times New Roman" w:eastAsia="仿宋_GB2312" w:cs="Times New Roman"/>
          <w:color w:val="auto"/>
          <w:sz w:val="32"/>
          <w:szCs w:val="32"/>
          <w:u w:val="none"/>
        </w:rPr>
        <w:t>医院力争</w:t>
      </w:r>
      <w:r>
        <w:rPr>
          <w:rFonts w:hint="eastAsia" w:ascii="仿宋_GB2312" w:hAnsi="Times New Roman" w:eastAsia="仿宋_GB2312" w:cs="Times New Roman"/>
          <w:color w:val="auto"/>
          <w:sz w:val="32"/>
          <w:szCs w:val="32"/>
          <w:u w:val="none"/>
          <w:lang w:eastAsia="zh-CN"/>
        </w:rPr>
        <w:t>创建</w:t>
      </w:r>
      <w:r>
        <w:rPr>
          <w:rFonts w:hint="eastAsia" w:ascii="仿宋_GB2312" w:hAnsi="Times New Roman" w:eastAsia="仿宋_GB2312" w:cs="Times New Roman"/>
          <w:color w:val="auto"/>
          <w:sz w:val="32"/>
          <w:szCs w:val="32"/>
          <w:u w:val="none"/>
        </w:rPr>
        <w:t>三级医院</w:t>
      </w:r>
      <w:r>
        <w:rPr>
          <w:rFonts w:hint="eastAsia" w:ascii="仿宋_GB2312" w:hAnsi="Times New Roman" w:eastAsia="仿宋_GB2312" w:cs="Times New Roman"/>
          <w:color w:val="auto"/>
          <w:sz w:val="32"/>
          <w:szCs w:val="32"/>
          <w:u w:val="none"/>
          <w:lang w:eastAsia="zh-CN"/>
        </w:rPr>
        <w:t>，提升区域内医疗服务能力</w:t>
      </w:r>
      <w:r>
        <w:rPr>
          <w:rFonts w:hint="eastAsia" w:ascii="仿宋_GB2312" w:hAnsi="Times New Roman" w:eastAsia="仿宋_GB2312" w:cs="Times New Roman"/>
          <w:color w:val="auto"/>
          <w:sz w:val="32"/>
          <w:szCs w:val="32"/>
          <w:u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eastAsia" w:ascii="楷体_GB2312" w:hAnsi="楷体_GB2312" w:eastAsia="楷体_GB2312" w:cs="楷体_GB2312"/>
          <w:b w:val="0"/>
          <w:bCs/>
          <w:color w:val="auto"/>
          <w:sz w:val="32"/>
          <w:szCs w:val="32"/>
          <w:u w:val="none"/>
          <w:lang w:eastAsia="zh-CN"/>
        </w:rPr>
      </w:pPr>
      <w:r>
        <w:rPr>
          <w:rFonts w:hint="eastAsia" w:ascii="楷体_GB2312" w:hAnsi="楷体_GB2312" w:eastAsia="楷体_GB2312" w:cs="楷体_GB2312"/>
          <w:b w:val="0"/>
          <w:bCs/>
          <w:color w:val="auto"/>
          <w:sz w:val="32"/>
          <w:szCs w:val="32"/>
          <w:u w:val="none"/>
          <w:lang w:eastAsia="zh-CN"/>
        </w:rPr>
        <w:t>（四）开展重点专科建设工作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sz w:val="32"/>
          <w:szCs w:val="32"/>
          <w:u w:val="none"/>
          <w:lang w:val="en-US" w:eastAsia="zh-CN"/>
        </w:rPr>
      </w:pPr>
      <w:r>
        <w:rPr>
          <w:rFonts w:hint="eastAsia" w:ascii="仿宋_GB2312" w:hAnsi="Times New Roman" w:eastAsia="仿宋_GB2312" w:cs="Times New Roman"/>
          <w:color w:val="auto"/>
          <w:sz w:val="32"/>
          <w:szCs w:val="32"/>
          <w:u w:val="none"/>
          <w:lang w:eastAsia="zh-CN"/>
        </w:rPr>
        <w:t>加强临床专科建设，开展市级重点专科评审。在市级重点专科的基础上，加强省级重点专科建设，全市</w:t>
      </w:r>
      <w:r>
        <w:rPr>
          <w:rFonts w:hint="eastAsia" w:ascii="仿宋_GB2312" w:hAnsi="仿宋_GB2312" w:eastAsia="仿宋_GB2312" w:cs="仿宋_GB2312"/>
          <w:b w:val="0"/>
          <w:bCs/>
          <w:color w:val="auto"/>
          <w:sz w:val="32"/>
          <w:szCs w:val="32"/>
          <w:u w:val="none"/>
        </w:rPr>
        <w:t>每年</w:t>
      </w:r>
      <w:r>
        <w:rPr>
          <w:rFonts w:hint="eastAsia" w:ascii="仿宋_GB2312" w:hAnsi="仿宋_GB2312" w:eastAsia="仿宋_GB2312" w:cs="仿宋_GB2312"/>
          <w:b w:val="0"/>
          <w:bCs/>
          <w:color w:val="auto"/>
          <w:sz w:val="32"/>
          <w:szCs w:val="32"/>
          <w:u w:val="none"/>
          <w:lang w:eastAsia="zh-CN"/>
        </w:rPr>
        <w:t>至少</w:t>
      </w:r>
      <w:r>
        <w:rPr>
          <w:rFonts w:hint="eastAsia" w:ascii="仿宋_GB2312" w:hAnsi="仿宋_GB2312" w:eastAsia="仿宋_GB2312" w:cs="仿宋_GB2312"/>
          <w:b w:val="0"/>
          <w:bCs/>
          <w:color w:val="auto"/>
          <w:sz w:val="32"/>
          <w:szCs w:val="32"/>
          <w:u w:val="none"/>
        </w:rPr>
        <w:t>新建1</w:t>
      </w:r>
      <w:r>
        <w:rPr>
          <w:rFonts w:hint="eastAsia" w:ascii="仿宋_GB2312" w:hAnsi="仿宋_GB2312" w:eastAsia="仿宋_GB2312" w:cs="仿宋_GB2312"/>
          <w:b w:val="0"/>
          <w:bCs/>
          <w:color w:val="auto"/>
          <w:sz w:val="32"/>
          <w:szCs w:val="32"/>
          <w:u w:val="none"/>
          <w:lang w:val="en-US" w:eastAsia="zh-CN"/>
        </w:rPr>
        <w:t>-3</w:t>
      </w:r>
      <w:r>
        <w:rPr>
          <w:rFonts w:hint="eastAsia" w:ascii="仿宋_GB2312" w:hAnsi="仿宋_GB2312" w:eastAsia="仿宋_GB2312" w:cs="仿宋_GB2312"/>
          <w:b w:val="0"/>
          <w:bCs/>
          <w:color w:val="auto"/>
          <w:sz w:val="32"/>
          <w:szCs w:val="32"/>
          <w:u w:val="none"/>
        </w:rPr>
        <w:t>个省级临床重点专科。</w:t>
      </w:r>
      <w:r>
        <w:rPr>
          <w:rFonts w:hint="eastAsia" w:ascii="仿宋_GB2312" w:hAnsi="仿宋_GB2312" w:eastAsia="仿宋_GB2312" w:cs="仿宋_GB2312"/>
          <w:b w:val="0"/>
          <w:bCs/>
          <w:color w:val="auto"/>
          <w:sz w:val="32"/>
          <w:szCs w:val="32"/>
          <w:u w:val="none"/>
          <w:lang w:eastAsia="zh-CN"/>
        </w:rPr>
        <w:t>每个县每年新建</w:t>
      </w:r>
      <w:r>
        <w:rPr>
          <w:rFonts w:hint="eastAsia" w:ascii="仿宋_GB2312" w:hAnsi="仿宋_GB2312" w:eastAsia="仿宋_GB2312" w:cs="仿宋_GB2312"/>
          <w:b w:val="0"/>
          <w:bCs/>
          <w:color w:val="auto"/>
          <w:sz w:val="32"/>
          <w:szCs w:val="32"/>
          <w:u w:val="none"/>
          <w:lang w:val="en-US" w:eastAsia="zh-CN"/>
        </w:rPr>
        <w:t>1-2个市级和若干县级临床重点专科。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四、保障措施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eastAsia" w:ascii="楷体_GB2312" w:hAnsi="楷体_GB2312" w:eastAsia="楷体_GB2312" w:cs="楷体_GB2312"/>
          <w:b w:val="0"/>
          <w:bCs/>
          <w:sz w:val="32"/>
          <w:szCs w:val="32"/>
          <w:u w:val="none"/>
          <w:lang w:val="en-US" w:eastAsia="zh-CN"/>
        </w:rPr>
      </w:pPr>
      <w:r>
        <w:rPr>
          <w:rFonts w:hint="eastAsia" w:ascii="楷体_GB2312" w:hAnsi="楷体_GB2312" w:eastAsia="楷体_GB2312" w:cs="楷体_GB2312"/>
          <w:b w:val="0"/>
          <w:bCs/>
          <w:sz w:val="32"/>
          <w:szCs w:val="32"/>
          <w:u w:val="none"/>
          <w:lang w:val="en-US" w:eastAsia="zh-CN"/>
        </w:rPr>
        <w:t>（一）深化体制机制改革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color w:val="auto"/>
          <w:sz w:val="32"/>
          <w:szCs w:val="32"/>
          <w:u w:val="none"/>
          <w:lang w:val="en-US" w:eastAsia="zh-CN"/>
        </w:rPr>
        <w:t>1</w:t>
      </w:r>
      <w:r>
        <w:rPr>
          <w:rFonts w:hint="eastAsia" w:ascii="仿宋_GB2312" w:hAnsi="Times New Roman" w:eastAsia="仿宋_GB2312" w:cs="Times New Roman"/>
          <w:color w:val="auto"/>
          <w:sz w:val="32"/>
          <w:szCs w:val="32"/>
          <w:u w:val="none"/>
        </w:rPr>
        <w:t>.改革人事管理制度。</w:t>
      </w:r>
      <w:r>
        <w:rPr>
          <w:rFonts w:hint="eastAsia" w:ascii="仿宋_GB2312" w:hAnsi="Times New Roman" w:eastAsia="仿宋_GB2312" w:cs="Times New Roman"/>
          <w:sz w:val="32"/>
          <w:szCs w:val="32"/>
          <w:u w:val="none"/>
          <w:shd w:val="clear" w:color="auto" w:fill="auto"/>
        </w:rPr>
        <w:t>合理制定并落实公立医院人员编制标准，建立动态核增机制，为公立医院引进高层次和急需紧缺人才提供编制保障。</w:t>
      </w:r>
      <w:r>
        <w:rPr>
          <w:rFonts w:hint="eastAsia" w:ascii="仿宋_GB2312" w:hAnsi="Times New Roman" w:eastAsia="仿宋_GB2312" w:cs="Times New Roman"/>
          <w:sz w:val="32"/>
          <w:szCs w:val="32"/>
          <w:u w:val="none"/>
        </w:rPr>
        <w:t>落实公立医院用人自主权，对编制内外人员待遇统筹考虑。落实岗位管理制度，按照医、护、药、技、管等不同类别合理设置岗位，科学编制岗位责任书，实行竞聘上岗、按岗聘用、合同管理。增加护士配备，逐步使医护比总体达到1∶2左右。</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　　2.落实公立医院内部分配自主权。按照“两个允许”要求，合理确定、动态调整公立医院薪酬水平，合理确定人员支出占公立医院业务支出的比例。建立主要体现岗位职责和知识价值的薪酬体系，实行以岗定责、以岗定薪、责薪相适、考核兑现。适当提高低年资医生薪酬水平。在核定的薪酬总量内，公立医院可采取多种方式自主分配。可自主设立体现医疗行业特点、劳动特点和岗位价值的薪酬项目，充分发挥各项目的保障和激励作用，更加注重发挥薪酬制度的保障功能。鼓励对主要负责人实行年薪制，并与绩效考核结果直接挂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eastAsia" w:ascii="仿宋_GB2312" w:hAnsi="Times New Roman" w:eastAsia="仿宋_GB2312" w:cs="Times New Roman"/>
          <w:color w:val="auto"/>
          <w:sz w:val="32"/>
          <w:szCs w:val="32"/>
          <w:u w:val="none"/>
        </w:rPr>
      </w:pPr>
      <w:r>
        <w:rPr>
          <w:rFonts w:hint="eastAsia" w:ascii="仿宋_GB2312" w:hAnsi="Times New Roman" w:eastAsia="仿宋_GB2312" w:cs="Times New Roman"/>
          <w:sz w:val="32"/>
          <w:szCs w:val="32"/>
          <w:u w:val="none"/>
        </w:rPr>
        <w:t>3.加强医务人员培养。强化医学生早临床、多临床、反复临床，加强医学人文教育。</w:t>
      </w:r>
      <w:r>
        <w:rPr>
          <w:rFonts w:hint="eastAsia" w:ascii="仿宋_GB2312" w:hAnsi="Times New Roman" w:eastAsia="仿宋_GB2312" w:cs="Times New Roman"/>
          <w:color w:val="auto"/>
          <w:sz w:val="32"/>
          <w:szCs w:val="32"/>
          <w:u w:val="none"/>
        </w:rPr>
        <w:t>落实继续医学教育制度。重点加强全科医学、老年病学、产科学、儿科学（含新生儿科）、重症、传染病学、妇幼保健、护理学等学科短缺人才的培养培训，加快高层次复合型医学人才以及医工结合、医学信息学等交叉学科人才的培养。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4.完善人才评价机制。坚持分层分类评价，</w:t>
      </w:r>
      <w:r>
        <w:rPr>
          <w:rFonts w:hint="eastAsia" w:ascii="仿宋_GB2312" w:hAnsi="Times New Roman" w:eastAsia="仿宋_GB2312" w:cs="Times New Roman"/>
          <w:sz w:val="32"/>
          <w:szCs w:val="32"/>
          <w:u w:val="none"/>
          <w:lang w:eastAsia="zh-CN"/>
        </w:rPr>
        <w:t>坚持德才兼备，突出以品德、能力、业绩和贡献为主的评价导向，</w:t>
      </w:r>
      <w:r>
        <w:rPr>
          <w:rFonts w:hint="eastAsia" w:ascii="仿宋_GB2312" w:hAnsi="Times New Roman" w:eastAsia="仿宋_GB2312" w:cs="Times New Roman"/>
          <w:sz w:val="32"/>
          <w:szCs w:val="32"/>
          <w:u w:val="none"/>
          <w:lang w:eastAsia="zh-CN"/>
        </w:rPr>
        <w:t>建立符合各层级专业技术人才工作实际和特点的评价标准。探索符合基层实际的职称评价机制，对论文、科研等不作硬性要求，结合行业特点，将病案、专业技术总结等作为</w:t>
      </w:r>
      <w:r>
        <w:rPr>
          <w:rFonts w:hint="eastAsia" w:ascii="仿宋_GB2312" w:hAnsi="Times New Roman" w:eastAsia="仿宋_GB2312" w:cs="Times New Roman"/>
          <w:sz w:val="32"/>
          <w:szCs w:val="32"/>
          <w:u w:val="none"/>
        </w:rPr>
        <w:t>评价临床工作质量的重要载体。</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　　5.深化医疗服务价格改革。健全完善灵敏有序的医疗服务价格动态调整机制，强化公立医院医疗服务项目价格监测，按要求开展公立医院医疗服务价格动态调整评估，达到启动条件的，统筹兼顾发展需要和各方承受能力，稳妥有序调整医疗服务价格，理顺比价关系，调控医疗服务价格总体水平，支持公立医院优化收入结构，提高医疗服务收入（不含药品、耗材、检查、化验收入）占医疗收入的比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6.深化医保支付方式改革。推行以按病种付费为主的多元复合式医保支付方式，开展按疾病诊断相关分组付费、区域点数法总额预算和按病种分值付费试点。探索医疗康复、慢性精神疾病等长期住院按床日付费，门诊特殊慢性病按人头付费，逐步将日间手术等纳入医保基金门诊付费范围。探索对紧密型医疗联合体实行总额付费，加强监督考核，结余留用、合理超支分担。推动公立医院积极参与国家和省级组织的药品和医用耗材集中带量采购，落实医保资金结余留用政策。探索符合中医药服务特点的医保支付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auto"/>
        <w:outlineLvl w:val="9"/>
        <w:rPr>
          <w:rFonts w:hint="eastAsia" w:ascii="楷体_GB2312" w:hAnsi="楷体_GB2312" w:eastAsia="楷体_GB2312" w:cs="楷体_GB2312"/>
          <w:b w:val="0"/>
          <w:bCs/>
          <w:kern w:val="2"/>
          <w:sz w:val="32"/>
          <w:szCs w:val="32"/>
          <w:u w:val="none"/>
          <w:lang w:val="en-US" w:eastAsia="zh-CN" w:bidi="ar-SA"/>
        </w:rPr>
      </w:pPr>
      <w:r>
        <w:rPr>
          <w:rFonts w:hint="eastAsia" w:ascii="楷体_GB2312" w:hAnsi="楷体_GB2312" w:eastAsia="楷体_GB2312" w:cs="楷体_GB2312"/>
          <w:b w:val="0"/>
          <w:bCs/>
          <w:kern w:val="2"/>
          <w:sz w:val="32"/>
          <w:szCs w:val="32"/>
          <w:u w:val="none"/>
          <w:lang w:val="en-US" w:eastAsia="zh-CN" w:bidi="ar-SA"/>
        </w:rPr>
        <w:t>（二）提高医疗服务水平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u w:val="none"/>
        </w:rPr>
      </w:pPr>
      <w:r>
        <w:rPr>
          <w:rFonts w:hint="eastAsia" w:ascii="仿宋_GB2312" w:hAnsi="仿宋_GB2312" w:eastAsia="仿宋_GB2312" w:cs="仿宋_GB2312"/>
          <w:i w:val="0"/>
          <w:caps w:val="0"/>
          <w:color w:val="333333"/>
          <w:spacing w:val="0"/>
          <w:sz w:val="32"/>
          <w:szCs w:val="32"/>
          <w:u w:val="none"/>
          <w:shd w:val="clear" w:fill="FFFFFF"/>
          <w:lang w:val="en-US" w:eastAsia="zh-CN"/>
        </w:rPr>
        <w:t>1</w:t>
      </w:r>
      <w:r>
        <w:rPr>
          <w:rFonts w:hint="eastAsia" w:ascii="仿宋_GB2312" w:hAnsi="仿宋_GB2312" w:eastAsia="仿宋_GB2312" w:cs="仿宋_GB2312"/>
          <w:i w:val="0"/>
          <w:caps w:val="0"/>
          <w:color w:val="333333"/>
          <w:spacing w:val="0"/>
          <w:sz w:val="32"/>
          <w:szCs w:val="32"/>
          <w:u w:val="none"/>
          <w:shd w:val="clear" w:fill="FFFFFF"/>
        </w:rPr>
        <w:t>.</w:t>
      </w:r>
      <w:r>
        <w:rPr>
          <w:rFonts w:hint="eastAsia" w:ascii="仿宋_GB2312" w:hAnsi="Times New Roman" w:eastAsia="仿宋_GB2312" w:cs="Times New Roman"/>
          <w:sz w:val="32"/>
          <w:szCs w:val="32"/>
          <w:u w:val="none"/>
        </w:rPr>
        <w:t>加强医疗质量管理。落实医疗质量安全核心制度，推动医疗机构建立医疗质量管理三级网络，形成质量管理委员会、职能管理部门和业务科室之间的互动和联动。严格执行公立医院等级评审标准，全面提高医院管理水平、医疗技术水平和服务质量。强化疾病诊断相关分组（DRG）数据评价工具的应用，加强病案首页质量管理，建立数据采集、共享和业务协同的质控监测系统。</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　　</w:t>
      </w:r>
      <w:r>
        <w:rPr>
          <w:rFonts w:hint="eastAsia" w:ascii="仿宋_GB2312" w:hAnsi="Times New Roman" w:eastAsia="仿宋_GB2312" w:cs="Times New Roman"/>
          <w:sz w:val="32"/>
          <w:szCs w:val="32"/>
          <w:u w:val="none"/>
          <w:lang w:val="en-US" w:eastAsia="zh-CN"/>
        </w:rPr>
        <w:t>2.</w:t>
      </w:r>
      <w:r>
        <w:rPr>
          <w:rFonts w:hint="eastAsia" w:ascii="仿宋_GB2312" w:hAnsi="Times New Roman" w:eastAsia="仿宋_GB2312" w:cs="Times New Roman"/>
          <w:sz w:val="32"/>
          <w:szCs w:val="32"/>
          <w:u w:val="none"/>
        </w:rPr>
        <w:t>加强医疗科研攻关。强化科技对重大疫情、重大疾病和突发公共卫生事件应对的支撑作用。开展防、诊、治新技术、新方法的研究和应用评价，加强基础和临床研究，鼓励医护人员积极申报国家、省级等各类科研攻关项目，按规定对完成、转化科技成果作出重要贡献人员给予奖励，</w:t>
      </w:r>
      <w:r>
        <w:rPr>
          <w:rFonts w:hint="eastAsia" w:ascii="仿宋_GB2312" w:hAnsi="Times New Roman" w:eastAsia="仿宋_GB2312" w:cs="Times New Roman"/>
          <w:sz w:val="32"/>
          <w:szCs w:val="32"/>
          <w:highlight w:val="none"/>
          <w:u w:val="none"/>
        </w:rPr>
        <w:t>奖励资金计入医院薪酬总量，不受总量限制。加强对</w:t>
      </w:r>
      <w:r>
        <w:rPr>
          <w:rFonts w:hint="eastAsia" w:ascii="仿宋_GB2312" w:hAnsi="Times New Roman" w:eastAsia="仿宋_GB2312" w:cs="Times New Roman"/>
          <w:sz w:val="32"/>
          <w:szCs w:val="32"/>
          <w:u w:val="none"/>
        </w:rPr>
        <w:t>有明显中医药特色和优势的重点病种研究。加快发展商业健康保险，促进医疗新技术进入临床使用。</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　　</w:t>
      </w:r>
      <w:r>
        <w:rPr>
          <w:rFonts w:hint="eastAsia" w:ascii="仿宋_GB2312" w:hAnsi="Times New Roman" w:eastAsia="仿宋_GB2312" w:cs="Times New Roman"/>
          <w:sz w:val="32"/>
          <w:szCs w:val="32"/>
          <w:u w:val="none"/>
          <w:lang w:val="en-US" w:eastAsia="zh-CN"/>
        </w:rPr>
        <w:t>3.</w:t>
      </w:r>
      <w:r>
        <w:rPr>
          <w:rFonts w:hint="eastAsia" w:ascii="仿宋_GB2312" w:hAnsi="Times New Roman" w:eastAsia="仿宋_GB2312" w:cs="Times New Roman"/>
          <w:sz w:val="32"/>
          <w:szCs w:val="32"/>
          <w:u w:val="none"/>
        </w:rPr>
        <w:t>创新医疗服务模式。以肿瘤、疑难复杂疾病、多系统多器官疾病为重点，推广住院和门诊多学科诊疗模式，将中医纳入多学科会诊体系。提高日间手术占择期手术比例。建立和完善急危重症患者救治体系和院前院内信息共享网络，提供一体化综合救治服务，推进院前医疗急救网络建设。做实责任制整体护理。开设合理用药咨询或药物治疗门诊，提供精准用药服务。创新医防协同机制，建立人员通、信息通、资源通和监督监管相互制约的机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lang w:val="en-US" w:eastAsia="zh-CN"/>
        </w:rPr>
        <w:t>4.</w:t>
      </w:r>
      <w:r>
        <w:rPr>
          <w:rFonts w:hint="eastAsia" w:ascii="仿宋_GB2312" w:hAnsi="Times New Roman" w:eastAsia="仿宋_GB2312" w:cs="Times New Roman"/>
          <w:sz w:val="32"/>
          <w:szCs w:val="32"/>
          <w:u w:val="none"/>
        </w:rPr>
        <w:t>提高信息化建设水平。加快推进医院信息化集成和电子健康卡应用，并与区域全民健康信息平台互联互通信息共享。大力发展远程医疗和互联网诊疗。推进电子病历、智慧服务、智慧管理“三位一体”的智慧医院建设和信息标准化建设。建立药品追溯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auto"/>
        <w:outlineLvl w:val="9"/>
        <w:rPr>
          <w:rFonts w:hint="eastAsia" w:ascii="楷体_GB2312" w:hAnsi="楷体_GB2312" w:eastAsia="楷体_GB2312" w:cs="楷体_GB2312"/>
          <w:b w:val="0"/>
          <w:bCs w:val="0"/>
          <w:i w:val="0"/>
          <w:caps w:val="0"/>
          <w:color w:val="333333"/>
          <w:spacing w:val="0"/>
          <w:sz w:val="32"/>
          <w:szCs w:val="32"/>
          <w:u w:val="none"/>
          <w:shd w:val="clear" w:fill="FFFFFF"/>
        </w:rPr>
      </w:pPr>
      <w:r>
        <w:rPr>
          <w:rFonts w:hint="eastAsia" w:ascii="楷体_GB2312" w:hAnsi="楷体_GB2312" w:eastAsia="楷体_GB2312" w:cs="楷体_GB2312"/>
          <w:b w:val="0"/>
          <w:bCs w:val="0"/>
          <w:sz w:val="32"/>
          <w:szCs w:val="32"/>
          <w:u w:val="none"/>
          <w:lang w:val="en-US" w:eastAsia="zh-CN"/>
        </w:rPr>
        <w:t xml:space="preserve"> </w:t>
      </w:r>
      <w:r>
        <w:rPr>
          <w:rFonts w:hint="eastAsia" w:ascii="楷体_GB2312" w:hAnsi="楷体_GB2312" w:eastAsia="楷体_GB2312" w:cs="楷体_GB2312"/>
          <w:b w:val="0"/>
          <w:bCs w:val="0"/>
          <w:i w:val="0"/>
          <w:caps w:val="0"/>
          <w:color w:val="333333"/>
          <w:spacing w:val="0"/>
          <w:sz w:val="32"/>
          <w:szCs w:val="32"/>
          <w:u w:val="none"/>
          <w:shd w:val="clear" w:fill="FFFFFF"/>
        </w:rPr>
        <w:t>（</w:t>
      </w:r>
      <w:r>
        <w:rPr>
          <w:rFonts w:hint="eastAsia" w:ascii="楷体_GB2312" w:hAnsi="楷体_GB2312" w:eastAsia="楷体_GB2312" w:cs="楷体_GB2312"/>
          <w:b w:val="0"/>
          <w:bCs w:val="0"/>
          <w:i w:val="0"/>
          <w:caps w:val="0"/>
          <w:color w:val="333333"/>
          <w:spacing w:val="0"/>
          <w:sz w:val="32"/>
          <w:szCs w:val="32"/>
          <w:u w:val="none"/>
          <w:shd w:val="clear" w:fill="FFFFFF"/>
          <w:lang w:eastAsia="zh-CN"/>
        </w:rPr>
        <w:t>三</w:t>
      </w:r>
      <w:r>
        <w:rPr>
          <w:rFonts w:hint="eastAsia" w:ascii="楷体_GB2312" w:hAnsi="楷体_GB2312" w:eastAsia="楷体_GB2312" w:cs="楷体_GB2312"/>
          <w:b w:val="0"/>
          <w:bCs w:val="0"/>
          <w:i w:val="0"/>
          <w:caps w:val="0"/>
          <w:color w:val="333333"/>
          <w:spacing w:val="0"/>
          <w:sz w:val="32"/>
          <w:szCs w:val="32"/>
          <w:u w:val="none"/>
          <w:shd w:val="clear" w:fill="FFFFFF"/>
        </w:rPr>
        <w:t>）加强医院</w:t>
      </w:r>
      <w:r>
        <w:rPr>
          <w:rFonts w:hint="eastAsia" w:ascii="楷体_GB2312" w:hAnsi="楷体_GB2312" w:eastAsia="楷体_GB2312" w:cs="楷体_GB2312"/>
          <w:b w:val="0"/>
          <w:bCs w:val="0"/>
          <w:i w:val="0"/>
          <w:caps w:val="0"/>
          <w:color w:val="333333"/>
          <w:spacing w:val="0"/>
          <w:sz w:val="32"/>
          <w:szCs w:val="32"/>
          <w:u w:val="none"/>
          <w:shd w:val="clear" w:fill="FFFFFF"/>
          <w:lang w:eastAsia="zh-CN"/>
        </w:rPr>
        <w:t>运营</w:t>
      </w:r>
      <w:r>
        <w:rPr>
          <w:rFonts w:hint="eastAsia" w:ascii="楷体_GB2312" w:hAnsi="楷体_GB2312" w:eastAsia="楷体_GB2312" w:cs="楷体_GB2312"/>
          <w:b w:val="0"/>
          <w:bCs w:val="0"/>
          <w:i w:val="0"/>
          <w:caps w:val="0"/>
          <w:color w:val="333333"/>
          <w:spacing w:val="0"/>
          <w:sz w:val="32"/>
          <w:szCs w:val="32"/>
          <w:u w:val="none"/>
          <w:shd w:val="clear" w:fill="FFFFFF"/>
        </w:rPr>
        <w:t>管理</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Times New Roman" w:eastAsia="仿宋_GB2312" w:cs="Times New Roman"/>
          <w:sz w:val="32"/>
          <w:szCs w:val="32"/>
          <w:u w:val="none"/>
        </w:rPr>
      </w:pPr>
      <w:r>
        <w:rPr>
          <w:rFonts w:hint="eastAsia" w:ascii="仿宋_GB2312" w:hAnsi="仿宋_GB2312" w:eastAsia="仿宋_GB2312" w:cs="仿宋_GB2312"/>
          <w:i w:val="0"/>
          <w:caps w:val="0"/>
          <w:color w:val="333333"/>
          <w:spacing w:val="0"/>
          <w:sz w:val="32"/>
          <w:szCs w:val="32"/>
          <w:u w:val="none"/>
          <w:shd w:val="clear" w:fill="FFFFFF"/>
          <w:lang w:val="en-US" w:eastAsia="zh-CN"/>
        </w:rPr>
        <w:t xml:space="preserve">    </w:t>
      </w:r>
      <w:r>
        <w:rPr>
          <w:rFonts w:hint="eastAsia" w:ascii="仿宋_GB2312" w:hAnsi="Times New Roman" w:eastAsia="仿宋_GB2312" w:cs="Times New Roman"/>
          <w:sz w:val="32"/>
          <w:szCs w:val="32"/>
          <w:u w:val="none"/>
          <w:lang w:val="en-US" w:eastAsia="zh-CN"/>
        </w:rPr>
        <w:t>1</w:t>
      </w:r>
      <w:r>
        <w:rPr>
          <w:rFonts w:hint="eastAsia" w:ascii="仿宋_GB2312" w:hAnsi="Times New Roman" w:eastAsia="仿宋_GB2312" w:cs="Times New Roman"/>
          <w:sz w:val="32"/>
          <w:szCs w:val="32"/>
          <w:u w:val="none"/>
        </w:rPr>
        <w:t>.健全运营管理体系。提高医疗、教学、科研、预防等核心业务及人、财、物供给效率，建立医院运营管理决策支持系统，推动运营管理的科学化、规范化、精细化。利用数据支撑，建立病种组合标准体系，对治疗标准、药品标准和耗材标准进行量化，加强病例组合指数（CMI）、成本产出、医生绩效等监测评价，提高效率、节约费用，减轻患者就医负担。</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　　</w:t>
      </w:r>
      <w:r>
        <w:rPr>
          <w:rFonts w:hint="eastAsia" w:ascii="仿宋_GB2312" w:hAnsi="Times New Roman" w:eastAsia="仿宋_GB2312" w:cs="Times New Roman"/>
          <w:sz w:val="32"/>
          <w:szCs w:val="32"/>
          <w:u w:val="none"/>
          <w:lang w:val="en-US" w:eastAsia="zh-CN"/>
        </w:rPr>
        <w:t>2</w:t>
      </w:r>
      <w:r>
        <w:rPr>
          <w:rFonts w:hint="eastAsia" w:ascii="仿宋_GB2312" w:hAnsi="Times New Roman" w:eastAsia="仿宋_GB2312" w:cs="Times New Roman"/>
          <w:sz w:val="32"/>
          <w:szCs w:val="32"/>
          <w:u w:val="none"/>
        </w:rPr>
        <w:t>.实施全面预算管理。依托医院发展战略和年度工作目标，制定预算绩效目标，加强预算编制、审批、执行、监控、调整、决算、分析、考核等管理，从数量、质量、实效、成本、效益等方面实施全方位、全过程、全覆盖预算绩效管理。定期公开医院财务管理信息，主动接受社会监督。推进建立权责对等的总会计师委派制。</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　　</w:t>
      </w:r>
      <w:r>
        <w:rPr>
          <w:rFonts w:hint="eastAsia" w:ascii="仿宋_GB2312" w:hAnsi="Times New Roman" w:eastAsia="仿宋_GB2312" w:cs="Times New Roman"/>
          <w:sz w:val="32"/>
          <w:szCs w:val="32"/>
          <w:u w:val="none"/>
          <w:lang w:val="en-US" w:eastAsia="zh-CN"/>
        </w:rPr>
        <w:t>3</w:t>
      </w:r>
      <w:r>
        <w:rPr>
          <w:rFonts w:hint="eastAsia" w:ascii="仿宋_GB2312" w:hAnsi="Times New Roman" w:eastAsia="仿宋_GB2312" w:cs="Times New Roman"/>
          <w:sz w:val="32"/>
          <w:szCs w:val="32"/>
          <w:u w:val="none"/>
        </w:rPr>
        <w:t>.完善内部控制制度。建立覆盖医院经济和业务活动全范围的内部控制管理体系，重点建设重大决策、重大风险、重大事件、重要流程的内部控制方案和措施，实行内部授权审批控制、预算控制、资产控制、会计控制、政府采购控制、信息公开控制等。建立健全内部控制的评价与监督机制，对于发现的内控缺陷及时采取措施加以改进。强化成本消耗关键环节的流</w:t>
      </w:r>
      <w:r>
        <w:rPr>
          <w:rFonts w:hint="eastAsia" w:ascii="仿宋_GB2312" w:hAnsi="Times New Roman" w:eastAsia="仿宋_GB2312" w:cs="Times New Roman"/>
          <w:sz w:val="32"/>
          <w:szCs w:val="32"/>
          <w:highlight w:val="none"/>
          <w:u w:val="none"/>
        </w:rPr>
        <w:t>程管理，降低万元收入能耗支出。推广医院后勤“一站式”服务。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lang w:val="en-US" w:eastAsia="zh-CN"/>
        </w:rPr>
        <w:t>4</w:t>
      </w:r>
      <w:r>
        <w:rPr>
          <w:rFonts w:hint="eastAsia" w:ascii="仿宋_GB2312" w:hAnsi="Times New Roman" w:eastAsia="仿宋_GB2312" w:cs="Times New Roman"/>
          <w:sz w:val="32"/>
          <w:szCs w:val="32"/>
          <w:u w:val="none"/>
        </w:rPr>
        <w:t>.健全绩效评价机制。全面开展绩效考核，强化结果运用，将考核结果作为公立医院发展规划、重大项目立项、财政投入、经费核拨、绩效工资总量核定、医保政策调整的重要依据。健全完善城市医疗集团和县域医共体绩效考核制度，促进资源下沉和有效利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_GB2312" w:hAnsi="楷体_GB2312" w:eastAsia="楷体_GB2312" w:cs="楷体_GB2312"/>
          <w:b w:val="0"/>
          <w:bCs w:val="0"/>
          <w:i w:val="0"/>
          <w:caps w:val="0"/>
          <w:color w:val="484848"/>
          <w:spacing w:val="0"/>
          <w:sz w:val="32"/>
          <w:szCs w:val="32"/>
          <w:u w:val="none"/>
          <w:lang w:eastAsia="zh-CN"/>
        </w:rPr>
      </w:pPr>
      <w:r>
        <w:rPr>
          <w:rFonts w:hint="eastAsia" w:ascii="楷体_GB2312" w:hAnsi="楷体_GB2312" w:eastAsia="楷体_GB2312" w:cs="楷体_GB2312"/>
          <w:b w:val="0"/>
          <w:bCs w:val="0"/>
          <w:sz w:val="32"/>
          <w:szCs w:val="32"/>
          <w:u w:val="none"/>
          <w:lang w:val="en-US" w:eastAsia="zh-CN"/>
        </w:rPr>
        <w:t>（四）</w:t>
      </w:r>
      <w:r>
        <w:rPr>
          <w:rFonts w:hint="eastAsia" w:ascii="楷体_GB2312" w:hAnsi="楷体_GB2312" w:eastAsia="楷体_GB2312" w:cs="楷体_GB2312"/>
          <w:b w:val="0"/>
          <w:bCs w:val="0"/>
          <w:i w:val="0"/>
          <w:caps w:val="0"/>
          <w:color w:val="484848"/>
          <w:spacing w:val="0"/>
          <w:sz w:val="32"/>
          <w:szCs w:val="32"/>
          <w:u w:val="none"/>
          <w:lang w:eastAsia="zh-CN"/>
        </w:rPr>
        <w:t>加强</w:t>
      </w:r>
      <w:r>
        <w:rPr>
          <w:rFonts w:hint="eastAsia" w:ascii="楷体_GB2312" w:hAnsi="楷体_GB2312" w:eastAsia="楷体_GB2312" w:cs="楷体_GB2312"/>
          <w:b w:val="0"/>
          <w:bCs w:val="0"/>
          <w:i w:val="0"/>
          <w:caps w:val="0"/>
          <w:color w:val="484848"/>
          <w:spacing w:val="0"/>
          <w:sz w:val="32"/>
          <w:szCs w:val="32"/>
          <w:u w:val="none"/>
        </w:rPr>
        <w:t>医院文化</w:t>
      </w:r>
      <w:r>
        <w:rPr>
          <w:rFonts w:hint="eastAsia" w:ascii="楷体_GB2312" w:hAnsi="楷体_GB2312" w:eastAsia="楷体_GB2312" w:cs="楷体_GB2312"/>
          <w:b w:val="0"/>
          <w:bCs w:val="0"/>
          <w:i w:val="0"/>
          <w:caps w:val="0"/>
          <w:color w:val="484848"/>
          <w:spacing w:val="0"/>
          <w:sz w:val="32"/>
          <w:szCs w:val="32"/>
          <w:u w:val="none"/>
          <w:lang w:eastAsia="zh-CN"/>
        </w:rPr>
        <w:t>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lang w:val="en-US" w:eastAsia="zh-CN"/>
        </w:rPr>
        <w:t>1</w:t>
      </w:r>
      <w:r>
        <w:rPr>
          <w:rFonts w:hint="eastAsia" w:ascii="仿宋_GB2312" w:hAnsi="Times New Roman" w:eastAsia="仿宋_GB2312" w:cs="Times New Roman"/>
          <w:sz w:val="32"/>
          <w:szCs w:val="32"/>
          <w:u w:val="none"/>
        </w:rPr>
        <w:t>.建设特色鲜明的医院文化。加强医学人文教育和党的宗旨教育，挖掘医院文化历史、文化特色和名医大家学术思想、高尚医德，提炼院训、愿景、使命，加深文化积淀。大力弘扬伟大抗疫精神和崇高职业精神，增强医务人员使命感、归属感和荣誉感。</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　　</w:t>
      </w:r>
      <w:r>
        <w:rPr>
          <w:rFonts w:hint="eastAsia" w:ascii="仿宋_GB2312" w:hAnsi="Times New Roman" w:eastAsia="仿宋_GB2312" w:cs="Times New Roman"/>
          <w:sz w:val="32"/>
          <w:szCs w:val="32"/>
          <w:u w:val="none"/>
          <w:lang w:val="en-US" w:eastAsia="zh-CN"/>
        </w:rPr>
        <w:t>2</w:t>
      </w:r>
      <w:r>
        <w:rPr>
          <w:rFonts w:hint="eastAsia" w:ascii="仿宋_GB2312" w:hAnsi="Times New Roman" w:eastAsia="仿宋_GB2312" w:cs="Times New Roman"/>
          <w:sz w:val="32"/>
          <w:szCs w:val="32"/>
          <w:u w:val="none"/>
        </w:rPr>
        <w:t>.强化患者需求导向。持续推进“看病不求人”行动。建立完善医患沟通制度、投诉处理制度，加强患者隐私保护，开展公益慈善和社工、志愿者服务，建设老年友善医院，促进医患良性互动。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lang w:val="en-US" w:eastAsia="zh-CN"/>
        </w:rPr>
        <w:t>3</w:t>
      </w:r>
      <w:r>
        <w:rPr>
          <w:rFonts w:hint="eastAsia" w:ascii="仿宋_GB2312" w:hAnsi="Times New Roman" w:eastAsia="仿宋_GB2312" w:cs="Times New Roman"/>
          <w:sz w:val="32"/>
          <w:szCs w:val="32"/>
          <w:u w:val="none"/>
        </w:rPr>
        <w:t>.建立健全关心关爱医务人员长效机制。为医务人员提供良好的工作和休息条件，科学安排诊疗护理班次，享受相应待遇。落实好医务人员在突发公共卫生事件期间的薪酬待遇。通过设立青年学习基金等多种方式，关心年轻医务人员成长。加强安保人员队伍建设及安防安检设施配备和升级改造，对医疗暴力“零容忍”，坚决保护医务人员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Times New Roman"/>
          <w:sz w:val="32"/>
          <w:szCs w:val="32"/>
          <w:u w:val="none"/>
        </w:rPr>
      </w:pPr>
      <w:r>
        <w:rPr>
          <w:rFonts w:hint="eastAsia" w:ascii="黑体" w:hAnsi="黑体" w:eastAsia="黑体" w:cs="Times New Roman"/>
          <w:sz w:val="32"/>
          <w:szCs w:val="32"/>
          <w:u w:val="none"/>
          <w:lang w:eastAsia="zh-CN"/>
        </w:rPr>
        <w:t>五</w:t>
      </w:r>
      <w:r>
        <w:rPr>
          <w:rFonts w:hint="eastAsia" w:ascii="黑体" w:hAnsi="黑体" w:eastAsia="黑体" w:cs="Times New Roman"/>
          <w:sz w:val="32"/>
          <w:szCs w:val="32"/>
          <w:u w:val="none"/>
        </w:rPr>
        <w:t>、组织实施</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　</w:t>
      </w:r>
      <w:r>
        <w:rPr>
          <w:rFonts w:hint="eastAsia" w:ascii="楷体_GB2312" w:hAnsi="楷体_GB2312" w:eastAsia="楷体_GB2312" w:cs="楷体_GB2312"/>
          <w:b w:val="0"/>
          <w:bCs w:val="0"/>
          <w:sz w:val="32"/>
          <w:szCs w:val="32"/>
          <w:u w:val="none"/>
        </w:rPr>
        <w:t>　（一）落实责任分工。</w:t>
      </w:r>
      <w:r>
        <w:rPr>
          <w:rFonts w:hint="eastAsia" w:ascii="仿宋_GB2312" w:hAnsi="Times New Roman" w:eastAsia="仿宋_GB2312" w:cs="Times New Roman"/>
          <w:sz w:val="32"/>
          <w:szCs w:val="32"/>
          <w:u w:val="none"/>
        </w:rPr>
        <w:t>各</w:t>
      </w:r>
      <w:r>
        <w:rPr>
          <w:rFonts w:hint="eastAsia" w:ascii="仿宋_GB2312" w:hAnsi="Times New Roman" w:eastAsia="仿宋_GB2312" w:cs="Times New Roman"/>
          <w:sz w:val="32"/>
          <w:szCs w:val="32"/>
          <w:u w:val="none"/>
          <w:lang w:eastAsia="zh-CN"/>
        </w:rPr>
        <w:t>县区</w:t>
      </w:r>
      <w:r>
        <w:rPr>
          <w:rFonts w:hint="eastAsia" w:ascii="仿宋_GB2312" w:hAnsi="Times New Roman" w:eastAsia="仿宋_GB2312" w:cs="Times New Roman"/>
          <w:sz w:val="32"/>
          <w:szCs w:val="32"/>
          <w:u w:val="none"/>
        </w:rPr>
        <w:t>要把推动公立医院高质量发展作为深化医药卫生体制改革的重点任务，强化统筹协调、督导评价，落实领导和保障责任。</w:t>
      </w:r>
      <w:r>
        <w:rPr>
          <w:rFonts w:hint="eastAsia" w:ascii="仿宋_GB2312" w:hAnsi="Times New Roman" w:eastAsia="仿宋_GB2312" w:cs="Times New Roman"/>
          <w:sz w:val="32"/>
          <w:szCs w:val="32"/>
          <w:u w:val="none"/>
          <w:lang w:eastAsia="zh-CN"/>
        </w:rPr>
        <w:t>市</w:t>
      </w:r>
      <w:r>
        <w:rPr>
          <w:rFonts w:hint="eastAsia" w:ascii="仿宋_GB2312" w:hAnsi="Times New Roman" w:eastAsia="仿宋_GB2312" w:cs="Times New Roman"/>
          <w:sz w:val="32"/>
          <w:szCs w:val="32"/>
          <w:u w:val="none"/>
        </w:rPr>
        <w:t>医改领导小组秘书处牵头抓总，建立任务推进台账，动态监测、定期通报。</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　　</w:t>
      </w:r>
      <w:r>
        <w:rPr>
          <w:rFonts w:hint="eastAsia" w:ascii="楷体_GB2312" w:hAnsi="楷体_GB2312" w:eastAsia="楷体_GB2312" w:cs="楷体_GB2312"/>
          <w:b w:val="0"/>
          <w:bCs w:val="0"/>
          <w:sz w:val="32"/>
          <w:szCs w:val="32"/>
          <w:u w:val="none"/>
        </w:rPr>
        <w:t>（二）落实政府投入责任。</w:t>
      </w:r>
      <w:r>
        <w:rPr>
          <w:rFonts w:hint="eastAsia" w:ascii="仿宋_GB2312" w:hAnsi="Times New Roman" w:eastAsia="仿宋_GB2312" w:cs="Times New Roman"/>
          <w:sz w:val="32"/>
          <w:szCs w:val="32"/>
          <w:u w:val="none"/>
        </w:rPr>
        <w:t>各级政府要切实履行公立医院建设主体责任，按规定落实政府对符合区域卫生规划公立医院的基本建设和设备购置、重点学科发展、人才培养、符合国家规定的离退休人员费用、政策性亏损投入政策，加大对中医医院、传染病医院、精神病医院、儿童医院、妇幼保健院等专科医院的投入政策倾斜力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ascii="仿宋_GB2312" w:hAnsi="Times New Roman" w:eastAsia="仿宋_GB2312" w:cs="Times New Roman"/>
          <w:sz w:val="32"/>
          <w:szCs w:val="32"/>
          <w:u w:val="none"/>
        </w:rPr>
      </w:pPr>
      <w:r>
        <w:rPr>
          <w:rFonts w:hint="eastAsia" w:ascii="楷体_GB2312" w:hAnsi="楷体_GB2312" w:eastAsia="楷体_GB2312" w:cs="楷体_GB2312"/>
          <w:b w:val="0"/>
          <w:bCs w:val="0"/>
          <w:sz w:val="32"/>
          <w:szCs w:val="32"/>
          <w:u w:val="none"/>
        </w:rPr>
        <w:t>（三）强化试点引领。</w:t>
      </w:r>
      <w:r>
        <w:rPr>
          <w:rFonts w:hint="eastAsia" w:ascii="仿宋_GB2312" w:hAnsi="Times New Roman" w:eastAsia="仿宋_GB2312" w:cs="Times New Roman"/>
          <w:sz w:val="32"/>
          <w:szCs w:val="32"/>
          <w:u w:val="none"/>
        </w:rPr>
        <w:t>确定</w:t>
      </w:r>
      <w:r>
        <w:rPr>
          <w:rFonts w:hint="eastAsia" w:ascii="仿宋_GB2312" w:hAnsi="Times New Roman" w:eastAsia="仿宋_GB2312" w:cs="Times New Roman"/>
          <w:sz w:val="32"/>
          <w:szCs w:val="32"/>
          <w:u w:val="none"/>
          <w:lang w:eastAsia="zh-CN"/>
        </w:rPr>
        <w:t>市人民医院为</w:t>
      </w:r>
      <w:r>
        <w:rPr>
          <w:rFonts w:hint="eastAsia" w:ascii="仿宋_GB2312" w:hAnsi="Times New Roman" w:eastAsia="仿宋_GB2312" w:cs="Times New Roman"/>
          <w:sz w:val="32"/>
          <w:szCs w:val="32"/>
          <w:u w:val="none"/>
        </w:rPr>
        <w:t>市级公立医院高质量发展试点，</w:t>
      </w:r>
      <w:r>
        <w:rPr>
          <w:rFonts w:hint="eastAsia" w:ascii="仿宋_GB2312" w:hAnsi="Times New Roman" w:eastAsia="仿宋_GB2312" w:cs="Times New Roman"/>
          <w:sz w:val="32"/>
          <w:szCs w:val="32"/>
          <w:u w:val="none"/>
          <w:lang w:eastAsia="zh-CN"/>
        </w:rPr>
        <w:t>探</w:t>
      </w:r>
      <w:r>
        <w:rPr>
          <w:rFonts w:hint="eastAsia" w:ascii="仿宋_GB2312" w:hAnsi="Times New Roman" w:eastAsia="仿宋_GB2312" w:cs="Times New Roman"/>
          <w:sz w:val="32"/>
          <w:szCs w:val="32"/>
          <w:u w:val="none"/>
        </w:rPr>
        <w:t>索各级各类公立医院高质量发展的实施路径和支撑体系。及时进行总结提炼、宣传推广典型经验做法。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ascii="仿宋_GB2312" w:hAnsi="Times New Roman" w:eastAsia="仿宋_GB2312" w:cs="Times New Roman"/>
          <w:sz w:val="32"/>
          <w:szCs w:val="32"/>
          <w:u w:val="none"/>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rPr>
        <w:t>附件：</w:t>
      </w:r>
      <w:r>
        <w:rPr>
          <w:rFonts w:hint="eastAsia" w:ascii="仿宋_GB2312" w:hAnsi="Times New Roman" w:eastAsia="仿宋_GB2312" w:cs="Times New Roman"/>
          <w:sz w:val="32"/>
          <w:szCs w:val="32"/>
          <w:u w:val="none"/>
          <w:lang w:eastAsia="zh-CN"/>
        </w:rPr>
        <w:t>双鸭山市</w:t>
      </w:r>
      <w:r>
        <w:rPr>
          <w:rFonts w:hint="eastAsia" w:ascii="仿宋_GB2312" w:hAnsi="Times New Roman" w:eastAsia="仿宋_GB2312" w:cs="Times New Roman"/>
          <w:sz w:val="32"/>
          <w:szCs w:val="32"/>
          <w:u w:val="none"/>
        </w:rPr>
        <w:t>推动公立医院高质量发展重点任务清单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u w:val="none"/>
        </w:rPr>
        <w:sectPr>
          <w:footerReference r:id="rId3" w:type="default"/>
          <w:pgSz w:w="11906" w:h="16838"/>
          <w:pgMar w:top="2098" w:right="1474" w:bottom="1984" w:left="1587" w:header="851" w:footer="992" w:gutter="0"/>
          <w:pgNumType w:fmt="numberInDash"/>
          <w:cols w:space="0" w:num="1"/>
          <w:rtlGutter w:val="0"/>
          <w:docGrid w:type="lines" w:linePitch="318" w:charSpace="0"/>
        </w:sectPr>
      </w:pPr>
    </w:p>
    <w:p>
      <w:pPr>
        <w:shd w:val="clear"/>
        <w:rPr>
          <w:u w:val="none"/>
        </w:rPr>
      </w:pPr>
    </w:p>
    <w:p>
      <w:pPr>
        <w:overflowPunct w:val="0"/>
        <w:spacing w:line="560" w:lineRule="exact"/>
        <w:jc w:val="center"/>
        <w:rPr>
          <w:rFonts w:ascii="方正小标宋_GBK" w:hAnsi="Calibri" w:eastAsia="方正小标宋_GBK" w:cs="方正小标宋_GBK"/>
          <w:sz w:val="44"/>
          <w:szCs w:val="44"/>
          <w:u w:val="none"/>
        </w:rPr>
      </w:pPr>
      <w:bookmarkStart w:id="0" w:name="_GoBack"/>
      <w:bookmarkEnd w:id="0"/>
      <w:r>
        <w:rPr>
          <w:rFonts w:hint="eastAsia" w:ascii="方正小标宋_GBK" w:eastAsia="方正小标宋_GBK" w:cs="方正小标宋_GBK"/>
          <w:color w:val="000000"/>
          <w:sz w:val="44"/>
          <w:szCs w:val="44"/>
          <w:u w:val="none"/>
        </w:rPr>
        <w:t>黑龙江省推动公立医院高质量发展</w:t>
      </w:r>
      <w:r>
        <w:rPr>
          <w:rFonts w:hint="eastAsia" w:ascii="方正小标宋_GBK" w:eastAsia="方正小标宋_GBK" w:cs="方正小标宋_GBK"/>
          <w:sz w:val="44"/>
          <w:szCs w:val="44"/>
          <w:u w:val="none"/>
        </w:rPr>
        <w:t>重点任务清单</w:t>
      </w:r>
    </w:p>
    <w:p>
      <w:pPr>
        <w:overflowPunct w:val="0"/>
        <w:spacing w:line="540" w:lineRule="exact"/>
        <w:jc w:val="center"/>
        <w:rPr>
          <w:rFonts w:ascii="黑体" w:eastAsia="黑体" w:cs="Arial"/>
          <w:sz w:val="44"/>
          <w:szCs w:val="44"/>
          <w:u w:val="none"/>
        </w:rPr>
      </w:pPr>
    </w:p>
    <w:tbl>
      <w:tblPr>
        <w:tblStyle w:val="5"/>
        <w:tblW w:w="13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668"/>
        <w:gridCol w:w="1844"/>
        <w:gridCol w:w="1778"/>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74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黑体" w:hAnsi="Calibri" w:eastAsia="黑体" w:cs="Arial"/>
                <w:color w:val="000000"/>
                <w:sz w:val="24"/>
                <w:szCs w:val="24"/>
                <w:u w:val="none"/>
              </w:rPr>
            </w:pPr>
            <w:r>
              <w:rPr>
                <w:rFonts w:hint="eastAsia" w:ascii="黑体" w:eastAsia="黑体"/>
                <w:color w:val="000000"/>
                <w:sz w:val="24"/>
                <w:u w:val="none"/>
              </w:rPr>
              <w:t>序号</w:t>
            </w:r>
          </w:p>
        </w:tc>
        <w:tc>
          <w:tcPr>
            <w:tcW w:w="7668"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黑体" w:hAnsi="Calibri" w:eastAsia="黑体" w:cs="Arial"/>
                <w:color w:val="000000"/>
                <w:sz w:val="24"/>
                <w:szCs w:val="24"/>
                <w:u w:val="none"/>
              </w:rPr>
            </w:pPr>
            <w:r>
              <w:rPr>
                <w:rFonts w:hint="eastAsia" w:ascii="黑体" w:eastAsia="黑体"/>
                <w:color w:val="000000"/>
                <w:sz w:val="24"/>
                <w:u w:val="none"/>
              </w:rPr>
              <w:t>任务内容</w:t>
            </w:r>
          </w:p>
        </w:tc>
        <w:tc>
          <w:tcPr>
            <w:tcW w:w="184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黑体" w:hAnsi="Calibri" w:eastAsia="黑体" w:cs="Arial"/>
                <w:color w:val="000000"/>
                <w:sz w:val="24"/>
                <w:szCs w:val="24"/>
                <w:u w:val="none"/>
              </w:rPr>
            </w:pPr>
            <w:r>
              <w:rPr>
                <w:rFonts w:hint="eastAsia" w:ascii="黑体" w:eastAsia="黑体"/>
                <w:color w:val="000000"/>
                <w:sz w:val="24"/>
                <w:u w:val="none"/>
              </w:rPr>
              <w:t>牵头单位</w:t>
            </w:r>
          </w:p>
        </w:tc>
        <w:tc>
          <w:tcPr>
            <w:tcW w:w="1778"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黑体" w:hAnsi="Calibri" w:eastAsia="黑体" w:cs="Arial"/>
                <w:color w:val="000000"/>
                <w:sz w:val="24"/>
                <w:szCs w:val="24"/>
                <w:u w:val="none"/>
              </w:rPr>
            </w:pPr>
            <w:r>
              <w:rPr>
                <w:rFonts w:hint="eastAsia" w:ascii="黑体" w:eastAsia="黑体"/>
                <w:color w:val="000000"/>
                <w:sz w:val="24"/>
                <w:u w:val="none"/>
              </w:rPr>
              <w:t>责任单位</w:t>
            </w:r>
          </w:p>
        </w:tc>
        <w:tc>
          <w:tcPr>
            <w:tcW w:w="177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黑体" w:hAnsi="Calibri" w:eastAsia="黑体" w:cs="Arial"/>
                <w:color w:val="000000"/>
                <w:sz w:val="24"/>
                <w:szCs w:val="24"/>
                <w:u w:val="none"/>
              </w:rPr>
            </w:pPr>
            <w:r>
              <w:rPr>
                <w:rFonts w:hint="eastAsia" w:ascii="黑体" w:eastAsia="黑体"/>
                <w:color w:val="000000"/>
                <w:sz w:val="24"/>
                <w:u w:val="none"/>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sz w:val="20"/>
                <w:szCs w:val="20"/>
                <w:u w:val="none"/>
              </w:rPr>
            </w:pPr>
            <w:r>
              <w:rPr>
                <w:rFonts w:hint="eastAsia" w:ascii="宋体"/>
                <w:sz w:val="20"/>
                <w:szCs w:val="20"/>
                <w:u w:val="none"/>
              </w:rPr>
              <w:t>1</w:t>
            </w:r>
          </w:p>
        </w:tc>
        <w:tc>
          <w:tcPr>
            <w:tcW w:w="7668" w:type="dxa"/>
            <w:tcBorders>
              <w:top w:val="single" w:color="auto" w:sz="4" w:space="0"/>
              <w:left w:val="single" w:color="auto" w:sz="4" w:space="0"/>
              <w:bottom w:val="single" w:color="auto" w:sz="4" w:space="0"/>
              <w:right w:val="single" w:color="auto" w:sz="4" w:space="0"/>
            </w:tcBorders>
            <w:vAlign w:val="center"/>
          </w:tcPr>
          <w:p>
            <w:pPr>
              <w:jc w:val="left"/>
              <w:rPr>
                <w:rFonts w:ascii="宋体" w:hAnsi="Calibri" w:eastAsia="宋体" w:cs="Arial"/>
                <w:sz w:val="20"/>
                <w:szCs w:val="20"/>
                <w:u w:val="none"/>
              </w:rPr>
            </w:pPr>
            <w:r>
              <w:rPr>
                <w:rFonts w:hint="eastAsia" w:ascii="宋体"/>
                <w:sz w:val="20"/>
                <w:szCs w:val="20"/>
                <w:u w:val="none"/>
              </w:rPr>
              <w:t>健全完善院党委会和院长办公会议事决策制度，在医院章程明确党建工作的内容和要求，选优配强医院领导班子成员特别是党委书记和院长。</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sz w:val="20"/>
                <w:szCs w:val="20"/>
                <w:u w:val="none"/>
              </w:rPr>
            </w:pPr>
            <w:r>
              <w:rPr>
                <w:rFonts w:hint="eastAsia" w:ascii="宋体"/>
                <w:sz w:val="20"/>
                <w:szCs w:val="20"/>
                <w:u w:val="none"/>
                <w:lang w:eastAsia="zh-CN"/>
              </w:rPr>
              <w:t>市</w:t>
            </w:r>
            <w:r>
              <w:rPr>
                <w:rFonts w:hint="eastAsia" w:ascii="宋体"/>
                <w:sz w:val="20"/>
                <w:szCs w:val="20"/>
                <w:u w:val="none"/>
              </w:rPr>
              <w:t>委组织部</w:t>
            </w:r>
          </w:p>
        </w:tc>
        <w:tc>
          <w:tcPr>
            <w:tcW w:w="17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Arial"/>
                <w:sz w:val="20"/>
                <w:szCs w:val="20"/>
                <w:u w:val="none"/>
              </w:rPr>
            </w:pPr>
            <w:r>
              <w:rPr>
                <w:rFonts w:hint="eastAsia" w:ascii="宋体"/>
                <w:sz w:val="20"/>
                <w:szCs w:val="20"/>
                <w:u w:val="none"/>
                <w:lang w:eastAsia="zh-CN"/>
              </w:rPr>
              <w:t>市</w:t>
            </w:r>
            <w:r>
              <w:rPr>
                <w:rFonts w:hint="eastAsia" w:ascii="宋体"/>
                <w:sz w:val="20"/>
                <w:szCs w:val="20"/>
                <w:u w:val="none"/>
              </w:rPr>
              <w:t>卫生健康委</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sz w:val="20"/>
                <w:szCs w:val="20"/>
                <w:u w:val="none"/>
              </w:rPr>
            </w:pPr>
            <w:r>
              <w:rPr>
                <w:rFonts w:hint="eastAsia" w:ascii="宋体"/>
                <w:sz w:val="20"/>
                <w:szCs w:val="20"/>
                <w:u w:val="none"/>
              </w:rPr>
              <w:t>2022年12月底前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sz w:val="20"/>
                <w:szCs w:val="20"/>
                <w:u w:val="none"/>
              </w:rPr>
            </w:pPr>
            <w:r>
              <w:rPr>
                <w:rFonts w:hint="eastAsia" w:ascii="宋体"/>
                <w:sz w:val="20"/>
                <w:szCs w:val="20"/>
                <w:u w:val="none"/>
              </w:rPr>
              <w:t>2</w:t>
            </w:r>
          </w:p>
        </w:tc>
        <w:tc>
          <w:tcPr>
            <w:tcW w:w="7668" w:type="dxa"/>
            <w:tcBorders>
              <w:top w:val="single" w:color="auto" w:sz="4" w:space="0"/>
              <w:left w:val="single" w:color="auto" w:sz="4" w:space="0"/>
              <w:bottom w:val="single" w:color="auto" w:sz="4" w:space="0"/>
              <w:right w:val="single" w:color="auto" w:sz="4" w:space="0"/>
            </w:tcBorders>
            <w:vAlign w:val="center"/>
          </w:tcPr>
          <w:p>
            <w:pPr>
              <w:jc w:val="left"/>
              <w:rPr>
                <w:rFonts w:ascii="宋体" w:hAnsi="Calibri" w:eastAsia="宋体" w:cs="Arial"/>
                <w:sz w:val="20"/>
                <w:szCs w:val="20"/>
                <w:u w:val="none"/>
              </w:rPr>
            </w:pPr>
            <w:r>
              <w:rPr>
                <w:rFonts w:hint="eastAsia" w:ascii="宋体"/>
                <w:sz w:val="20"/>
                <w:szCs w:val="20"/>
                <w:u w:val="none"/>
              </w:rPr>
              <w:t>完善人才培养、使用和引进管理办法。</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Arial"/>
                <w:sz w:val="20"/>
                <w:szCs w:val="20"/>
                <w:u w:val="none"/>
              </w:rPr>
            </w:pPr>
            <w:r>
              <w:rPr>
                <w:rFonts w:hint="eastAsia" w:ascii="宋体"/>
                <w:sz w:val="20"/>
                <w:szCs w:val="20"/>
                <w:u w:val="none"/>
                <w:lang w:eastAsia="zh-CN"/>
              </w:rPr>
              <w:t>市</w:t>
            </w:r>
            <w:r>
              <w:rPr>
                <w:rFonts w:hint="eastAsia" w:ascii="宋体"/>
                <w:sz w:val="20"/>
                <w:szCs w:val="20"/>
                <w:u w:val="none"/>
              </w:rPr>
              <w:t>委组织部</w:t>
            </w:r>
          </w:p>
          <w:p>
            <w:pPr>
              <w:spacing w:line="240" w:lineRule="exact"/>
              <w:jc w:val="center"/>
              <w:rPr>
                <w:rFonts w:ascii="宋体" w:hAnsi="Calibri" w:eastAsia="宋体" w:cs="Arial"/>
                <w:sz w:val="20"/>
                <w:szCs w:val="20"/>
                <w:u w:val="none"/>
              </w:rPr>
            </w:pPr>
            <w:r>
              <w:rPr>
                <w:rFonts w:hint="eastAsia" w:ascii="宋体"/>
                <w:sz w:val="20"/>
                <w:szCs w:val="20"/>
                <w:u w:val="none"/>
                <w:lang w:eastAsia="zh-CN"/>
              </w:rPr>
              <w:t>市</w:t>
            </w:r>
            <w:r>
              <w:rPr>
                <w:rFonts w:hint="eastAsia" w:ascii="宋体"/>
                <w:sz w:val="20"/>
                <w:szCs w:val="20"/>
                <w:u w:val="none"/>
              </w:rPr>
              <w:t>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Arial"/>
                <w:sz w:val="20"/>
                <w:szCs w:val="20"/>
                <w:u w:val="none"/>
              </w:rPr>
            </w:pPr>
            <w:r>
              <w:rPr>
                <w:rFonts w:hint="eastAsia" w:ascii="宋体"/>
                <w:sz w:val="20"/>
                <w:szCs w:val="20"/>
                <w:u w:val="none"/>
                <w:lang w:eastAsia="zh-CN"/>
              </w:rPr>
              <w:t>市</w:t>
            </w:r>
            <w:r>
              <w:rPr>
                <w:rFonts w:hint="eastAsia" w:ascii="宋体"/>
                <w:sz w:val="20"/>
                <w:szCs w:val="20"/>
                <w:u w:val="none"/>
              </w:rPr>
              <w:t>人社</w:t>
            </w:r>
            <w:r>
              <w:rPr>
                <w:rFonts w:hint="eastAsia" w:ascii="宋体"/>
                <w:sz w:val="20"/>
                <w:szCs w:val="20"/>
                <w:u w:val="none"/>
                <w:lang w:eastAsia="zh-CN"/>
              </w:rPr>
              <w:t>局</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sz w:val="20"/>
                <w:szCs w:val="20"/>
                <w:u w:val="none"/>
              </w:rPr>
            </w:pPr>
            <w:r>
              <w:rPr>
                <w:rFonts w:hint="eastAsia" w:ascii="宋体"/>
                <w:sz w:val="20"/>
                <w:szCs w:val="20"/>
                <w:u w:val="none"/>
              </w:rPr>
              <w:t>2022年6月底前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sz w:val="20"/>
                <w:szCs w:val="20"/>
                <w:u w:val="none"/>
              </w:rPr>
            </w:pPr>
            <w:r>
              <w:rPr>
                <w:rFonts w:hint="eastAsia" w:ascii="宋体"/>
                <w:sz w:val="20"/>
                <w:szCs w:val="20"/>
                <w:u w:val="none"/>
              </w:rPr>
              <w:t>3</w:t>
            </w:r>
          </w:p>
        </w:tc>
        <w:tc>
          <w:tcPr>
            <w:tcW w:w="766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Calibri" w:eastAsia="宋体" w:cs="Arial"/>
                <w:sz w:val="20"/>
                <w:szCs w:val="20"/>
                <w:u w:val="none"/>
                <w:lang w:eastAsia="zh-CN"/>
              </w:rPr>
            </w:pPr>
            <w:r>
              <w:rPr>
                <w:rFonts w:hint="eastAsia" w:ascii="宋体" w:eastAsia="宋体"/>
                <w:sz w:val="20"/>
                <w:szCs w:val="20"/>
                <w:u w:val="none"/>
                <w:lang w:eastAsia="zh-CN"/>
              </w:rPr>
              <w:t>推进三级公立医院牵头的紧密型城市医联体建设。</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Arial"/>
                <w:sz w:val="20"/>
                <w:szCs w:val="20"/>
                <w:u w:val="none"/>
              </w:rPr>
            </w:pPr>
            <w:r>
              <w:rPr>
                <w:rFonts w:hint="eastAsia" w:ascii="宋体"/>
                <w:sz w:val="20"/>
                <w:szCs w:val="20"/>
                <w:u w:val="none"/>
                <w:lang w:eastAsia="zh-CN"/>
              </w:rPr>
              <w:t>市</w:t>
            </w:r>
            <w:r>
              <w:rPr>
                <w:rFonts w:hint="eastAsia" w:ascii="宋体"/>
                <w:sz w:val="20"/>
                <w:szCs w:val="20"/>
                <w:u w:val="none"/>
              </w:rPr>
              <w:t>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0"/>
                <w:szCs w:val="20"/>
                <w:u w:val="none"/>
                <w:lang w:eastAsia="zh-CN"/>
              </w:rPr>
            </w:pPr>
            <w:r>
              <w:rPr>
                <w:rFonts w:hint="eastAsia" w:ascii="宋体" w:eastAsia="宋体"/>
                <w:sz w:val="20"/>
                <w:szCs w:val="20"/>
                <w:u w:val="none"/>
                <w:lang w:eastAsia="zh-CN"/>
              </w:rPr>
              <w:t>市卫生健康委</w:t>
            </w:r>
          </w:p>
          <w:p>
            <w:pPr>
              <w:jc w:val="center"/>
              <w:rPr>
                <w:rFonts w:hint="eastAsia" w:ascii="宋体" w:eastAsia="宋体"/>
                <w:sz w:val="20"/>
                <w:szCs w:val="20"/>
                <w:u w:val="none"/>
                <w:lang w:eastAsia="zh-CN"/>
              </w:rPr>
            </w:pPr>
            <w:r>
              <w:rPr>
                <w:rFonts w:hint="eastAsia" w:ascii="宋体" w:eastAsia="宋体"/>
                <w:sz w:val="20"/>
                <w:szCs w:val="20"/>
                <w:u w:val="none"/>
                <w:lang w:eastAsia="zh-CN"/>
              </w:rPr>
              <w:t>各区政府</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sz w:val="20"/>
                <w:szCs w:val="20"/>
                <w:u w:val="none"/>
              </w:rPr>
            </w:pPr>
            <w:r>
              <w:rPr>
                <w:rFonts w:hint="eastAsia" w:ascii="宋体"/>
                <w:sz w:val="20"/>
                <w:szCs w:val="20"/>
                <w:u w:val="none"/>
              </w:rPr>
              <w:t>202</w:t>
            </w:r>
            <w:r>
              <w:rPr>
                <w:rFonts w:hint="eastAsia" w:ascii="宋体"/>
                <w:sz w:val="20"/>
                <w:szCs w:val="20"/>
                <w:u w:val="none"/>
                <w:lang w:val="en-US" w:eastAsia="zh-CN"/>
              </w:rPr>
              <w:t>4</w:t>
            </w:r>
            <w:r>
              <w:rPr>
                <w:rFonts w:hint="eastAsia" w:ascii="宋体"/>
                <w:sz w:val="20"/>
                <w:szCs w:val="20"/>
                <w:u w:val="none"/>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color w:val="auto"/>
                <w:sz w:val="20"/>
                <w:szCs w:val="20"/>
                <w:u w:val="none"/>
              </w:rPr>
            </w:pPr>
            <w:r>
              <w:rPr>
                <w:rFonts w:hint="eastAsia" w:ascii="宋体"/>
                <w:color w:val="auto"/>
                <w:sz w:val="20"/>
                <w:szCs w:val="20"/>
                <w:u w:val="none"/>
              </w:rPr>
              <w:t>4</w:t>
            </w:r>
          </w:p>
        </w:tc>
        <w:tc>
          <w:tcPr>
            <w:tcW w:w="766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Calibri" w:eastAsia="宋体" w:cs="Arial"/>
                <w:color w:val="auto"/>
                <w:sz w:val="20"/>
                <w:szCs w:val="20"/>
                <w:u w:val="none"/>
                <w:lang w:eastAsia="zh-CN"/>
              </w:rPr>
            </w:pPr>
            <w:r>
              <w:rPr>
                <w:rFonts w:hint="eastAsia" w:ascii="宋体" w:hAnsi="宋体" w:eastAsia="宋体" w:cs="宋体"/>
                <w:b w:val="0"/>
                <w:bCs/>
                <w:color w:val="auto"/>
                <w:sz w:val="20"/>
                <w:szCs w:val="20"/>
                <w:u w:val="none"/>
                <w:lang w:eastAsia="zh-CN"/>
              </w:rPr>
              <w:t>进一步提高中医药服务能力，异地新建双鸭山市中医院，推动市中医院创建</w:t>
            </w:r>
            <w:r>
              <w:rPr>
                <w:rFonts w:hint="eastAsia" w:ascii="宋体" w:hAnsi="宋体" w:eastAsia="宋体" w:cs="宋体"/>
                <w:b w:val="0"/>
                <w:bCs/>
                <w:color w:val="auto"/>
                <w:sz w:val="20"/>
                <w:szCs w:val="20"/>
                <w:u w:val="none"/>
              </w:rPr>
              <w:t>三级</w:t>
            </w:r>
            <w:r>
              <w:rPr>
                <w:rFonts w:hint="eastAsia" w:ascii="宋体" w:hAnsi="宋体" w:eastAsia="宋体" w:cs="宋体"/>
                <w:b w:val="0"/>
                <w:bCs/>
                <w:color w:val="auto"/>
                <w:sz w:val="20"/>
                <w:szCs w:val="20"/>
                <w:u w:val="none"/>
                <w:lang w:eastAsia="zh-CN"/>
              </w:rPr>
              <w:t>甲等</w:t>
            </w:r>
            <w:r>
              <w:rPr>
                <w:rFonts w:hint="eastAsia" w:ascii="宋体" w:hAnsi="宋体" w:eastAsia="宋体" w:cs="宋体"/>
                <w:b w:val="0"/>
                <w:bCs/>
                <w:color w:val="auto"/>
                <w:sz w:val="20"/>
                <w:szCs w:val="20"/>
                <w:u w:val="none"/>
              </w:rPr>
              <w:t>中医医院</w:t>
            </w:r>
            <w:r>
              <w:rPr>
                <w:rFonts w:hint="eastAsia" w:ascii="宋体" w:hAnsi="宋体" w:eastAsia="宋体" w:cs="宋体"/>
                <w:b w:val="0"/>
                <w:bCs/>
                <w:color w:val="auto"/>
                <w:sz w:val="20"/>
                <w:szCs w:val="20"/>
                <w:u w:val="none"/>
                <w:lang w:eastAsia="zh-CN"/>
              </w:rPr>
              <w:t>。探索由市中医院牵头，采取医院托管模式，与集贤县中医院组建紧密型中医医联体。</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olor w:val="auto"/>
                <w:sz w:val="20"/>
                <w:szCs w:val="20"/>
                <w:u w:val="none"/>
                <w:lang w:eastAsia="zh-CN"/>
              </w:rPr>
            </w:pPr>
            <w:r>
              <w:rPr>
                <w:rFonts w:hint="eastAsia" w:ascii="宋体"/>
                <w:color w:val="auto"/>
                <w:sz w:val="20"/>
                <w:szCs w:val="20"/>
                <w:u w:val="none"/>
                <w:lang w:eastAsia="zh-CN"/>
              </w:rPr>
              <w:t>市</w:t>
            </w:r>
            <w:r>
              <w:rPr>
                <w:rFonts w:hint="eastAsia" w:ascii="宋体" w:eastAsia="宋体"/>
                <w:color w:val="auto"/>
                <w:sz w:val="20"/>
                <w:szCs w:val="20"/>
                <w:u w:val="none"/>
                <w:lang w:eastAsia="zh-CN"/>
              </w:rPr>
              <w:t>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olor w:val="auto"/>
                <w:sz w:val="20"/>
                <w:szCs w:val="20"/>
                <w:u w:val="none"/>
                <w:lang w:eastAsia="zh-CN"/>
              </w:rPr>
            </w:pPr>
            <w:r>
              <w:rPr>
                <w:rFonts w:hint="eastAsia" w:ascii="宋体" w:eastAsia="宋体"/>
                <w:color w:val="auto"/>
                <w:sz w:val="20"/>
                <w:szCs w:val="20"/>
                <w:u w:val="none"/>
                <w:lang w:eastAsia="zh-CN"/>
              </w:rPr>
              <w:t>市发改委</w:t>
            </w:r>
          </w:p>
          <w:p>
            <w:pPr>
              <w:jc w:val="center"/>
              <w:rPr>
                <w:rFonts w:hint="eastAsia" w:ascii="宋体" w:eastAsia="宋体"/>
                <w:color w:val="auto"/>
                <w:sz w:val="20"/>
                <w:szCs w:val="20"/>
                <w:u w:val="none"/>
                <w:lang w:eastAsia="zh-CN"/>
              </w:rPr>
            </w:pPr>
            <w:r>
              <w:rPr>
                <w:rFonts w:hint="eastAsia" w:ascii="宋体" w:eastAsia="宋体"/>
                <w:color w:val="auto"/>
                <w:sz w:val="20"/>
                <w:szCs w:val="20"/>
                <w:u w:val="none"/>
                <w:lang w:eastAsia="zh-CN"/>
              </w:rPr>
              <w:t>市财政局</w:t>
            </w:r>
          </w:p>
          <w:p>
            <w:pPr>
              <w:jc w:val="center"/>
              <w:rPr>
                <w:rFonts w:hint="eastAsia" w:ascii="宋体" w:eastAsia="宋体"/>
                <w:color w:val="auto"/>
                <w:sz w:val="20"/>
                <w:szCs w:val="20"/>
                <w:u w:val="none"/>
                <w:lang w:eastAsia="zh-CN"/>
              </w:rPr>
            </w:pPr>
            <w:r>
              <w:rPr>
                <w:rFonts w:hint="eastAsia" w:ascii="宋体" w:eastAsia="宋体"/>
                <w:color w:val="auto"/>
                <w:sz w:val="20"/>
                <w:szCs w:val="20"/>
                <w:u w:val="none"/>
                <w:lang w:eastAsia="zh-CN"/>
              </w:rPr>
              <w:t>市中医院</w:t>
            </w:r>
          </w:p>
          <w:p>
            <w:pPr>
              <w:jc w:val="center"/>
              <w:rPr>
                <w:rFonts w:hint="eastAsia" w:ascii="宋体" w:eastAsia="宋体"/>
                <w:color w:val="auto"/>
                <w:sz w:val="20"/>
                <w:szCs w:val="20"/>
                <w:u w:val="none"/>
                <w:lang w:eastAsia="zh-CN"/>
              </w:rPr>
            </w:pPr>
            <w:r>
              <w:rPr>
                <w:rFonts w:hint="eastAsia" w:ascii="宋体"/>
                <w:color w:val="auto"/>
                <w:sz w:val="20"/>
                <w:szCs w:val="20"/>
                <w:u w:val="none"/>
                <w:lang w:eastAsia="zh-CN"/>
              </w:rPr>
              <w:t>集贤县人民政府</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color w:val="auto"/>
                <w:sz w:val="20"/>
                <w:szCs w:val="20"/>
                <w:u w:val="none"/>
              </w:rPr>
            </w:pPr>
            <w:r>
              <w:rPr>
                <w:rFonts w:hint="eastAsia" w:ascii="宋体"/>
                <w:color w:val="auto"/>
                <w:sz w:val="20"/>
                <w:szCs w:val="20"/>
                <w:u w:val="none"/>
              </w:rPr>
              <w:t>202</w:t>
            </w:r>
            <w:r>
              <w:rPr>
                <w:rFonts w:hint="eastAsia" w:ascii="宋体"/>
                <w:color w:val="auto"/>
                <w:sz w:val="20"/>
                <w:szCs w:val="20"/>
                <w:u w:val="none"/>
                <w:lang w:val="en-US" w:eastAsia="zh-CN"/>
              </w:rPr>
              <w:t>5</w:t>
            </w:r>
            <w:r>
              <w:rPr>
                <w:rFonts w:hint="eastAsia" w:ascii="宋体"/>
                <w:color w:val="auto"/>
                <w:sz w:val="20"/>
                <w:szCs w:val="20"/>
                <w:u w:val="none"/>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sz w:val="20"/>
                <w:szCs w:val="20"/>
                <w:u w:val="none"/>
              </w:rPr>
            </w:pPr>
            <w:r>
              <w:rPr>
                <w:rFonts w:hint="eastAsia" w:ascii="宋体"/>
                <w:sz w:val="20"/>
                <w:szCs w:val="20"/>
                <w:u w:val="none"/>
              </w:rPr>
              <w:t>5</w:t>
            </w:r>
          </w:p>
        </w:tc>
        <w:tc>
          <w:tcPr>
            <w:tcW w:w="766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Calibri" w:eastAsia="宋体" w:cs="Arial"/>
                <w:sz w:val="20"/>
                <w:szCs w:val="20"/>
                <w:u w:val="none"/>
                <w:lang w:eastAsia="zh-CN"/>
              </w:rPr>
            </w:pPr>
            <w:r>
              <w:rPr>
                <w:rFonts w:hint="eastAsia" w:ascii="宋体" w:eastAsia="宋体"/>
                <w:sz w:val="20"/>
                <w:szCs w:val="20"/>
                <w:u w:val="none"/>
                <w:lang w:eastAsia="zh-CN"/>
              </w:rPr>
              <w:t>市传染病医院、市口腔医院、市精神病防治院提高专科能力建设。</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Arial"/>
                <w:sz w:val="20"/>
                <w:szCs w:val="20"/>
                <w:u w:val="none"/>
              </w:rPr>
            </w:pPr>
            <w:r>
              <w:rPr>
                <w:rFonts w:hint="eastAsia" w:ascii="宋体"/>
                <w:sz w:val="20"/>
                <w:szCs w:val="20"/>
                <w:u w:val="none"/>
                <w:lang w:eastAsia="zh-CN"/>
              </w:rPr>
              <w:t>市</w:t>
            </w:r>
            <w:r>
              <w:rPr>
                <w:rFonts w:hint="eastAsia" w:ascii="宋体"/>
                <w:sz w:val="20"/>
                <w:szCs w:val="20"/>
                <w:u w:val="none"/>
              </w:rPr>
              <w:t>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0"/>
                <w:szCs w:val="20"/>
                <w:u w:val="none"/>
                <w:lang w:eastAsia="zh-CN"/>
              </w:rPr>
            </w:pPr>
            <w:r>
              <w:rPr>
                <w:rFonts w:hint="eastAsia" w:ascii="宋体" w:eastAsia="宋体"/>
                <w:sz w:val="20"/>
                <w:szCs w:val="20"/>
                <w:u w:val="none"/>
                <w:lang w:eastAsia="zh-CN"/>
              </w:rPr>
              <w:t>市发改委</w:t>
            </w:r>
          </w:p>
          <w:p>
            <w:pPr>
              <w:jc w:val="center"/>
              <w:rPr>
                <w:rFonts w:ascii="Calibri" w:hAnsi="Calibri" w:eastAsia="宋体" w:cs="Arial"/>
                <w:szCs w:val="24"/>
                <w:u w:val="none"/>
              </w:rPr>
            </w:pPr>
            <w:r>
              <w:rPr>
                <w:rFonts w:hint="eastAsia" w:ascii="宋体" w:eastAsia="宋体"/>
                <w:sz w:val="20"/>
                <w:szCs w:val="20"/>
                <w:u w:val="none"/>
                <w:lang w:eastAsia="zh-CN"/>
              </w:rPr>
              <w:t>市财政局</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Arial"/>
                <w:sz w:val="20"/>
                <w:szCs w:val="20"/>
                <w:u w:val="none"/>
              </w:rPr>
            </w:pPr>
            <w:r>
              <w:rPr>
                <w:rFonts w:hint="eastAsia" w:ascii="宋体"/>
                <w:sz w:val="20"/>
                <w:szCs w:val="20"/>
                <w:u w:val="none"/>
              </w:rPr>
              <w:t>202</w:t>
            </w:r>
            <w:r>
              <w:rPr>
                <w:rFonts w:hint="eastAsia" w:ascii="宋体"/>
                <w:sz w:val="20"/>
                <w:szCs w:val="20"/>
                <w:u w:val="none"/>
                <w:lang w:val="en-US" w:eastAsia="zh-CN"/>
              </w:rPr>
              <w:t>5</w:t>
            </w:r>
            <w:r>
              <w:rPr>
                <w:rFonts w:hint="eastAsia" w:ascii="宋体"/>
                <w:sz w:val="20"/>
                <w:szCs w:val="20"/>
                <w:u w:val="none"/>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Calibri" w:eastAsia="宋体" w:cs="宋体"/>
                <w:sz w:val="20"/>
                <w:szCs w:val="20"/>
                <w:u w:val="none"/>
                <w:lang w:eastAsia="zh-CN"/>
              </w:rPr>
            </w:pPr>
            <w:r>
              <w:rPr>
                <w:rFonts w:hint="eastAsia" w:ascii="宋体" w:eastAsia="宋体" w:cs="宋体"/>
                <w:sz w:val="20"/>
                <w:szCs w:val="20"/>
                <w:u w:val="none"/>
                <w:lang w:val="en-US" w:eastAsia="zh-CN"/>
              </w:rPr>
              <w:t>6</w:t>
            </w:r>
          </w:p>
        </w:tc>
        <w:tc>
          <w:tcPr>
            <w:tcW w:w="76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Calibri" w:eastAsia="宋体" w:cs="宋体"/>
                <w:sz w:val="20"/>
                <w:szCs w:val="20"/>
                <w:u w:val="none"/>
              </w:rPr>
            </w:pPr>
            <w:r>
              <w:rPr>
                <w:rFonts w:hint="eastAsia" w:ascii="宋体" w:cs="宋体"/>
                <w:sz w:val="20"/>
                <w:szCs w:val="20"/>
                <w:u w:val="none"/>
                <w:lang w:eastAsia="zh-CN"/>
              </w:rPr>
              <w:t>开展临床专科建设，全市</w:t>
            </w:r>
            <w:r>
              <w:rPr>
                <w:rFonts w:hint="eastAsia" w:ascii="宋体" w:cs="宋体"/>
                <w:sz w:val="20"/>
                <w:szCs w:val="20"/>
                <w:u w:val="none"/>
              </w:rPr>
              <w:t>每年新建1</w:t>
            </w:r>
            <w:r>
              <w:rPr>
                <w:rFonts w:hint="eastAsia" w:ascii="宋体" w:cs="宋体"/>
                <w:sz w:val="20"/>
                <w:szCs w:val="20"/>
                <w:u w:val="none"/>
                <w:lang w:val="en-US" w:eastAsia="zh-CN"/>
              </w:rPr>
              <w:t>-</w:t>
            </w:r>
            <w:r>
              <w:rPr>
                <w:rFonts w:hint="eastAsia" w:ascii="宋体" w:cs="宋体"/>
                <w:sz w:val="20"/>
                <w:szCs w:val="20"/>
                <w:u w:val="none"/>
              </w:rPr>
              <w:t>3个省级临床重点专科，建设若干市级临床重点专科。</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宋体"/>
                <w:sz w:val="20"/>
                <w:szCs w:val="20"/>
                <w:u w:val="none"/>
              </w:rPr>
            </w:pPr>
            <w:r>
              <w:rPr>
                <w:rFonts w:hint="eastAsia" w:ascii="宋体"/>
                <w:sz w:val="20"/>
                <w:szCs w:val="20"/>
                <w:u w:val="none"/>
                <w:lang w:eastAsia="zh-CN"/>
              </w:rPr>
              <w:t>市</w:t>
            </w:r>
            <w:r>
              <w:rPr>
                <w:rFonts w:hint="eastAsia" w:ascii="宋体"/>
                <w:sz w:val="20"/>
                <w:szCs w:val="20"/>
                <w:u w:val="none"/>
              </w:rPr>
              <w:t>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sz w:val="20"/>
                <w:szCs w:val="20"/>
                <w:u w:val="none"/>
              </w:rPr>
            </w:pPr>
            <w:r>
              <w:rPr>
                <w:rFonts w:hint="eastAsia" w:ascii="宋体" w:eastAsia="宋体"/>
                <w:sz w:val="20"/>
                <w:szCs w:val="20"/>
                <w:u w:val="none"/>
                <w:lang w:eastAsia="zh-CN"/>
              </w:rPr>
              <w:t>市卫生健康委</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sz w:val="20"/>
                <w:szCs w:val="20"/>
                <w:u w:val="none"/>
              </w:rPr>
            </w:pPr>
            <w:r>
              <w:rPr>
                <w:rFonts w:hint="eastAsia" w:ascii="宋体" w:cs="宋体"/>
                <w:sz w:val="20"/>
                <w:szCs w:val="20"/>
                <w:u w:val="none"/>
              </w:rPr>
              <w:t>2025年12月</w:t>
            </w:r>
            <w:r>
              <w:rPr>
                <w:rFonts w:hint="eastAsia" w:ascii="宋体"/>
                <w:sz w:val="20"/>
                <w:szCs w:val="20"/>
                <w:u w:val="none"/>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Calibri" w:eastAsia="宋体" w:cs="宋体"/>
                <w:sz w:val="20"/>
                <w:szCs w:val="20"/>
                <w:u w:val="none"/>
                <w:lang w:eastAsia="zh-CN"/>
              </w:rPr>
            </w:pPr>
            <w:r>
              <w:rPr>
                <w:rFonts w:hint="eastAsia" w:ascii="宋体" w:eastAsia="宋体" w:cs="宋体"/>
                <w:sz w:val="20"/>
                <w:szCs w:val="20"/>
                <w:u w:val="none"/>
                <w:lang w:val="en-US" w:eastAsia="zh-CN"/>
              </w:rPr>
              <w:t>7</w:t>
            </w:r>
          </w:p>
        </w:tc>
        <w:tc>
          <w:tcPr>
            <w:tcW w:w="76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Calibri" w:eastAsia="宋体" w:cs="宋体"/>
                <w:sz w:val="20"/>
                <w:szCs w:val="20"/>
                <w:u w:val="none"/>
              </w:rPr>
            </w:pPr>
            <w:r>
              <w:rPr>
                <w:rFonts w:hint="eastAsia" w:ascii="宋体" w:cs="宋体"/>
                <w:sz w:val="20"/>
                <w:szCs w:val="20"/>
                <w:u w:val="none"/>
              </w:rPr>
              <w:t>每个县每年新建1—2个市级和若干县级临床重点专科。</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宋体"/>
                <w:sz w:val="20"/>
                <w:szCs w:val="20"/>
                <w:u w:val="none"/>
              </w:rPr>
            </w:pPr>
            <w:r>
              <w:rPr>
                <w:rFonts w:hint="eastAsia" w:ascii="宋体" w:cs="宋体"/>
                <w:sz w:val="20"/>
                <w:szCs w:val="20"/>
                <w:u w:val="none"/>
                <w:lang w:eastAsia="zh-CN"/>
              </w:rPr>
              <w:t>市</w:t>
            </w:r>
            <w:r>
              <w:rPr>
                <w:rFonts w:hint="eastAsia" w:ascii="宋体" w:cs="宋体"/>
                <w:sz w:val="20"/>
                <w:szCs w:val="20"/>
                <w:u w:val="none"/>
              </w:rPr>
              <w:t>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宋体"/>
                <w:sz w:val="20"/>
                <w:szCs w:val="20"/>
                <w:u w:val="none"/>
              </w:rPr>
            </w:pPr>
            <w:r>
              <w:rPr>
                <w:rFonts w:hint="eastAsia" w:ascii="宋体" w:cs="宋体"/>
                <w:sz w:val="20"/>
                <w:szCs w:val="20"/>
                <w:u w:val="none"/>
              </w:rPr>
              <w:t>各县政府</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sz w:val="20"/>
                <w:szCs w:val="20"/>
                <w:u w:val="none"/>
              </w:rPr>
            </w:pPr>
            <w:r>
              <w:rPr>
                <w:rFonts w:hint="eastAsia" w:ascii="宋体" w:cs="宋体"/>
                <w:sz w:val="20"/>
                <w:szCs w:val="20"/>
                <w:u w:val="none"/>
              </w:rPr>
              <w:t>2025年12月</w:t>
            </w:r>
            <w:r>
              <w:rPr>
                <w:rFonts w:hint="eastAsia" w:ascii="宋体"/>
                <w:sz w:val="20"/>
                <w:szCs w:val="20"/>
                <w:u w:val="none"/>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auto"/>
                <w:sz w:val="20"/>
                <w:szCs w:val="20"/>
                <w:u w:val="none"/>
                <w:lang w:eastAsia="zh-CN"/>
              </w:rPr>
            </w:pPr>
            <w:r>
              <w:rPr>
                <w:rFonts w:hint="eastAsia" w:ascii="宋体" w:hAnsi="宋体" w:eastAsia="宋体" w:cs="宋体"/>
                <w:color w:val="auto"/>
                <w:sz w:val="20"/>
                <w:szCs w:val="20"/>
                <w:u w:val="none"/>
                <w:lang w:val="en-US" w:eastAsia="zh-CN"/>
              </w:rPr>
              <w:t>8</w:t>
            </w:r>
          </w:p>
        </w:tc>
        <w:tc>
          <w:tcPr>
            <w:tcW w:w="76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hAnsi="宋体" w:eastAsia="宋体" w:cs="宋体"/>
                <w:color w:val="auto"/>
                <w:sz w:val="20"/>
                <w:szCs w:val="20"/>
                <w:u w:val="none"/>
                <w:lang w:eastAsia="zh-CN"/>
              </w:rPr>
            </w:pPr>
            <w:r>
              <w:rPr>
                <w:rFonts w:hint="eastAsia" w:ascii="宋体" w:hAnsi="宋体" w:eastAsia="宋体" w:cs="宋体"/>
                <w:color w:val="auto"/>
                <w:sz w:val="20"/>
                <w:szCs w:val="20"/>
                <w:u w:val="none"/>
                <w:shd w:val="clear" w:color="auto" w:fill="auto"/>
              </w:rPr>
              <w:t>合理制定并落实公立医院人员编制标准，建立动态核增机制，为公立医院引进高层次和急需紧缺人才提供编制保障</w:t>
            </w:r>
            <w:r>
              <w:rPr>
                <w:rFonts w:hint="eastAsia" w:ascii="宋体" w:hAnsi="宋体" w:eastAsia="宋体" w:cs="宋体"/>
                <w:color w:val="auto"/>
                <w:sz w:val="20"/>
                <w:szCs w:val="20"/>
                <w:u w:val="none"/>
                <w:shd w:val="clear" w:color="auto" w:fill="auto"/>
                <w:lang w:eastAsia="zh-CN"/>
              </w:rPr>
              <w:t>。</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auto"/>
                <w:sz w:val="20"/>
                <w:szCs w:val="20"/>
                <w:u w:val="none"/>
                <w:lang w:eastAsia="zh-CN"/>
              </w:rPr>
            </w:pPr>
            <w:r>
              <w:rPr>
                <w:rFonts w:hint="eastAsia" w:ascii="宋体" w:hAnsi="宋体" w:eastAsia="宋体" w:cs="宋体"/>
                <w:color w:val="auto"/>
                <w:sz w:val="20"/>
                <w:szCs w:val="20"/>
                <w:u w:val="none"/>
                <w:lang w:eastAsia="zh-CN"/>
              </w:rPr>
              <w:t>市委编办</w:t>
            </w:r>
          </w:p>
          <w:p>
            <w:pPr>
              <w:spacing w:line="280" w:lineRule="exact"/>
              <w:jc w:val="center"/>
              <w:rPr>
                <w:rFonts w:hint="eastAsia" w:ascii="宋体" w:hAnsi="宋体" w:eastAsia="宋体" w:cs="宋体"/>
                <w:color w:val="auto"/>
                <w:sz w:val="20"/>
                <w:szCs w:val="20"/>
                <w:u w:val="none"/>
                <w:lang w:eastAsia="zh-CN"/>
              </w:rPr>
            </w:pPr>
            <w:r>
              <w:rPr>
                <w:rFonts w:hint="eastAsia" w:ascii="宋体" w:hAnsi="宋体" w:eastAsia="宋体" w:cs="宋体"/>
                <w:color w:val="auto"/>
                <w:sz w:val="20"/>
                <w:szCs w:val="20"/>
                <w:u w:val="none"/>
                <w:lang w:eastAsia="zh-CN"/>
              </w:rPr>
              <w:t>市卫健委</w:t>
            </w:r>
          </w:p>
        </w:tc>
        <w:tc>
          <w:tcPr>
            <w:tcW w:w="177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auto"/>
                <w:sz w:val="20"/>
                <w:szCs w:val="20"/>
                <w:u w:val="none"/>
                <w:lang w:eastAsia="zh-CN"/>
              </w:rPr>
            </w:pPr>
            <w:r>
              <w:rPr>
                <w:rFonts w:hint="eastAsia" w:ascii="宋体" w:hAnsi="宋体" w:eastAsia="宋体" w:cs="宋体"/>
                <w:color w:val="auto"/>
                <w:sz w:val="20"/>
                <w:szCs w:val="20"/>
                <w:u w:val="none"/>
                <w:lang w:eastAsia="zh-CN"/>
              </w:rPr>
              <w:t>市人社局</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202</w:t>
            </w:r>
            <w:r>
              <w:rPr>
                <w:rFonts w:hint="eastAsia" w:ascii="宋体" w:hAnsi="宋体" w:eastAsia="宋体" w:cs="宋体"/>
                <w:color w:val="auto"/>
                <w:sz w:val="20"/>
                <w:szCs w:val="20"/>
                <w:u w:val="none"/>
                <w:lang w:val="en-US" w:eastAsia="zh-CN"/>
              </w:rPr>
              <w:t>5</w:t>
            </w:r>
            <w:r>
              <w:rPr>
                <w:rFonts w:hint="eastAsia" w:ascii="宋体" w:hAnsi="宋体" w:eastAsia="宋体" w:cs="宋体"/>
                <w:color w:val="auto"/>
                <w:sz w:val="20"/>
                <w:szCs w:val="20"/>
                <w:u w:val="none"/>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Calibri" w:eastAsia="宋体" w:cs="宋体"/>
                <w:sz w:val="20"/>
                <w:szCs w:val="20"/>
                <w:u w:val="none"/>
                <w:lang w:eastAsia="zh-CN"/>
              </w:rPr>
            </w:pPr>
            <w:r>
              <w:rPr>
                <w:rFonts w:hint="eastAsia" w:ascii="宋体" w:eastAsia="宋体" w:cs="宋体"/>
                <w:sz w:val="20"/>
                <w:szCs w:val="20"/>
                <w:u w:val="none"/>
                <w:lang w:val="en-US" w:eastAsia="zh-CN"/>
              </w:rPr>
              <w:t>9</w:t>
            </w:r>
          </w:p>
        </w:tc>
        <w:tc>
          <w:tcPr>
            <w:tcW w:w="76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Calibri" w:eastAsia="宋体" w:cs="宋体"/>
                <w:sz w:val="20"/>
                <w:szCs w:val="20"/>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全市每年开展一次医疗服务价格调整工作评估，符合条件的及时调价，逐步提高医疗服务收入占医疗收入的比例。</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Calibri" w:eastAsia="宋体" w:cs="宋体"/>
                <w:sz w:val="20"/>
                <w:szCs w:val="20"/>
                <w:u w:val="none"/>
                <w:lang w:eastAsia="zh-CN"/>
              </w:rPr>
            </w:pPr>
            <w:r>
              <w:rPr>
                <w:rFonts w:hint="eastAsia" w:ascii="宋体" w:hAnsi="Calibri" w:eastAsia="宋体" w:cs="宋体"/>
                <w:sz w:val="20"/>
                <w:szCs w:val="20"/>
                <w:u w:val="none"/>
                <w:lang w:eastAsia="zh-CN"/>
              </w:rPr>
              <w:t>市医保局</w:t>
            </w:r>
          </w:p>
        </w:tc>
        <w:tc>
          <w:tcPr>
            <w:tcW w:w="177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Calibri" w:eastAsia="宋体" w:cs="宋体"/>
                <w:sz w:val="20"/>
                <w:szCs w:val="20"/>
                <w:u w:val="none"/>
                <w:lang w:eastAsia="zh-CN"/>
              </w:rPr>
            </w:pPr>
            <w:r>
              <w:rPr>
                <w:rFonts w:hint="eastAsia" w:ascii="宋体" w:hAnsi="Calibri" w:eastAsia="宋体" w:cs="宋体"/>
                <w:sz w:val="20"/>
                <w:szCs w:val="20"/>
                <w:u w:val="none"/>
                <w:lang w:eastAsia="zh-CN"/>
              </w:rPr>
              <w:t>市医保局</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sz w:val="20"/>
                <w:szCs w:val="20"/>
                <w:u w:val="none"/>
              </w:rPr>
            </w:pPr>
            <w:r>
              <w:rPr>
                <w:rFonts w:hint="eastAsia" w:ascii="宋体" w:cs="宋体"/>
                <w:sz w:val="20"/>
                <w:szCs w:val="20"/>
                <w:u w:val="none"/>
              </w:rPr>
              <w:t>2025年12月</w:t>
            </w:r>
            <w:r>
              <w:rPr>
                <w:rFonts w:hint="eastAsia" w:ascii="宋体"/>
                <w:sz w:val="20"/>
                <w:szCs w:val="20"/>
                <w:u w:val="none"/>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Calibri" w:eastAsia="宋体" w:cs="宋体"/>
                <w:sz w:val="20"/>
                <w:szCs w:val="20"/>
                <w:u w:val="none"/>
                <w:lang w:eastAsia="zh-CN"/>
              </w:rPr>
            </w:pPr>
            <w:r>
              <w:rPr>
                <w:rFonts w:hint="eastAsia" w:ascii="宋体" w:eastAsia="宋体" w:cs="宋体"/>
                <w:sz w:val="20"/>
                <w:szCs w:val="20"/>
                <w:u w:val="none"/>
                <w:lang w:val="en-US" w:eastAsia="zh-CN"/>
              </w:rPr>
              <w:t>10</w:t>
            </w:r>
          </w:p>
        </w:tc>
        <w:tc>
          <w:tcPr>
            <w:tcW w:w="76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Calibri" w:eastAsia="宋体" w:cs="宋体"/>
                <w:sz w:val="20"/>
                <w:szCs w:val="20"/>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按疾病诊断相关分组或按病种付费的医保基金占全部符合条件的住院医保基金支出的比例达到70%。</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宋体"/>
                <w:sz w:val="20"/>
                <w:szCs w:val="20"/>
                <w:u w:val="none"/>
              </w:rPr>
            </w:pPr>
            <w:r>
              <w:rPr>
                <w:rFonts w:hint="eastAsia" w:ascii="宋体" w:hAnsi="Calibri" w:eastAsia="宋体" w:cs="宋体"/>
                <w:sz w:val="20"/>
                <w:szCs w:val="20"/>
                <w:u w:val="none"/>
                <w:lang w:eastAsia="zh-CN"/>
              </w:rPr>
              <w:t>市医保局</w:t>
            </w:r>
          </w:p>
        </w:tc>
        <w:tc>
          <w:tcPr>
            <w:tcW w:w="177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宋体"/>
                <w:sz w:val="20"/>
                <w:szCs w:val="20"/>
                <w:u w:val="none"/>
              </w:rPr>
            </w:pPr>
            <w:r>
              <w:rPr>
                <w:rFonts w:hint="eastAsia" w:ascii="宋体" w:hAnsi="Calibri" w:eastAsia="宋体" w:cs="宋体"/>
                <w:sz w:val="20"/>
                <w:szCs w:val="20"/>
                <w:u w:val="none"/>
                <w:lang w:eastAsia="zh-CN"/>
              </w:rPr>
              <w:t>市医保局</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sz w:val="20"/>
                <w:szCs w:val="20"/>
                <w:u w:val="none"/>
              </w:rPr>
            </w:pPr>
            <w:r>
              <w:rPr>
                <w:rFonts w:hint="eastAsia" w:ascii="宋体" w:cs="宋体"/>
                <w:sz w:val="20"/>
                <w:szCs w:val="20"/>
                <w:u w:val="none"/>
              </w:rPr>
              <w:t>2025年12月</w:t>
            </w:r>
            <w:r>
              <w:rPr>
                <w:rFonts w:hint="eastAsia" w:ascii="宋体"/>
                <w:sz w:val="20"/>
                <w:szCs w:val="20"/>
                <w:u w:val="none"/>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eastAsia="宋体" w:cs="宋体"/>
                <w:sz w:val="20"/>
                <w:szCs w:val="20"/>
                <w:u w:val="none"/>
                <w:lang w:val="en-US" w:eastAsia="zh-CN"/>
              </w:rPr>
            </w:pPr>
            <w:r>
              <w:rPr>
                <w:rFonts w:hint="eastAsia" w:ascii="宋体" w:cs="宋体"/>
                <w:sz w:val="20"/>
                <w:szCs w:val="20"/>
                <w:u w:val="none"/>
                <w:lang w:val="en-US" w:eastAsia="zh-CN"/>
              </w:rPr>
              <w:t>11</w:t>
            </w:r>
          </w:p>
        </w:tc>
        <w:tc>
          <w:tcPr>
            <w:tcW w:w="76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宋体" w:cs="宋体"/>
                <w:sz w:val="20"/>
                <w:szCs w:val="20"/>
                <w:u w:val="none"/>
                <w:lang w:eastAsia="zh-CN"/>
              </w:rPr>
              <w:t>提高医疗服务水平，加强医疗质量管理，加强医疗科研攻关，提高信息化建设水平。</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Calibri" w:eastAsia="宋体" w:cs="宋体"/>
                <w:sz w:val="20"/>
                <w:szCs w:val="20"/>
                <w:u w:val="none"/>
                <w:lang w:eastAsia="zh-CN"/>
              </w:rPr>
            </w:pPr>
            <w:r>
              <w:rPr>
                <w:rFonts w:hint="eastAsia" w:ascii="宋体"/>
                <w:sz w:val="20"/>
                <w:szCs w:val="20"/>
                <w:u w:val="none"/>
                <w:lang w:eastAsia="zh-CN"/>
              </w:rPr>
              <w:t>市</w:t>
            </w:r>
            <w:r>
              <w:rPr>
                <w:rFonts w:hint="eastAsia" w:ascii="宋体"/>
                <w:sz w:val="20"/>
                <w:szCs w:val="20"/>
                <w:u w:val="none"/>
              </w:rPr>
              <w:t>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eastAsia="宋体" w:cs="宋体"/>
                <w:sz w:val="20"/>
                <w:szCs w:val="20"/>
                <w:u w:val="none"/>
                <w:lang w:eastAsia="zh-CN"/>
              </w:rPr>
            </w:pPr>
            <w:r>
              <w:rPr>
                <w:rFonts w:hint="eastAsia" w:ascii="宋体" w:eastAsia="宋体"/>
                <w:sz w:val="20"/>
                <w:szCs w:val="20"/>
                <w:u w:val="none"/>
                <w:lang w:eastAsia="zh-CN"/>
              </w:rPr>
              <w:t>市卫生健康委</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0"/>
                <w:szCs w:val="20"/>
                <w:u w:val="none"/>
              </w:rPr>
            </w:pPr>
            <w:r>
              <w:rPr>
                <w:rFonts w:hint="eastAsia" w:ascii="宋体"/>
                <w:sz w:val="20"/>
                <w:szCs w:val="20"/>
                <w:u w:val="none"/>
              </w:rPr>
              <w:t>202</w:t>
            </w:r>
            <w:r>
              <w:rPr>
                <w:rFonts w:hint="eastAsia" w:ascii="宋体"/>
                <w:sz w:val="20"/>
                <w:szCs w:val="20"/>
                <w:u w:val="none"/>
                <w:lang w:val="en-US" w:eastAsia="zh-CN"/>
              </w:rPr>
              <w:t>5</w:t>
            </w:r>
            <w:r>
              <w:rPr>
                <w:rFonts w:hint="eastAsia" w:ascii="宋体"/>
                <w:sz w:val="20"/>
                <w:szCs w:val="20"/>
                <w:u w:val="none"/>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eastAsia="宋体" w:cs="宋体"/>
                <w:sz w:val="20"/>
                <w:szCs w:val="20"/>
                <w:u w:val="none"/>
                <w:lang w:val="en-US" w:eastAsia="zh-CN"/>
              </w:rPr>
            </w:pPr>
            <w:r>
              <w:rPr>
                <w:rFonts w:hint="eastAsia" w:ascii="宋体" w:eastAsia="宋体" w:cs="宋体"/>
                <w:sz w:val="20"/>
                <w:szCs w:val="20"/>
                <w:u w:val="none"/>
                <w:lang w:val="en-US" w:eastAsia="zh-CN"/>
              </w:rPr>
              <w:t>12</w:t>
            </w:r>
          </w:p>
        </w:tc>
        <w:tc>
          <w:tcPr>
            <w:tcW w:w="76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cstheme="minorEastAsia"/>
                <w:i w:val="0"/>
                <w:color w:val="000000"/>
                <w:kern w:val="0"/>
                <w:sz w:val="20"/>
                <w:szCs w:val="20"/>
                <w:highlight w:val="none"/>
                <w:u w:val="none"/>
                <w:lang w:val="en-US" w:eastAsia="zh-CN" w:bidi="ar"/>
              </w:rPr>
              <w:t>加强医院运营管理，健全运营管理体系，实施全面预算管理，完善内部控制制度，健全绩效评价机制。</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Calibri" w:eastAsia="宋体" w:cs="宋体"/>
                <w:sz w:val="20"/>
                <w:szCs w:val="20"/>
                <w:u w:val="none"/>
                <w:lang w:eastAsia="zh-CN"/>
              </w:rPr>
            </w:pPr>
            <w:r>
              <w:rPr>
                <w:rFonts w:hint="eastAsia" w:ascii="宋体"/>
                <w:sz w:val="20"/>
                <w:szCs w:val="20"/>
                <w:u w:val="none"/>
                <w:lang w:eastAsia="zh-CN"/>
              </w:rPr>
              <w:t>市</w:t>
            </w:r>
            <w:r>
              <w:rPr>
                <w:rFonts w:hint="eastAsia" w:ascii="宋体"/>
                <w:sz w:val="20"/>
                <w:szCs w:val="20"/>
                <w:u w:val="none"/>
              </w:rPr>
              <w:t>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eastAsia="宋体" w:cs="宋体"/>
                <w:sz w:val="20"/>
                <w:szCs w:val="20"/>
                <w:u w:val="none"/>
                <w:lang w:eastAsia="zh-CN"/>
              </w:rPr>
            </w:pPr>
            <w:r>
              <w:rPr>
                <w:rFonts w:hint="eastAsia" w:ascii="宋体" w:eastAsia="宋体"/>
                <w:sz w:val="20"/>
                <w:szCs w:val="20"/>
                <w:u w:val="none"/>
                <w:lang w:eastAsia="zh-CN"/>
              </w:rPr>
              <w:t>市卫生健康委</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0"/>
                <w:szCs w:val="20"/>
                <w:u w:val="none"/>
              </w:rPr>
            </w:pPr>
            <w:r>
              <w:rPr>
                <w:rFonts w:hint="eastAsia" w:ascii="宋体"/>
                <w:sz w:val="20"/>
                <w:szCs w:val="20"/>
                <w:u w:val="none"/>
              </w:rPr>
              <w:t>202</w:t>
            </w:r>
            <w:r>
              <w:rPr>
                <w:rFonts w:hint="eastAsia" w:ascii="宋体"/>
                <w:sz w:val="20"/>
                <w:szCs w:val="20"/>
                <w:u w:val="none"/>
                <w:lang w:val="en-US" w:eastAsia="zh-CN"/>
              </w:rPr>
              <w:t>5</w:t>
            </w:r>
            <w:r>
              <w:rPr>
                <w:rFonts w:hint="eastAsia" w:ascii="宋体"/>
                <w:sz w:val="20"/>
                <w:szCs w:val="20"/>
                <w:u w:val="none"/>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eastAsia="宋体" w:cs="宋体"/>
                <w:sz w:val="20"/>
                <w:szCs w:val="20"/>
                <w:u w:val="none"/>
                <w:lang w:val="en-US" w:eastAsia="zh-CN"/>
              </w:rPr>
            </w:pPr>
            <w:r>
              <w:rPr>
                <w:rFonts w:hint="eastAsia" w:ascii="宋体" w:eastAsia="宋体" w:cs="宋体"/>
                <w:sz w:val="20"/>
                <w:szCs w:val="20"/>
                <w:u w:val="none"/>
                <w:lang w:val="en-US" w:eastAsia="zh-CN"/>
              </w:rPr>
              <w:t>13</w:t>
            </w:r>
          </w:p>
        </w:tc>
        <w:tc>
          <w:tcPr>
            <w:tcW w:w="76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cstheme="minorEastAsia"/>
                <w:i w:val="0"/>
                <w:color w:val="000000"/>
                <w:kern w:val="0"/>
                <w:sz w:val="20"/>
                <w:szCs w:val="20"/>
                <w:highlight w:val="none"/>
                <w:u w:val="none"/>
                <w:lang w:val="en-US" w:eastAsia="zh-CN" w:bidi="ar"/>
              </w:rPr>
              <w:t>加强医院文化建设，强化患者需求导向，建立健全关心关爱医务人员长效机制。</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Calibri" w:eastAsia="宋体" w:cs="宋体"/>
                <w:sz w:val="20"/>
                <w:szCs w:val="20"/>
                <w:u w:val="none"/>
                <w:lang w:eastAsia="zh-CN"/>
              </w:rPr>
            </w:pPr>
            <w:r>
              <w:rPr>
                <w:rFonts w:hint="eastAsia" w:ascii="宋体"/>
                <w:sz w:val="20"/>
                <w:szCs w:val="20"/>
                <w:u w:val="none"/>
                <w:lang w:eastAsia="zh-CN"/>
              </w:rPr>
              <w:t>市</w:t>
            </w:r>
            <w:r>
              <w:rPr>
                <w:rFonts w:hint="eastAsia" w:ascii="宋体"/>
                <w:sz w:val="20"/>
                <w:szCs w:val="20"/>
                <w:u w:val="none"/>
              </w:rPr>
              <w:t>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eastAsia="宋体" w:cs="宋体"/>
                <w:sz w:val="20"/>
                <w:szCs w:val="20"/>
                <w:u w:val="none"/>
                <w:lang w:eastAsia="zh-CN"/>
              </w:rPr>
            </w:pPr>
            <w:r>
              <w:rPr>
                <w:rFonts w:hint="eastAsia" w:ascii="宋体" w:eastAsia="宋体"/>
                <w:sz w:val="20"/>
                <w:szCs w:val="20"/>
                <w:u w:val="none"/>
                <w:lang w:eastAsia="zh-CN"/>
              </w:rPr>
              <w:t>市卫生健康委</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 w:val="20"/>
                <w:szCs w:val="20"/>
                <w:u w:val="none"/>
              </w:rPr>
            </w:pPr>
            <w:r>
              <w:rPr>
                <w:rFonts w:hint="eastAsia" w:ascii="宋体"/>
                <w:sz w:val="20"/>
                <w:szCs w:val="20"/>
                <w:u w:val="none"/>
              </w:rPr>
              <w:t>202</w:t>
            </w:r>
            <w:r>
              <w:rPr>
                <w:rFonts w:hint="eastAsia" w:ascii="宋体"/>
                <w:sz w:val="20"/>
                <w:szCs w:val="20"/>
                <w:u w:val="none"/>
                <w:lang w:val="en-US" w:eastAsia="zh-CN"/>
              </w:rPr>
              <w:t>5</w:t>
            </w:r>
            <w:r>
              <w:rPr>
                <w:rFonts w:hint="eastAsia" w:ascii="宋体"/>
                <w:sz w:val="20"/>
                <w:szCs w:val="20"/>
                <w:u w:val="none"/>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Calibri" w:eastAsia="宋体" w:cs="宋体"/>
                <w:sz w:val="20"/>
                <w:szCs w:val="20"/>
                <w:u w:val="none"/>
                <w:lang w:eastAsia="zh-CN"/>
              </w:rPr>
            </w:pPr>
            <w:r>
              <w:rPr>
                <w:rFonts w:hint="eastAsia" w:ascii="宋体" w:eastAsia="宋体" w:cs="宋体"/>
                <w:sz w:val="20"/>
                <w:szCs w:val="20"/>
                <w:u w:val="none"/>
                <w:lang w:val="en-US" w:eastAsia="zh-CN"/>
              </w:rPr>
              <w:t>14</w:t>
            </w:r>
          </w:p>
        </w:tc>
        <w:tc>
          <w:tcPr>
            <w:tcW w:w="76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Calibri" w:eastAsia="宋体" w:cs="宋体"/>
                <w:sz w:val="20"/>
                <w:szCs w:val="20"/>
                <w:u w:val="none"/>
              </w:rPr>
            </w:pPr>
            <w:r>
              <w:rPr>
                <w:rFonts w:hint="eastAsia" w:ascii="宋体" w:cs="宋体"/>
                <w:sz w:val="20"/>
                <w:szCs w:val="20"/>
                <w:u w:val="none"/>
              </w:rPr>
              <w:t>人口规模30万以上的县（</w:t>
            </w:r>
            <w:r>
              <w:rPr>
                <w:rFonts w:hint="eastAsia" w:ascii="宋体" w:cs="宋体"/>
                <w:sz w:val="20"/>
                <w:szCs w:val="20"/>
                <w:u w:val="none"/>
                <w:lang w:eastAsia="zh-CN"/>
              </w:rPr>
              <w:t>宝清县</w:t>
            </w:r>
            <w:r>
              <w:rPr>
                <w:rFonts w:hint="eastAsia" w:ascii="宋体" w:cs="宋体"/>
                <w:sz w:val="20"/>
                <w:szCs w:val="20"/>
                <w:u w:val="none"/>
              </w:rPr>
              <w:t>），力争有1家公立医院达到三级医院硬件设施和服务能力。</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宋体"/>
                <w:sz w:val="20"/>
                <w:szCs w:val="20"/>
                <w:u w:val="none"/>
              </w:rPr>
            </w:pPr>
            <w:r>
              <w:rPr>
                <w:rFonts w:hint="eastAsia" w:ascii="宋体" w:cs="宋体"/>
                <w:sz w:val="20"/>
                <w:szCs w:val="20"/>
                <w:u w:val="none"/>
                <w:lang w:eastAsia="zh-CN"/>
              </w:rPr>
              <w:t>市</w:t>
            </w:r>
            <w:r>
              <w:rPr>
                <w:rFonts w:hint="eastAsia" w:ascii="宋体" w:cs="宋体"/>
                <w:sz w:val="20"/>
                <w:szCs w:val="20"/>
                <w:u w:val="none"/>
              </w:rPr>
              <w:t>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宋体"/>
                <w:sz w:val="20"/>
                <w:szCs w:val="20"/>
                <w:u w:val="none"/>
              </w:rPr>
            </w:pPr>
            <w:r>
              <w:rPr>
                <w:rFonts w:hint="eastAsia" w:ascii="宋体" w:cs="宋体"/>
                <w:sz w:val="20"/>
                <w:szCs w:val="20"/>
                <w:u w:val="none"/>
                <w:lang w:eastAsia="zh-CN"/>
              </w:rPr>
              <w:t>宝清</w:t>
            </w:r>
            <w:r>
              <w:rPr>
                <w:rFonts w:hint="eastAsia" w:ascii="宋体" w:cs="宋体"/>
                <w:sz w:val="20"/>
                <w:szCs w:val="20"/>
                <w:u w:val="none"/>
              </w:rPr>
              <w:t>县</w:t>
            </w:r>
            <w:r>
              <w:rPr>
                <w:rFonts w:hint="eastAsia" w:ascii="宋体" w:cs="宋体"/>
                <w:sz w:val="20"/>
                <w:szCs w:val="20"/>
                <w:u w:val="none"/>
                <w:lang w:eastAsia="zh-CN"/>
              </w:rPr>
              <w:t>人民</w:t>
            </w:r>
            <w:r>
              <w:rPr>
                <w:rFonts w:hint="eastAsia" w:ascii="宋体" w:cs="宋体"/>
                <w:sz w:val="20"/>
                <w:szCs w:val="20"/>
                <w:u w:val="none"/>
              </w:rPr>
              <w:t>政府</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sz w:val="20"/>
                <w:szCs w:val="20"/>
                <w:u w:val="none"/>
              </w:rPr>
            </w:pPr>
            <w:r>
              <w:rPr>
                <w:rFonts w:hint="eastAsia" w:ascii="宋体" w:cs="宋体"/>
                <w:sz w:val="20"/>
                <w:szCs w:val="20"/>
                <w:u w:val="none"/>
              </w:rPr>
              <w:t>2025年12月</w:t>
            </w:r>
            <w:r>
              <w:rPr>
                <w:rFonts w:hint="eastAsia" w:ascii="宋体"/>
                <w:sz w:val="20"/>
                <w:szCs w:val="20"/>
                <w:u w:val="none"/>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eastAsia="宋体" w:cs="宋体"/>
                <w:sz w:val="20"/>
                <w:szCs w:val="20"/>
                <w:u w:val="none"/>
                <w:lang w:val="en-US" w:eastAsia="zh-CN"/>
              </w:rPr>
            </w:pPr>
            <w:r>
              <w:rPr>
                <w:rFonts w:hint="eastAsia" w:ascii="宋体" w:eastAsia="宋体" w:cs="宋体"/>
                <w:sz w:val="20"/>
                <w:szCs w:val="20"/>
                <w:u w:val="none"/>
                <w:lang w:val="en-US" w:eastAsia="zh-CN"/>
              </w:rPr>
              <w:t>15</w:t>
            </w:r>
          </w:p>
        </w:tc>
        <w:tc>
          <w:tcPr>
            <w:tcW w:w="766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cs="宋体" w:eastAsiaTheme="minorEastAsia"/>
                <w:sz w:val="20"/>
                <w:szCs w:val="20"/>
                <w:u w:val="none"/>
                <w:lang w:eastAsia="zh-CN"/>
              </w:rPr>
            </w:pPr>
            <w:r>
              <w:rPr>
                <w:rFonts w:hint="eastAsia" w:ascii="宋体" w:cs="宋体"/>
                <w:sz w:val="20"/>
                <w:szCs w:val="20"/>
                <w:u w:val="none"/>
                <w:lang w:eastAsia="zh-CN"/>
              </w:rPr>
              <w:t>推进以县人民医院（或中医医院）为龙头的紧密型县域医共体建设</w:t>
            </w:r>
          </w:p>
        </w:tc>
        <w:tc>
          <w:tcPr>
            <w:tcW w:w="18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cs="宋体"/>
                <w:sz w:val="20"/>
                <w:szCs w:val="20"/>
                <w:u w:val="none"/>
                <w:lang w:eastAsia="zh-CN"/>
              </w:rPr>
            </w:pPr>
            <w:r>
              <w:rPr>
                <w:rFonts w:hint="eastAsia" w:ascii="宋体" w:cs="宋体"/>
                <w:sz w:val="20"/>
                <w:szCs w:val="20"/>
                <w:u w:val="none"/>
                <w:lang w:eastAsia="zh-CN"/>
              </w:rPr>
              <w:t>市卫生健康委</w:t>
            </w:r>
          </w:p>
        </w:tc>
        <w:tc>
          <w:tcPr>
            <w:tcW w:w="177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cs="宋体"/>
                <w:sz w:val="20"/>
                <w:szCs w:val="20"/>
                <w:u w:val="none"/>
                <w:lang w:eastAsia="zh-CN"/>
              </w:rPr>
            </w:pPr>
            <w:r>
              <w:rPr>
                <w:rFonts w:hint="eastAsia" w:ascii="宋体" w:cs="宋体"/>
                <w:sz w:val="20"/>
                <w:szCs w:val="20"/>
                <w:u w:val="none"/>
                <w:lang w:eastAsia="zh-CN"/>
              </w:rPr>
              <w:t>各县人民政府</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eastAsiaTheme="minorEastAsia"/>
                <w:sz w:val="20"/>
                <w:szCs w:val="20"/>
                <w:u w:val="none"/>
                <w:lang w:val="en-US" w:eastAsia="zh-CN"/>
              </w:rPr>
            </w:pPr>
            <w:r>
              <w:rPr>
                <w:rFonts w:hint="eastAsia" w:ascii="宋体" w:cs="宋体"/>
                <w:sz w:val="20"/>
                <w:szCs w:val="20"/>
                <w:u w:val="none"/>
                <w:lang w:val="en-US" w:eastAsia="zh-CN"/>
              </w:rPr>
              <w:t>2022年12月底前</w:t>
            </w:r>
          </w:p>
        </w:tc>
      </w:tr>
    </w:tbl>
    <w:p>
      <w:pPr>
        <w:overflowPunct w:val="0"/>
        <w:spacing w:line="540" w:lineRule="exact"/>
        <w:rPr>
          <w:rFonts w:ascii="黑体" w:hAnsi="Calibri" w:eastAsia="黑体" w:cs="Arial"/>
          <w:szCs w:val="32"/>
          <w:u w:val="none"/>
        </w:rPr>
      </w:pPr>
    </w:p>
    <w:p>
      <w:pPr>
        <w:rPr>
          <w:rFonts w:ascii="仿宋_GB2312" w:hAnsi="Times New Roman" w:eastAsia="仿宋_GB2312" w:cs="Times New Roman"/>
          <w:sz w:val="32"/>
          <w:szCs w:val="32"/>
          <w:u w:val="none"/>
        </w:rPr>
      </w:pPr>
    </w:p>
    <w:p>
      <w:pPr>
        <w:rPr>
          <w:rFonts w:ascii="仿宋_GB2312" w:hAnsi="Times New Roman" w:eastAsia="仿宋_GB2312" w:cs="Times New Roman"/>
          <w:sz w:val="32"/>
          <w:szCs w:val="32"/>
          <w:u w:val="none"/>
        </w:rPr>
      </w:pPr>
    </w:p>
    <w:p>
      <w:pPr>
        <w:rPr>
          <w:u w:val="none"/>
        </w:rPr>
      </w:pPr>
    </w:p>
    <w:p>
      <w:pPr>
        <w:rPr>
          <w:u w:val="none"/>
        </w:rPr>
      </w:pPr>
    </w:p>
    <w:sectPr>
      <w:footerReference r:id="rId4" w:type="default"/>
      <w:footerReference r:id="rId5" w:type="even"/>
      <w:pgSz w:w="16838" w:h="11906" w:orient="landscape"/>
      <w:pgMar w:top="1588" w:right="1440" w:bottom="1247"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95BC3"/>
    <w:rsid w:val="26C9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2022-08-03T02:56:00Z</dcterms:created>
  <dc:creator>审核材料马诠超</dc:creator>
  <cp:lastModifiedBy>审核材料马诠超</cp:lastModifiedBy>
  <dcterms:modified xsi:type="dcterms:W3CDTF">2022-08-03T02:57:18Z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