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723" w:firstLineChars="200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转移支付执行情况说明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双鸭山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税收返还和转移支付决算数为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1051628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具体情况如下</w:t>
      </w:r>
      <w:bookmarkStart w:id="0" w:name="_GoBack"/>
      <w:bookmarkEnd w:id="0"/>
      <w:r>
        <w:rPr>
          <w:rFonts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对我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税收返还和转移支付情况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（一）一般性转移支付收入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562698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元。其中：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1、均衡性转移支付收入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158311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2、革命老区及民族付收入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18503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3、县级基本财力保障机制奖补资金收入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37182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4、结算补助收入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71655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5、资源枯竭型城市转移支付补助收入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39329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6、成品油价格和税费改革转移支付补助收入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1357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7、基层公检法司转移支付收入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12991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8、义务教育等转移支付收入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13707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9、基本养老保险和低保等转移支付收入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65198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10、新型农村合作医疗等转移支付收入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20496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11、农村综合改革转移支付收入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2880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12、产粮（油）大县奖励资金收入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32152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13、重点生态功能区转移支付收入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5075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14、固定数额补助收入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83862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 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（二）专项转移支付收入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445453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（三）返还性收入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43477</w:t>
      </w:r>
      <w:r>
        <w:rPr>
          <w:rFonts w:hint="eastAsia" w:ascii="仿宋" w:hAnsi="仿宋" w:eastAsia="仿宋"/>
          <w:sz w:val="32"/>
          <w:szCs w:val="32"/>
        </w:rPr>
        <w:t>万元。其中：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1</w:t>
      </w:r>
      <w:r>
        <w:rPr>
          <w:rFonts w:hint="eastAsia" w:ascii="仿宋" w:hAnsi="仿宋" w:eastAsia="仿宋"/>
          <w:sz w:val="32"/>
          <w:szCs w:val="32"/>
        </w:rPr>
        <w:t>、增值税和消费税税收返还收入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36972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、所得税基数返还收入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1363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3、成品油价格和税费改革税收返还收入702万元。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4、其他税收返还收入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4440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区乡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税收返还和转移支付情况 </w:t>
      </w:r>
    </w:p>
    <w:p>
      <w:pPr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年我市本级对区乡税收返还和转移支付合计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42338</w:t>
      </w:r>
      <w:r>
        <w:rPr>
          <w:rFonts w:hint="eastAsia" w:ascii="仿宋" w:hAnsi="仿宋" w:eastAsia="仿宋"/>
          <w:sz w:val="32"/>
          <w:szCs w:val="32"/>
        </w:rPr>
        <w:t>万元，具体情况如下：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一般性转移支付支出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31438</w:t>
      </w:r>
      <w:r>
        <w:rPr>
          <w:rFonts w:hint="eastAsia" w:ascii="仿宋" w:hAnsi="仿宋" w:eastAsia="仿宋"/>
          <w:sz w:val="32"/>
          <w:szCs w:val="32"/>
        </w:rPr>
        <w:t>万元。其中：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1、均衡性转移支付支出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2035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固定数额补助支出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3486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义务教育等转移支付支出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农村综合改革转移支付支出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、基本财力保障机制奖补资金支出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13150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、重点生态功能区转移支付支出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、基层公检法司转移支付支出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4047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、结算补助支出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7788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（二）专项转移支付支出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5397</w:t>
      </w:r>
      <w:r>
        <w:rPr>
          <w:rFonts w:hint="eastAsia" w:ascii="仿宋" w:hAnsi="仿宋" w:eastAsia="仿宋"/>
          <w:sz w:val="32"/>
          <w:szCs w:val="32"/>
        </w:rPr>
        <w:t>万元。其中：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2、公共安全支出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3、教育支出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1543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、医疗卫生与计划生育支出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758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、农林水支出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331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、住房保障支出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（三）返还性支出5503万元。其中：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1</w:t>
      </w:r>
      <w:r>
        <w:rPr>
          <w:rFonts w:hint="eastAsia" w:ascii="仿宋" w:hAnsi="仿宋" w:eastAsia="仿宋"/>
          <w:sz w:val="32"/>
          <w:szCs w:val="32"/>
        </w:rPr>
        <w:t>、增值税和消费税税收返还支出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5201万元。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2</w:t>
      </w:r>
      <w:r>
        <w:rPr>
          <w:rFonts w:hint="eastAsia" w:ascii="仿宋" w:hAnsi="仿宋" w:eastAsia="仿宋"/>
          <w:sz w:val="32"/>
          <w:szCs w:val="32"/>
        </w:rPr>
        <w:t>、所得税基数返还支出121万元。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3、其他税收返还支出181万元。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7090"/>
    <w:multiLevelType w:val="multilevel"/>
    <w:tmpl w:val="5D927090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91E"/>
    <w:rsid w:val="001F2BD1"/>
    <w:rsid w:val="0088091E"/>
    <w:rsid w:val="009924C1"/>
    <w:rsid w:val="00A47913"/>
    <w:rsid w:val="00B95A43"/>
    <w:rsid w:val="00C311E4"/>
    <w:rsid w:val="00D36F60"/>
    <w:rsid w:val="43D13687"/>
    <w:rsid w:val="549368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987</Characters>
  <Lines>8</Lines>
  <Paragraphs>2</Paragraphs>
  <ScaleCrop>false</ScaleCrop>
  <LinksUpToDate>false</LinksUpToDate>
  <CharactersWithSpaces>1158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2016-10-21T09:28:00Z</dcterms:created>
  <dc:creator>王丽杰</dc:creator>
  <cp:lastModifiedBy>Administrator</cp:lastModifiedBy>
  <dcterms:modified xsi:type="dcterms:W3CDTF">2017-11-03T09:43:23Z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